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ПРОТОКОЛА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протокола:</w:t>
            </w:r>
          </w:p>
        </w:tc>
        <w:tc>
          <w:tcPr>
            <w:tcW w:type="dxa" w:w="6520"/>
          </w:tcPr>
          <w:p>
            <w:r>
              <w:t>Синопсис протокола исследования биоэквивалентности: Rosuvastatin 20 мг (натощак)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Идентификационный номер протокола:</w:t>
            </w:r>
          </w:p>
        </w:tc>
        <w:tc>
          <w:tcPr>
            <w:tcW w:type="dxa" w:w="6520"/>
          </w:tcPr>
          <w:p>
            <w:r>
              <w:t>BE-ROS-2026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Спонсор исследования: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Исследовательский центр: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Биоаналитическая лаборатория: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Фаза клинического исследования:</w:t>
            </w:r>
          </w:p>
        </w:tc>
        <w:tc>
          <w:tcPr>
            <w:tcW w:type="dxa" w:w="6520"/>
          </w:tcPr>
          <w:p>
            <w:r>
              <w:t>I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исследуемого препарата:</w:t>
            </w:r>
          </w:p>
        </w:tc>
        <w:tc>
          <w:tcPr>
            <w:tcW w:type="dxa" w:w="6520"/>
          </w:tcPr>
          <w:p>
            <w:r>
              <w:t>Тестируемый препарат Rosuvastatin 20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Действующее вещество:</w:t>
            </w:r>
          </w:p>
        </w:tc>
        <w:tc>
          <w:tcPr>
            <w:tcW w:type="dxa" w:w="6520"/>
          </w:tcPr>
          <w:p>
            <w:r>
              <w:t>Rosuvastatin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Лекарственная форма и дозировка:</w:t>
            </w:r>
          </w:p>
        </w:tc>
        <w:tc>
          <w:tcPr>
            <w:tcW w:type="dxa" w:w="6520"/>
          </w:tcPr>
          <w:p>
            <w:r>
              <w:t>Таблетки, 20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Цель исследования:</w:t>
            </w:r>
          </w:p>
        </w:tc>
        <w:tc>
          <w:tcPr>
            <w:tcW w:type="dxa" w:w="6520"/>
          </w:tcPr>
          <w:p>
            <w:r>
              <w:t>Оценить биоэквивалентность тестируемого и референтного препаратов Rosuvastatin по параметрам Cmax и AUC при приёме натощак.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Задачи исследования:</w:t>
            </w:r>
          </w:p>
        </w:tc>
        <w:tc>
          <w:tcPr>
            <w:tcW w:type="dxa" w:w="6520"/>
          </w:tcPr>
          <w:p>
            <w:r>
              <w:t>• Сравнить Cmax и AUC0-t (и при возможности AUC0-∞) после лог-трансформации.</w:t>
              <w:br/>
              <w:t>• Оценить Tmax описательно.</w:t>
              <w:br/>
              <w:t>• Оценить безопасность и переносимость (НЯ, жизненные показатели, лабораторные показатели).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Дизайн исследования:</w:t>
            </w:r>
          </w:p>
        </w:tc>
        <w:tc>
          <w:tcPr>
            <w:tcW w:type="dxa" w:w="6520"/>
          </w:tcPr>
          <w:p>
            <w:r>
              <w:t>Рандомизированное, открытое, двухпериодное, двухпоследовательностное перекрёстное исследование (2×2 cross-over).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Периоды / последовательности:</w:t>
            </w:r>
          </w:p>
        </w:tc>
        <w:tc>
          <w:tcPr>
            <w:tcW w:type="dxa" w:w="6520"/>
          </w:tcPr>
          <w:p>
            <w:r>
              <w:t>2 период(а/ов), 2 последовательности(ей), washout 7 дней; washout 7 дней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Длительность:</w:t>
            </w:r>
          </w:p>
        </w:tc>
        <w:tc>
          <w:tcPr>
            <w:tcW w:type="dxa" w:w="6520"/>
          </w:tcPr>
          <w:p>
            <w:r>
              <w:t>Скрининг до 28 дней; периоды согласно дизайну; финальный визит после завершения отбора проб.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Популяция:</w:t>
            </w:r>
          </w:p>
        </w:tc>
        <w:tc>
          <w:tcPr>
            <w:tcW w:type="dxa" w:w="6520"/>
          </w:tcPr>
          <w:p>
            <w:r>
              <w:t>Здоровые добровольцы (мужчины и/или женщины) согласно критериям включения/исключения.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включения:</w:t>
            </w:r>
          </w:p>
        </w:tc>
        <w:tc>
          <w:tcPr>
            <w:tcW w:type="dxa" w:w="6520"/>
          </w:tcPr>
          <w:p>
            <w:r>
              <w:t>• Подписанное информированное согласие.</w:t>
              <w:br/>
              <w:t>• Возраст 18–55 лет.</w:t>
              <w:br/>
              <w:t>• ИМТ 18.5–30.0 кг/м².</w:t>
              <w:br/>
              <w:t>• Отсутствие клинически значимых отклонений по обследованиям и анализам.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исключения:</w:t>
            </w:r>
          </w:p>
        </w:tc>
        <w:tc>
          <w:tcPr>
            <w:tcW w:type="dxa" w:w="6520"/>
          </w:tcPr>
          <w:p>
            <w:r>
              <w:t>• Гиперчувствительность к действующему веществу или компонентам препарата.</w:t>
              <w:br/>
              <w:t>• Приём лекарств, влияющих на фармакокинетику, в период скрининга/отмывки.</w:t>
              <w:br/>
              <w:t>• Значимые хронические заболевания (печени, почек, ССС и др.).</w:t>
              <w:br/>
              <w:t>• Участие в другом клиническом исследовании в последние 3 месяца.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прекращения участия:</w:t>
            </w:r>
          </w:p>
        </w:tc>
        <w:tc>
          <w:tcPr>
            <w:tcW w:type="dxa" w:w="6520"/>
          </w:tcPr>
          <w:p>
            <w:r>
              <w:t>• Добровольный отказ участника.</w:t>
              <w:br/>
              <w:t>• Развитие нежелательных явлений, требующих вывода из исследования.</w:t>
              <w:br/>
              <w:t>• Нарушение протокола, влияющее на интерпретацию результатов.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(Test):</w:t>
            </w:r>
          </w:p>
        </w:tc>
        <w:tc>
          <w:tcPr>
            <w:tcW w:type="dxa" w:w="6520"/>
          </w:tcPr>
          <w:p>
            <w:r>
              <w:t>Однократный приём тестируемого препарата 20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(Reference):</w:t>
            </w:r>
          </w:p>
        </w:tc>
        <w:tc>
          <w:tcPr>
            <w:tcW w:type="dxa" w:w="6520"/>
          </w:tcPr>
          <w:p>
            <w:r>
              <w:t>Однократный приём референтного препарата 20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Отбор проб / методология:</w:t>
            </w:r>
          </w:p>
        </w:tc>
        <w:tc>
          <w:tcPr>
            <w:tcW w:type="dxa" w:w="6520"/>
          </w:tcPr>
          <w:p>
            <w:r>
              <w:t>Отбор проб крови проводится в каждом периоде до 72 ч после дозирования (плотнее вокруг Tmax; t1/2). Предлагаемая сетка точек (ч): 0, 0.25, 0.5, 1, 1.5, 2, 3, 4, 6, 8, 12, 24, 36, 48, 72.</w:t>
              <w:br/>
              <w:br/>
              <w:t>Точки отбора (ч): 0, 0.25, 0.5, 1, 1.5, 2, 3, 4, 6, 8, 12, 24, 36, 48, 72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Биоаналитика:</w:t>
            </w:r>
          </w:p>
        </w:tc>
        <w:tc>
          <w:tcPr>
            <w:tcW w:type="dxa" w:w="6520"/>
          </w:tcPr>
          <w:p>
            <w:r>
              <w:t>Валидационный биоаналитический метод LC-MS/MS для определения концентраций действующего вещества в плазме.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PK параметры:</w:t>
            </w:r>
          </w:p>
        </w:tc>
        <w:tc>
          <w:tcPr>
            <w:tcW w:type="dxa" w:w="6520"/>
          </w:tcPr>
          <w:p>
            <w:r>
              <w:t>Cmax, AUC0-t, AUC0-∞ (при наличии), Tmax (описательно)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биоэквивалентности:</w:t>
            </w:r>
          </w:p>
        </w:tc>
        <w:tc>
          <w:tcPr>
            <w:tcW w:type="dxa" w:w="6520"/>
          </w:tcPr>
          <w:p>
            <w:r>
              <w:t>90% ДИ для отношения геометрических средних (T/R) по ln(Cmax) и ln(AUC0-t) в пределах 80.00–125.00%.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Расчёт выборки:</w:t>
            </w:r>
          </w:p>
        </w:tc>
        <w:tc>
          <w:tcPr>
            <w:tcW w:type="dxa" w:w="6520"/>
          </w:tcPr>
          <w:p>
            <w:r>
              <w:t>Расчёт выполнен для 90% ДИ (α=0.05) и мощности 80%. Использован CVintra=20%. Требуется завершивших: 14; к скринингу: 20 (с учётом drop-out/screen-fail из входных параметров).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Безопасность:</w:t>
            </w:r>
          </w:p>
        </w:tc>
        <w:tc>
          <w:tcPr>
            <w:tcW w:type="dxa" w:w="6520"/>
          </w:tcPr>
          <w:p>
            <w:r>
              <w:t>Оценка НЯ/СНЯ, физикальные осмотры, жизненные показатели, ЭКГ, клинические и биохимические анализы крови/мочи.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Этические аспекты:</w:t>
            </w:r>
          </w:p>
        </w:tc>
        <w:tc>
          <w:tcPr>
            <w:tcW w:type="dxa" w:w="6520"/>
          </w:tcPr>
          <w:p>
            <w:r>
              <w:t>Исследование проводится в соответствии с GCP, Хельсинкской декларацией и локальными требованиями. Обязательно информированное согласие.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Дата версии:</w:t>
            </w:r>
          </w:p>
        </w:tc>
        <w:tc>
          <w:tcPr>
            <w:tcW w:type="dxa" w:w="6520"/>
          </w:tcPr>
          <w:p>
            <w:r>
              <w:t>2026-02-24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Источники:</w:t>
            </w:r>
          </w:p>
        </w:tc>
        <w:tc>
          <w:tcPr>
            <w:tcW w:type="dxa" w:w="65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