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Marketing Kit</w:t>
      </w:r>
    </w:p>
    <w:p>
      <w:pPr>
        <w:pStyle w:val="Heading2"/>
      </w:pPr>
      <w:r>
        <w:t>What We Deliver</w:t>
      </w:r>
    </w:p>
    <w:p>
      <w:pPr>
        <w:pStyle w:val="ListBullet"/>
      </w:pPr>
      <w:r>
        <w:t>Customized allocation ranges per household goal</w:t>
      </w:r>
    </w:p>
    <w:p>
      <w:pPr>
        <w:pStyle w:val="ListBullet"/>
      </w:pPr>
      <w:r>
        <w:t>Plain-English rationale for each change</w:t>
      </w:r>
    </w:p>
    <w:p>
      <w:pPr>
        <w:pStyle w:val="ListBullet"/>
      </w:pPr>
      <w:r>
        <w:t>Quarterly accountability summaries</w:t>
      </w:r>
    </w:p>
    <w:p>
      <w:pPr>
        <w:pStyle w:val="Heading2"/>
      </w:pPr>
      <w:r>
        <w:t>Risk Alignment</w:t>
      </w:r>
    </w:p>
    <w:p>
      <w:pPr>
        <w:pStyle w:val="ListBullet"/>
      </w:pPr>
      <w:r>
        <w:t>Targets stay within documented tolerance bands</w:t>
      </w:r>
    </w:p>
    <w:p>
      <w:pPr>
        <w:pStyle w:val="ListBullet"/>
      </w:pPr>
      <w:r>
        <w:t>Stress tests explained with bulletproof disclaimers</w:t>
      </w:r>
    </w:p>
    <w:p>
      <w:r>
        <w:br/>
        <w:t>Disclosures</w:t>
      </w:r>
    </w:p>
    <w:p>
      <w:r>
        <w:rPr>
          <w:sz w:val="20"/>
        </w:rPr>
        <w:t>Advisory services are offered by Example RIA, an SEC-registered investment adviser. Investing involves risk, including loss of principal.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