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Event Follow-Up</w:t>
      </w:r>
    </w:p>
    <w:p>
      <w:pPr>
        <w:pStyle w:val="Heading2"/>
      </w:pPr>
      <w:r>
        <w:t>Seminar Recap</w:t>
      </w:r>
    </w:p>
    <w:p>
      <w:pPr>
        <w:pStyle w:val="ListBullet"/>
      </w:pPr>
      <w:r>
        <w:t>Discussed income planning guardrails</w:t>
      </w:r>
    </w:p>
    <w:p>
      <w:pPr>
        <w:pStyle w:val="ListBullet"/>
      </w:pPr>
      <w:r>
        <w:t>Outlined tax-aware withdrawal sequences</w:t>
      </w:r>
    </w:p>
    <w:p>
      <w:pPr>
        <w:pStyle w:val="ListBullet"/>
      </w:pPr>
      <w:r>
        <w:t>Reiterated that guarantees do not exist in equities.</w:t>
      </w:r>
    </w:p>
    <w:p>
      <w:pPr>
        <w:pStyle w:val="Heading2"/>
      </w:pPr>
      <w:r>
        <w:t>Next Steps</w:t>
      </w:r>
    </w:p>
    <w:p>
      <w:pPr>
        <w:pStyle w:val="ListBullet"/>
      </w:pPr>
      <w:r>
        <w:t>Offer optional planning call</w:t>
      </w:r>
    </w:p>
    <w:p>
      <w:pPr>
        <w:pStyle w:val="ListBullet"/>
      </w:pPr>
      <w:r>
        <w:t>Send ADV Part 2A</w:t>
      </w:r>
    </w:p>
    <w:p>
      <w:pPr>
        <w:pStyle w:val="ListBullet"/>
      </w:pPr>
      <w:r>
        <w:t>Collect suitability questionnaire before recommendations</w:t>
      </w:r>
    </w:p>
    <w:p>
      <w:r>
        <w:br/>
        <w:t>Disclosures</w:t>
      </w:r>
    </w:p>
    <w:p>
      <w:r>
        <w:rPr>
          <w:sz w:val="20"/>
        </w:rPr>
        <w:t>This material is informational and not a solicitation to buy or sell securities. Clients should review the latest ADV and fee schedule before engaging the firm.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