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280"/>
        <w:jc w:val="center"/>
      </w:pPr>
      <w:r>
        <w:rPr>
          <w:rFonts w:ascii="Calibri" w:hAnsi="Calibri"/>
          <w:b/>
          <w:color w:val="2E74B5"/>
          <w:sz w:val="19"/>
        </w:rPr>
        <w:t>CAREER POSITIONING GUIDE  /  2026</w:t>
      </w:r>
    </w:p>
    <w:p>
      <w:pPr>
        <w:spacing w:after="200"/>
        <w:jc w:val="center"/>
      </w:pPr>
      <w:r>
        <w:rPr>
          <w:rFonts w:ascii="Calibri" w:hAnsi="Calibri"/>
          <w:b/>
          <w:color w:val="0B2545"/>
          <w:sz w:val="56"/>
        </w:rPr>
        <w:t>Agentic AI Resume</w:t>
        <w:br/>
        <w:t>Integration Guide</w:t>
      </w:r>
    </w:p>
    <w:p>
      <w:pPr>
        <w:spacing w:after="560"/>
        <w:jc w:val="center"/>
      </w:pPr>
      <w:r>
        <w:rPr>
          <w:rFonts w:ascii="Calibri" w:hAnsi="Calibri"/>
          <w:i/>
          <w:color w:val="5C6573"/>
          <w:sz w:val="25"/>
        </w:rPr>
        <w:t>Believable financial-services examples grounded in an inspectable engineering portfolio</w:t>
      </w:r>
    </w:p>
    <w:p>
      <w:pPr>
        <w:shd w:fill="E8EEF5"/>
        <w:spacing w:before="240" w:after="240"/>
        <w:ind w:left="320" w:right="320"/>
        <w:jc w:val="center"/>
      </w:pPr>
      <w:r>
        <w:rPr>
          <w:rFonts w:ascii="Calibri" w:hAnsi="Calibri"/>
          <w:b/>
          <w:color w:val="0B2545"/>
          <w:sz w:val="21"/>
        </w:rPr>
        <w:t xml:space="preserve">Accuracy first. </w:t>
      </w:r>
      <w:r>
        <w:rPr>
          <w:rFonts w:ascii="Calibri" w:hAnsi="Calibri"/>
          <w:color w:val="0B2545"/>
          <w:sz w:val="21"/>
        </w:rPr>
        <w:t>Use only examples that match work you actually performed. Replace bracketed metrics with values you can defend, and never imply that the public portfolio uses Citi systems or data.</w:t>
      </w:r>
    </w:p>
    <w:p>
      <w:pPr>
        <w:spacing w:before="520"/>
        <w:jc w:val="center"/>
      </w:pPr>
      <w:r>
        <w:rPr>
          <w:rFonts w:ascii="Calibri" w:hAnsi="Calibri"/>
          <w:color w:val="5C6573"/>
          <w:sz w:val="19"/>
        </w:rPr>
        <w:t>Prepared for Roshaan Singh  |  Personal portfolio companion</w:t>
      </w:r>
    </w:p>
    <w:p>
      <w:r>
        <w:br w:type="page"/>
      </w:r>
    </w:p>
    <w:p>
      <w:pPr>
        <w:pStyle w:val="Heading1"/>
      </w:pPr>
      <w:r>
        <w:t>1. Recommended skills section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Agentic AI: </w:t>
      </w:r>
      <w:r>
        <w:rPr>
          <w:rFonts w:ascii="Calibri" w:hAnsi="Calibri"/>
          <w:sz w:val="22"/>
        </w:rPr>
        <w:t>LLM workflow orchestration, tool and function calling, retrieval-augmented generation (RAG), human-in-the-loop approvals, structured outputs, prompt and workflow evaluation, guardrails, model observability, and cost/latency optimization.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Engineering: </w:t>
      </w:r>
      <w:r>
        <w:rPr>
          <w:rFonts w:ascii="Calibri" w:hAnsi="Calibri"/>
          <w:sz w:val="22"/>
        </w:rPr>
        <w:t>Python, FastAPI, Pydantic, TypeScript, React, Next.js, REST APIs, SQL, Docker, GitHub Actions, pytest, Vitest, Prometheus, PromQL, Grafana, and OpenTelemetry.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Enterprise AI: </w:t>
      </w:r>
      <w:r>
        <w:rPr>
          <w:rFonts w:ascii="Calibri" w:hAnsi="Calibri"/>
          <w:sz w:val="22"/>
        </w:rPr>
        <w:t>AI risk controls, least-privilege tool design, audit logging, data privacy, change management, failure recovery, idempotent workflows, and stakeholder communication.</w:t>
      </w:r>
    </w:p>
    <w:p>
      <w:pPr>
        <w:pStyle w:val="Heading1"/>
      </w:pPr>
      <w:r>
        <w:t>2. Citi experience bullets - conservative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Prototyped an AI-assisted operations workflow that gathered case evidence from approved sources, produced a structured recommendation, and routed high-impact actions for human approval rather than autonomous execution.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Built retrieval and citation checks for internal procedure content, helping users trace AI-generated answers back to relevant policy sections and reducing unsupported responses during testing.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Added repeatable evaluation cases for task completion, evidence coverage, and policy compliance, enabling workflow changes to be regression-tested before demonstration or release.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Designed typed Python API contracts and validation rules for AI workflow inputs and outputs, improving error handling and making downstream integration behavior easier to test.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Instrumented prototype agent runs with trace IDs, tool usage, latency, retry, and estimated token-cost metrics to support troubleshooting and engineering trade-off discussions.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Built Grafana dashboards for workflow SLOs, model cost versus evaluation quality, and tool reliability using bounded Prometheus metrics and version-controlled PromQL queries.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Defined prototype alerts for low workflow success, high p95 latency, and elevated tool failure rates, with demonstration thresholds pending production baselines.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Documented agent boundaries, approval points, failure modes, and safe defaults in plain language for engineering, operations, and risk stakeholders.</w:t>
      </w:r>
    </w:p>
    <w:p>
      <w:pPr>
        <w:pStyle w:val="Heading1"/>
      </w:pPr>
      <w:r>
        <w:t>3. Metric-based bullets - use only with real measurements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Reduced average investigation preparation time by [X%] in a controlled pilot by using an agent workflow to assemble approved evidence and draft a reviewer-ready case summary.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Improved citation coverage from [baseline%] to [result%] across [N] policy questions by adding version-aware retrieval and automated evidence checks.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Cut manual handoffs by [N steps/case] for [workflow] by generating structured work plans while preserving supervisor approval for customer or financial actions.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Increased evaluation pass rate to [X%] across [N] golden cases by introducing regression tests for groundedness, task success, and policy compliance.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Lowered prototype inference cost by [X%] through model routing, context trimming, caching, or deterministic handling of low-complexity steps while maintaining the agreed quality threshold.</w:t>
      </w:r>
    </w:p>
    <w:p>
      <w:pPr>
        <w:pStyle w:val="Heading1"/>
      </w:pPr>
      <w:r>
        <w:t>4. Personal project entry</w:t>
      </w:r>
    </w:p>
    <w:p>
      <w:pPr>
        <w:spacing w:after="160"/>
      </w:pPr>
      <w:r>
        <w:rPr>
          <w:rFonts w:ascii="Calibri" w:hAnsi="Calibri"/>
          <w:b/>
          <w:color w:val="0B2545"/>
          <w:sz w:val="24"/>
        </w:rPr>
        <w:t>Agentic Systems Lab</w:t>
      </w:r>
      <w:r>
        <w:rPr>
          <w:rFonts w:ascii="Calibri" w:hAnsi="Calibri"/>
          <w:color w:val="5C6573"/>
          <w:sz w:val="21"/>
        </w:rPr>
        <w:t xml:space="preserve">  |  TypeScript, Next.js, Python, FastAPI, Prometheus, Grafana, Docker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Built a runnable enterprise-agent reference platform featuring multi-role orchestration, typed tool contracts, RAG evidence, policy-as-code, human approval, evaluation gates, and run-level observability.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Implemented three synthetic financial-services workflows - payment exception triage, policy evidence Q&amp;A, and customer remediation planning - with deterministic local execution and no required API key.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Added TypeScript and Python test suites, golden evaluation cases, containerized services, CI quality gates, architecture documentation, and an optional OpenAI Responses API adapter.</w:t>
      </w:r>
    </w:p>
    <w:p>
      <w:pPr>
        <w:pStyle w:val="PortfolioBullet"/>
        <w:keepLines/>
      </w:pPr>
      <w:r>
        <w:rPr>
          <w:rFonts w:ascii="Calibri" w:hAnsi="Calibri"/>
          <w:sz w:val="22"/>
        </w:rPr>
        <w:t>Added a local Prometheus and Grafana lab with dashboards-as-code, alert provisioning, synthetic traffic, and CI validation for metrics and dashboard configuration.</w:t>
      </w:r>
    </w:p>
    <w:p>
      <w:pPr>
        <w:pStyle w:val="Heading1"/>
      </w:pPr>
      <w:r>
        <w:t>5. LinkedIn or profile summary</w:t>
      </w:r>
    </w:p>
    <w:p>
      <w:pPr>
        <w:shd w:fill="F4F6F9"/>
        <w:spacing w:before="240" w:after="240"/>
        <w:ind w:left="320" w:right="320"/>
      </w:pPr>
      <w:r>
        <w:rPr>
          <w:rFonts w:ascii="Calibri" w:hAnsi="Calibri"/>
          <w:color w:val="0B2545"/>
          <w:sz w:val="21"/>
        </w:rPr>
        <w:t>Agentic AI engineer focused on turning LLM capabilities into controlled, testable enterprise workflows. I build retrieval and tool-using systems with explicit permissions, human approval for high-impact actions, automated evaluations, and production-minded observability. My background in financial-services technology helps me translate operations and risk requirements into reliable Python and TypeScript services that stakeholders can inspect and trust.</w:t>
      </w:r>
    </w:p>
    <w:p>
      <w:r>
        <w:br w:type="page"/>
      </w:r>
    </w:p>
    <w:p>
      <w:pPr>
        <w:pStyle w:val="Heading1"/>
      </w:pPr>
      <w:r>
        <w:t>6. Truthful STAR interview examples</w:t>
      </w:r>
    </w:p>
    <w:p>
      <w:pPr>
        <w:spacing w:after="200"/>
      </w:pPr>
      <w:r>
        <w:t>Keep each story anchored to a real artifact, decision, and stakeholder. If a result was a prototype insight rather than a production KPI, say that clearly.</w:t>
      </w:r>
    </w:p>
    <w:p>
      <w:pPr>
        <w:pStyle w:val="Heading2"/>
      </w:pPr>
      <w:r>
        <w:t>Operations investigation assistant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Situation: </w:t>
      </w:r>
      <w:r>
        <w:rPr>
          <w:rFonts w:ascii="Calibri" w:hAnsi="Calibri"/>
          <w:sz w:val="22"/>
        </w:rPr>
        <w:t>Analysts had to collect information from several approved sources before reviewing an exception.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Task: </w:t>
      </w:r>
      <w:r>
        <w:rPr>
          <w:rFonts w:ascii="Calibri" w:hAnsi="Calibri"/>
          <w:sz w:val="22"/>
        </w:rPr>
        <w:t>Explore whether AI could reduce preparation work without allowing it to make the final high-impact decision.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Action: </w:t>
      </w:r>
      <w:r>
        <w:rPr>
          <w:rFonts w:ascii="Calibri" w:hAnsi="Calibri"/>
          <w:sz w:val="22"/>
        </w:rPr>
        <w:t>Built a bounded workflow that retrieved evidence, retained source identifiers, drafted a recommendation, and sent write actions to a maker-checker approval queue. Added tests for unknown tools, missing evidence, and approval behavior.</w:t>
      </w:r>
    </w:p>
    <w:p>
      <w:pPr>
        <w:spacing w:after="160" w:line="283" w:lineRule="auto" w:before="160"/>
        <w:shd w:fill="F4F6F9"/>
        <w:ind w:left="200" w:right="200"/>
      </w:pPr>
      <w:r>
        <w:rPr>
          <w:rFonts w:ascii="Calibri" w:hAnsi="Calibri"/>
          <w:b/>
          <w:color w:val="1F4D78"/>
          <w:sz w:val="22"/>
        </w:rPr>
        <w:t xml:space="preserve">Result: </w:t>
      </w:r>
      <w:r>
        <w:rPr>
          <w:rFonts w:ascii="Calibri" w:hAnsi="Calibri"/>
          <w:sz w:val="22"/>
        </w:rPr>
        <w:t>Demonstrated a repeatable reviewer-ready case package and established the controls and metrics needed for a measured pilot. Add a quantified result only if it was actually measured.</w:t>
      </w:r>
    </w:p>
    <w:p>
      <w:pPr>
        <w:pStyle w:val="Heading2"/>
      </w:pPr>
      <w:r>
        <w:t>Policy-grounded assistant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Situation: </w:t>
      </w:r>
      <w:r>
        <w:rPr>
          <w:rFonts w:ascii="Calibri" w:hAnsi="Calibri"/>
          <w:sz w:val="22"/>
        </w:rPr>
        <w:t>Employees needed faster answers from long procedure documents, but unsupported answers were unacceptable.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Task: </w:t>
      </w:r>
      <w:r>
        <w:rPr>
          <w:rFonts w:ascii="Calibri" w:hAnsi="Calibri"/>
          <w:sz w:val="22"/>
        </w:rPr>
        <w:t>Make answers traceable and measurable.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Action: </w:t>
      </w:r>
      <w:r>
        <w:rPr>
          <w:rFonts w:ascii="Calibri" w:hAnsi="Calibri"/>
          <w:sz w:val="22"/>
        </w:rPr>
        <w:t>Split approved documents into versioned evidence units, retrieved the most relevant passages, required source IDs in the response, and scored citation coverage and groundedness in a golden test set.</w:t>
      </w:r>
    </w:p>
    <w:p>
      <w:pPr>
        <w:spacing w:after="160" w:line="283" w:lineRule="auto" w:before="160"/>
        <w:shd w:fill="F4F6F9"/>
        <w:ind w:left="200" w:right="200"/>
      </w:pPr>
      <w:r>
        <w:rPr>
          <w:rFonts w:ascii="Calibri" w:hAnsi="Calibri"/>
          <w:b/>
          <w:color w:val="1F4D78"/>
          <w:sz w:val="22"/>
        </w:rPr>
        <w:t xml:space="preserve">Result: </w:t>
      </w:r>
      <w:r>
        <w:rPr>
          <w:rFonts w:ascii="Calibri" w:hAnsi="Calibri"/>
          <w:sz w:val="22"/>
        </w:rPr>
        <w:t>Produced answers reviewers could verify quickly and made unsupported or stale responses visible during testing.</w:t>
      </w:r>
    </w:p>
    <w:p>
      <w:pPr>
        <w:pStyle w:val="Heading2"/>
      </w:pPr>
      <w:r>
        <w:t>AI engineering quality gates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Situation: </w:t>
      </w:r>
      <w:r>
        <w:rPr>
          <w:rFonts w:ascii="Calibri" w:hAnsi="Calibri"/>
          <w:sz w:val="22"/>
        </w:rPr>
        <w:t>Prompt and model changes could improve one example while silently degrading another.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Task: </w:t>
      </w:r>
      <w:r>
        <w:rPr>
          <w:rFonts w:ascii="Calibri" w:hAnsi="Calibri"/>
          <w:sz w:val="22"/>
        </w:rPr>
        <w:t>Create a release discipline for agent behavior.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Action: </w:t>
      </w:r>
      <w:r>
        <w:rPr>
          <w:rFonts w:ascii="Calibri" w:hAnsi="Calibri"/>
          <w:sz w:val="22"/>
        </w:rPr>
        <w:t>Added scenario-level expected outcomes, minimum evaluation thresholds, policy unit tests, and CI checks for both TypeScript and Python services.</w:t>
      </w:r>
    </w:p>
    <w:p>
      <w:pPr>
        <w:spacing w:after="160" w:line="283" w:lineRule="auto" w:before="160"/>
        <w:shd w:fill="F4F6F9"/>
        <w:ind w:left="200" w:right="200"/>
      </w:pPr>
      <w:r>
        <w:rPr>
          <w:rFonts w:ascii="Calibri" w:hAnsi="Calibri"/>
          <w:b/>
          <w:color w:val="1F4D78"/>
          <w:sz w:val="22"/>
        </w:rPr>
        <w:t xml:space="preserve">Result: </w:t>
      </w:r>
      <w:r>
        <w:rPr>
          <w:rFonts w:ascii="Calibri" w:hAnsi="Calibri"/>
          <w:sz w:val="22"/>
        </w:rPr>
        <w:t>Turned subjective demo review into a repeatable pass/fail signal and made regressions easier to diagnose from traces and metric breakdowns.</w:t>
      </w:r>
    </w:p>
    <w:p>
      <w:pPr>
        <w:pStyle w:val="Heading2"/>
      </w:pPr>
      <w:r>
        <w:t>Agent observability and SLOs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Situation: </w:t>
      </w:r>
      <w:r>
        <w:rPr>
          <w:rFonts w:ascii="Calibri" w:hAnsi="Calibri"/>
          <w:sz w:val="22"/>
        </w:rPr>
        <w:t>Agent failures could originate in workflow logic, model behavior, or downstream tools, making a single health check insufficient.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Task: </w:t>
      </w:r>
      <w:r>
        <w:rPr>
          <w:rFonts w:ascii="Calibri" w:hAnsi="Calibri"/>
          <w:sz w:val="22"/>
        </w:rPr>
        <w:t>Create operational views that separated user-facing reliability, cost-quality trade-offs, and dependency health.</w:t>
      </w:r>
    </w:p>
    <w:p>
      <w:pPr>
        <w:spacing w:after="120" w:line="283" w:lineRule="auto"/>
      </w:pPr>
      <w:r>
        <w:rPr>
          <w:rFonts w:ascii="Calibri" w:hAnsi="Calibri"/>
          <w:b/>
          <w:color w:val="1F4D78"/>
          <w:sz w:val="22"/>
        </w:rPr>
        <w:t xml:space="preserve">Action: </w:t>
      </w:r>
      <w:r>
        <w:rPr>
          <w:rFonts w:ascii="Calibri" w:hAnsi="Calibri"/>
          <w:sz w:val="22"/>
        </w:rPr>
        <w:t>Instrumented a typed API with bounded Prometheus metrics, wrote PromQL for three provisioned Grafana dashboards, and defined alerts for success rate, p95 latency, and tool errors.</w:t>
      </w:r>
    </w:p>
    <w:p>
      <w:pPr>
        <w:spacing w:after="160" w:line="283" w:lineRule="auto" w:before="160"/>
        <w:shd w:fill="F4F6F9"/>
        <w:ind w:left="200" w:right="200"/>
      </w:pPr>
      <w:r>
        <w:rPr>
          <w:rFonts w:ascii="Calibri" w:hAnsi="Calibri"/>
          <w:b/>
          <w:color w:val="1F4D78"/>
          <w:sz w:val="22"/>
        </w:rPr>
        <w:t xml:space="preserve">Result: </w:t>
      </w:r>
      <w:r>
        <w:rPr>
          <w:rFonts w:ascii="Calibri" w:hAnsi="Calibri"/>
          <w:sz w:val="22"/>
        </w:rPr>
        <w:t>Produced a repeatable local observability lab and a concrete baseline for choosing production SLOs and alert thresholds after real traffic became available.</w:t>
      </w:r>
    </w:p>
    <w:p>
      <w:pPr>
        <w:pStyle w:val="Heading1"/>
      </w:pPr>
      <w:r>
        <w:t>7. Claims to avoid</w:t>
      </w:r>
    </w:p>
    <w:p>
      <w:pPr>
        <w:pStyle w:val="PortfolioBullet"/>
        <w:keepLines/>
      </w:pPr>
      <w:r>
        <w:rPr>
          <w:rFonts w:ascii="Calibri" w:hAnsi="Calibri"/>
          <w:color w:val="9B1C1C"/>
          <w:sz w:val="22"/>
        </w:rPr>
        <w:t>Deployed autonomous agents at Citi - unless you truly did and can discuss the scope and controls.</w:t>
      </w:r>
    </w:p>
    <w:p>
      <w:pPr>
        <w:pStyle w:val="PortfolioBullet"/>
        <w:keepLines/>
      </w:pPr>
      <w:r>
        <w:rPr>
          <w:rFonts w:ascii="Calibri" w:hAnsi="Calibri"/>
          <w:color w:val="9B1C1C"/>
          <w:sz w:val="22"/>
        </w:rPr>
        <w:t>Reduced costs by millions - without an approved measurement and attribution method.</w:t>
      </w:r>
    </w:p>
    <w:p>
      <w:pPr>
        <w:pStyle w:val="PortfolioBullet"/>
        <w:keepLines/>
      </w:pPr>
      <w:r>
        <w:rPr>
          <w:rFonts w:ascii="Calibri" w:hAnsi="Calibri"/>
          <w:color w:val="9B1C1C"/>
          <w:sz w:val="22"/>
        </w:rPr>
        <w:t>Eliminated hallucinations or achieved 100% accuracy - neither claim is credible.</w:t>
      </w:r>
    </w:p>
    <w:p>
      <w:pPr>
        <w:pStyle w:val="PortfolioBullet"/>
        <w:keepLines/>
      </w:pPr>
      <w:r>
        <w:rPr>
          <w:rFonts w:ascii="Calibri" w:hAnsi="Calibri"/>
          <w:color w:val="9B1C1C"/>
          <w:sz w:val="22"/>
        </w:rPr>
        <w:t>Built Citi's AI platform - if you built a component, prototype, or contributed as part of a team.</w:t>
      </w:r>
    </w:p>
    <w:p>
      <w:pPr>
        <w:pStyle w:val="PortfolioBullet"/>
        <w:keepLines/>
      </w:pPr>
      <w:r>
        <w:rPr>
          <w:rFonts w:ascii="Calibri" w:hAnsi="Calibri"/>
          <w:color w:val="9B1C1C"/>
          <w:sz w:val="22"/>
        </w:rPr>
        <w:t>Any confidential system names, customer data, internal control identifiers, or non-public model decisions.</w:t>
      </w:r>
    </w:p>
    <w:p>
      <w:pPr>
        <w:pStyle w:val="Heading1"/>
      </w:pPr>
      <w:r>
        <w:t>8. Final tailoring checklist</w:t>
      </w:r>
    </w:p>
    <w:p>
      <w:pPr>
        <w:spacing w:after="120" w:line="300" w:lineRule="auto"/>
        <w:ind w:left="720" w:hanging="360"/>
      </w:pPr>
      <w:r>
        <w:rPr>
          <w:rFonts w:ascii="Calibri" w:hAnsi="Calibri"/>
          <w:b/>
          <w:color w:val="2E74B5"/>
          <w:sz w:val="22"/>
        </w:rPr>
        <w:t xml:space="preserve">1. </w:t>
      </w:r>
      <w:r>
        <w:rPr>
          <w:rFonts w:ascii="Calibri" w:hAnsi="Calibri"/>
          <w:sz w:val="22"/>
        </w:rPr>
        <w:t>Match each bullet to a real task, artifact, stakeholder, and outcome you can explain.</w:t>
      </w:r>
    </w:p>
    <w:p>
      <w:pPr>
        <w:spacing w:after="120" w:line="300" w:lineRule="auto"/>
        <w:ind w:left="720" w:hanging="360"/>
      </w:pPr>
      <w:r>
        <w:rPr>
          <w:rFonts w:ascii="Calibri" w:hAnsi="Calibri"/>
          <w:b/>
          <w:color w:val="2E74B5"/>
          <w:sz w:val="22"/>
        </w:rPr>
        <w:t xml:space="preserve">2. </w:t>
      </w:r>
      <w:r>
        <w:rPr>
          <w:rFonts w:ascii="Calibri" w:hAnsi="Calibri"/>
          <w:sz w:val="22"/>
        </w:rPr>
        <w:t>Replace generic words with the actual workflow category, while removing confidential names.</w:t>
      </w:r>
    </w:p>
    <w:p>
      <w:pPr>
        <w:spacing w:after="120" w:line="300" w:lineRule="auto"/>
        <w:ind w:left="720" w:hanging="360"/>
      </w:pPr>
      <w:r>
        <w:rPr>
          <w:rFonts w:ascii="Calibri" w:hAnsi="Calibri"/>
          <w:b/>
          <w:color w:val="2E74B5"/>
          <w:sz w:val="22"/>
        </w:rPr>
        <w:t xml:space="preserve">3. </w:t>
      </w:r>
      <w:r>
        <w:rPr>
          <w:rFonts w:ascii="Calibri" w:hAnsi="Calibri"/>
          <w:sz w:val="22"/>
        </w:rPr>
        <w:t>Add numbers only when you know the baseline, measurement window, and sample size.</w:t>
      </w:r>
    </w:p>
    <w:p>
      <w:pPr>
        <w:spacing w:after="120" w:line="300" w:lineRule="auto"/>
        <w:ind w:left="720" w:hanging="360"/>
      </w:pPr>
      <w:r>
        <w:rPr>
          <w:rFonts w:ascii="Calibri" w:hAnsi="Calibri"/>
          <w:b/>
          <w:color w:val="2E74B5"/>
          <w:sz w:val="22"/>
        </w:rPr>
        <w:t xml:space="preserve">4. </w:t>
      </w:r>
      <w:r>
        <w:rPr>
          <w:rFonts w:ascii="Calibri" w:hAnsi="Calibri"/>
          <w:sz w:val="22"/>
        </w:rPr>
        <w:t>Separate prototype, pilot, and production clearly.</w:t>
      </w:r>
    </w:p>
    <w:p>
      <w:pPr>
        <w:spacing w:after="120" w:line="300" w:lineRule="auto"/>
        <w:ind w:left="720" w:hanging="360"/>
      </w:pPr>
      <w:r>
        <w:rPr>
          <w:rFonts w:ascii="Calibri" w:hAnsi="Calibri"/>
          <w:b/>
          <w:color w:val="2E74B5"/>
          <w:sz w:val="22"/>
        </w:rPr>
        <w:t xml:space="preserve">5. </w:t>
      </w:r>
      <w:r>
        <w:rPr>
          <w:rFonts w:ascii="Calibri" w:hAnsi="Calibri"/>
          <w:sz w:val="22"/>
        </w:rPr>
        <w:t>Keep the portfolio listed as a personal project unless it was formally part of your Citi role.</w:t>
      </w:r>
    </w:p>
    <w:p>
      <w:pPr>
        <w:shd w:fill="E8EEF5"/>
        <w:spacing w:before="240" w:after="240"/>
        <w:ind w:left="320" w:right="320"/>
        <w:jc w:val="center"/>
      </w:pPr>
      <w:r>
        <w:rPr>
          <w:rFonts w:ascii="Calibri" w:hAnsi="Calibri"/>
          <w:b/>
          <w:color w:val="0B2545"/>
          <w:sz w:val="22"/>
        </w:rPr>
        <w:t>Best positioning: bounded autonomy, measurable quality, and enterprise-ready controls.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C6573"/>
        <w:sz w:val="18"/>
      </w:rPr>
      <w:t xml:space="preserve">Roshaan Singh  |  Page </w:t>
    </w:r>
    <w:r>
      <w:rPr>
        <w:rFonts w:ascii="Calibri" w:hAnsi="Calibri"/>
        <w:color w:val="5C6573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C6573"/>
        <w:sz w:val="17"/>
      </w:rPr>
      <w:t>AGENTIC AI  |  RESUME 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ortfolioBullet">
    <w:name w:val="Portfolio Bullet"/>
    <w:basedOn w:val="Normal"/>
    <w:pPr>
      <w:spacing w:after="120" w:line="300" w:lineRule="auto"/>
      <w:ind w:left="720" w:hanging="360"/>
      <w:numPr>
        <w:ilvl w:val="0"/>
        <w:numId w:val="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Resume Integration Guide</dc:title>
  <dc:subject>Truthful resume and interview examples for agentic AI engineering</dc:subject>
  <dc:creator>Roshaan Singh</dc:creator>
  <cp:keywords>agentic AI, resume, Citi, portfolio, engineering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