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4238E" w14:textId="10761E18" w:rsidR="009973F1" w:rsidRDefault="005450D7">
      <w:r>
        <w:t>Simulationstechnik SS 2020</w:t>
      </w:r>
    </w:p>
    <w:p w14:paraId="1E6D2B87" w14:textId="7BADE52F" w:rsidR="005450D7" w:rsidRDefault="005450D7">
      <w:r>
        <w:t>Projekt A</w:t>
      </w:r>
    </w:p>
    <w:p w14:paraId="015EC56A" w14:textId="39332B74" w:rsidR="005450D7" w:rsidRDefault="005450D7">
      <w:r>
        <w:t>Der springende Ball</w:t>
      </w:r>
    </w:p>
    <w:p w14:paraId="7B16C1A7" w14:textId="33100C92" w:rsidR="005450D7" w:rsidRDefault="005450D7">
      <w:r>
        <w:br w:type="page"/>
      </w:r>
    </w:p>
    <w:bookmarkStart w:id="0" w:name="_Toc37235666" w:displacedByCustomXml="next"/>
    <w:sdt>
      <w:sdtPr>
        <w:rPr>
          <w:rFonts w:asciiTheme="minorHAnsi" w:eastAsiaTheme="minorHAnsi" w:hAnsiTheme="minorHAnsi" w:cstheme="minorBidi"/>
          <w:color w:val="auto"/>
          <w:sz w:val="22"/>
          <w:szCs w:val="22"/>
        </w:rPr>
        <w:id w:val="1335722466"/>
        <w:docPartObj>
          <w:docPartGallery w:val="Table of Contents"/>
          <w:docPartUnique/>
        </w:docPartObj>
      </w:sdtPr>
      <w:sdtEndPr>
        <w:rPr>
          <w:b/>
          <w:bCs/>
        </w:rPr>
      </w:sdtEndPr>
      <w:sdtContent>
        <w:p w14:paraId="43217775" w14:textId="59E85BD5" w:rsidR="005450D7" w:rsidRDefault="005450D7" w:rsidP="005450D7">
          <w:pPr>
            <w:pStyle w:val="berschrift1"/>
            <w:numPr>
              <w:ilvl w:val="0"/>
              <w:numId w:val="0"/>
            </w:numPr>
          </w:pPr>
          <w:r>
            <w:t>Inhalt</w:t>
          </w:r>
          <w:bookmarkEnd w:id="0"/>
        </w:p>
        <w:p w14:paraId="79851BAA" w14:textId="6DC145E6" w:rsidR="00DB2BA7"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35666" w:history="1">
            <w:r w:rsidR="00DB2BA7" w:rsidRPr="001B5177">
              <w:rPr>
                <w:rStyle w:val="Hyperlink"/>
                <w:noProof/>
              </w:rPr>
              <w:t>Inhalt</w:t>
            </w:r>
            <w:r w:rsidR="00DB2BA7">
              <w:rPr>
                <w:noProof/>
                <w:webHidden/>
              </w:rPr>
              <w:tab/>
            </w:r>
            <w:r w:rsidR="00DB2BA7">
              <w:rPr>
                <w:noProof/>
                <w:webHidden/>
              </w:rPr>
              <w:fldChar w:fldCharType="begin"/>
            </w:r>
            <w:r w:rsidR="00DB2BA7">
              <w:rPr>
                <w:noProof/>
                <w:webHidden/>
              </w:rPr>
              <w:instrText xml:space="preserve"> PAGEREF _Toc37235666 \h </w:instrText>
            </w:r>
            <w:r w:rsidR="00DB2BA7">
              <w:rPr>
                <w:noProof/>
                <w:webHidden/>
              </w:rPr>
            </w:r>
            <w:r w:rsidR="00DB2BA7">
              <w:rPr>
                <w:noProof/>
                <w:webHidden/>
              </w:rPr>
              <w:fldChar w:fldCharType="separate"/>
            </w:r>
            <w:r w:rsidR="00DB2BA7">
              <w:rPr>
                <w:noProof/>
                <w:webHidden/>
              </w:rPr>
              <w:t>2</w:t>
            </w:r>
            <w:r w:rsidR="00DB2BA7">
              <w:rPr>
                <w:noProof/>
                <w:webHidden/>
              </w:rPr>
              <w:fldChar w:fldCharType="end"/>
            </w:r>
          </w:hyperlink>
        </w:p>
        <w:p w14:paraId="028353D4" w14:textId="71E5AF73" w:rsidR="00DB2BA7" w:rsidRDefault="009973F1">
          <w:pPr>
            <w:pStyle w:val="Verzeichnis1"/>
            <w:tabs>
              <w:tab w:val="left" w:pos="440"/>
              <w:tab w:val="right" w:leader="dot" w:pos="9062"/>
            </w:tabs>
            <w:rPr>
              <w:rFonts w:eastAsiaTheme="minorEastAsia"/>
              <w:noProof/>
              <w:lang w:eastAsia="de-DE"/>
            </w:rPr>
          </w:pPr>
          <w:hyperlink w:anchor="_Toc37235667" w:history="1">
            <w:r w:rsidR="00DB2BA7" w:rsidRPr="001B5177">
              <w:rPr>
                <w:rStyle w:val="Hyperlink"/>
                <w:noProof/>
              </w:rPr>
              <w:t>1</w:t>
            </w:r>
            <w:r w:rsidR="00DB2BA7">
              <w:rPr>
                <w:rFonts w:eastAsiaTheme="minorEastAsia"/>
                <w:noProof/>
                <w:lang w:eastAsia="de-DE"/>
              </w:rPr>
              <w:tab/>
            </w:r>
            <w:r w:rsidR="00DB2BA7" w:rsidRPr="001B5177">
              <w:rPr>
                <w:rStyle w:val="Hyperlink"/>
                <w:noProof/>
              </w:rPr>
              <w:t>Spezifikation und Vereinfachung</w:t>
            </w:r>
            <w:r w:rsidR="00DB2BA7">
              <w:rPr>
                <w:noProof/>
                <w:webHidden/>
              </w:rPr>
              <w:tab/>
            </w:r>
            <w:r w:rsidR="00DB2BA7">
              <w:rPr>
                <w:noProof/>
                <w:webHidden/>
              </w:rPr>
              <w:fldChar w:fldCharType="begin"/>
            </w:r>
            <w:r w:rsidR="00DB2BA7">
              <w:rPr>
                <w:noProof/>
                <w:webHidden/>
              </w:rPr>
              <w:instrText xml:space="preserve"> PAGEREF _Toc37235667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0333A44A" w14:textId="7516F719" w:rsidR="00DB2BA7" w:rsidRDefault="009973F1">
          <w:pPr>
            <w:pStyle w:val="Verzeichnis2"/>
            <w:tabs>
              <w:tab w:val="left" w:pos="880"/>
              <w:tab w:val="right" w:leader="dot" w:pos="9062"/>
            </w:tabs>
            <w:rPr>
              <w:noProof/>
            </w:rPr>
          </w:pPr>
          <w:hyperlink w:anchor="_Toc37235668" w:history="1">
            <w:r w:rsidR="00DB2BA7" w:rsidRPr="001B5177">
              <w:rPr>
                <w:rStyle w:val="Hyperlink"/>
                <w:noProof/>
              </w:rPr>
              <w:t>1.1</w:t>
            </w:r>
            <w:r w:rsidR="00DB2BA7">
              <w:rPr>
                <w:noProof/>
              </w:rPr>
              <w:tab/>
            </w:r>
            <w:r w:rsidR="00DB2BA7" w:rsidRPr="001B5177">
              <w:rPr>
                <w:rStyle w:val="Hyperlink"/>
                <w:noProof/>
              </w:rPr>
              <w:t>Spezifikationen Skript</w:t>
            </w:r>
            <w:r w:rsidR="00DB2BA7">
              <w:rPr>
                <w:noProof/>
                <w:webHidden/>
              </w:rPr>
              <w:tab/>
            </w:r>
            <w:r w:rsidR="00DB2BA7">
              <w:rPr>
                <w:noProof/>
                <w:webHidden/>
              </w:rPr>
              <w:fldChar w:fldCharType="begin"/>
            </w:r>
            <w:r w:rsidR="00DB2BA7">
              <w:rPr>
                <w:noProof/>
                <w:webHidden/>
              </w:rPr>
              <w:instrText xml:space="preserve"> PAGEREF _Toc37235668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F326E2B" w14:textId="06FCC3DD" w:rsidR="00DB2BA7" w:rsidRDefault="009973F1">
          <w:pPr>
            <w:pStyle w:val="Verzeichnis2"/>
            <w:tabs>
              <w:tab w:val="left" w:pos="880"/>
              <w:tab w:val="right" w:leader="dot" w:pos="9062"/>
            </w:tabs>
            <w:rPr>
              <w:noProof/>
            </w:rPr>
          </w:pPr>
          <w:hyperlink w:anchor="_Toc37235669" w:history="1">
            <w:r w:rsidR="00DB2BA7" w:rsidRPr="001B5177">
              <w:rPr>
                <w:rStyle w:val="Hyperlink"/>
                <w:noProof/>
              </w:rPr>
              <w:t>1.2</w:t>
            </w:r>
            <w:r w:rsidR="00DB2BA7">
              <w:rPr>
                <w:noProof/>
              </w:rPr>
              <w:tab/>
            </w:r>
            <w:r w:rsidR="00DB2BA7" w:rsidRPr="001B5177">
              <w:rPr>
                <w:rStyle w:val="Hyperlink"/>
                <w:noProof/>
              </w:rPr>
              <w:t>Spezifikationen Simulation</w:t>
            </w:r>
            <w:r w:rsidR="00DB2BA7">
              <w:rPr>
                <w:noProof/>
                <w:webHidden/>
              </w:rPr>
              <w:tab/>
            </w:r>
            <w:r w:rsidR="00DB2BA7">
              <w:rPr>
                <w:noProof/>
                <w:webHidden/>
              </w:rPr>
              <w:fldChar w:fldCharType="begin"/>
            </w:r>
            <w:r w:rsidR="00DB2BA7">
              <w:rPr>
                <w:noProof/>
                <w:webHidden/>
              </w:rPr>
              <w:instrText xml:space="preserve"> PAGEREF _Toc37235669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7CB95CCD" w14:textId="25E587A6" w:rsidR="00DB2BA7" w:rsidRDefault="009973F1">
          <w:pPr>
            <w:pStyle w:val="Verzeichnis2"/>
            <w:tabs>
              <w:tab w:val="left" w:pos="880"/>
              <w:tab w:val="right" w:leader="dot" w:pos="9062"/>
            </w:tabs>
            <w:rPr>
              <w:noProof/>
            </w:rPr>
          </w:pPr>
          <w:hyperlink w:anchor="_Toc37235670" w:history="1">
            <w:r w:rsidR="00DB2BA7" w:rsidRPr="001B5177">
              <w:rPr>
                <w:rStyle w:val="Hyperlink"/>
                <w:noProof/>
              </w:rPr>
              <w:t>1.3</w:t>
            </w:r>
            <w:r w:rsidR="00DB2BA7">
              <w:rPr>
                <w:noProof/>
              </w:rPr>
              <w:tab/>
            </w:r>
            <w:r w:rsidR="00DB2BA7" w:rsidRPr="001B5177">
              <w:rPr>
                <w:rStyle w:val="Hyperlink"/>
                <w:noProof/>
              </w:rPr>
              <w:t>Vereinfachung</w:t>
            </w:r>
            <w:r w:rsidR="00DB2BA7">
              <w:rPr>
                <w:noProof/>
                <w:webHidden/>
              </w:rPr>
              <w:tab/>
            </w:r>
            <w:r w:rsidR="00DB2BA7">
              <w:rPr>
                <w:noProof/>
                <w:webHidden/>
              </w:rPr>
              <w:fldChar w:fldCharType="begin"/>
            </w:r>
            <w:r w:rsidR="00DB2BA7">
              <w:rPr>
                <w:noProof/>
                <w:webHidden/>
              </w:rPr>
              <w:instrText xml:space="preserve"> PAGEREF _Toc37235670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E2A207A" w14:textId="0C4EF08A" w:rsidR="00DB2BA7" w:rsidRDefault="009973F1">
          <w:pPr>
            <w:pStyle w:val="Verzeichnis1"/>
            <w:tabs>
              <w:tab w:val="left" w:pos="440"/>
              <w:tab w:val="right" w:leader="dot" w:pos="9062"/>
            </w:tabs>
            <w:rPr>
              <w:rFonts w:eastAsiaTheme="minorEastAsia"/>
              <w:noProof/>
              <w:lang w:eastAsia="de-DE"/>
            </w:rPr>
          </w:pPr>
          <w:hyperlink w:anchor="_Toc37235671" w:history="1">
            <w:r w:rsidR="00DB2BA7" w:rsidRPr="001B5177">
              <w:rPr>
                <w:rStyle w:val="Hyperlink"/>
                <w:noProof/>
              </w:rPr>
              <w:t>2</w:t>
            </w:r>
            <w:r w:rsidR="00DB2BA7">
              <w:rPr>
                <w:rFonts w:eastAsiaTheme="minorEastAsia"/>
                <w:noProof/>
                <w:lang w:eastAsia="de-DE"/>
              </w:rPr>
              <w:tab/>
            </w:r>
            <w:r w:rsidR="00DB2BA7" w:rsidRPr="001B5177">
              <w:rPr>
                <w:rStyle w:val="Hyperlink"/>
                <w:noProof/>
              </w:rPr>
              <w:t>Mathematische Gleichungen</w:t>
            </w:r>
            <w:r w:rsidR="00DB2BA7">
              <w:rPr>
                <w:noProof/>
                <w:webHidden/>
              </w:rPr>
              <w:tab/>
            </w:r>
            <w:r w:rsidR="00DB2BA7">
              <w:rPr>
                <w:noProof/>
                <w:webHidden/>
              </w:rPr>
              <w:fldChar w:fldCharType="begin"/>
            </w:r>
            <w:r w:rsidR="00DB2BA7">
              <w:rPr>
                <w:noProof/>
                <w:webHidden/>
              </w:rPr>
              <w:instrText xml:space="preserve"> PAGEREF _Toc37235671 \h </w:instrText>
            </w:r>
            <w:r w:rsidR="00DB2BA7">
              <w:rPr>
                <w:noProof/>
                <w:webHidden/>
              </w:rPr>
            </w:r>
            <w:r w:rsidR="00DB2BA7">
              <w:rPr>
                <w:noProof/>
                <w:webHidden/>
              </w:rPr>
              <w:fldChar w:fldCharType="separate"/>
            </w:r>
            <w:r w:rsidR="00DB2BA7">
              <w:rPr>
                <w:noProof/>
                <w:webHidden/>
              </w:rPr>
              <w:t>4</w:t>
            </w:r>
            <w:r w:rsidR="00DB2BA7">
              <w:rPr>
                <w:noProof/>
                <w:webHidden/>
              </w:rPr>
              <w:fldChar w:fldCharType="end"/>
            </w:r>
          </w:hyperlink>
        </w:p>
        <w:p w14:paraId="612CD9D6" w14:textId="48A41D46" w:rsidR="00DB2BA7" w:rsidRDefault="009973F1">
          <w:pPr>
            <w:pStyle w:val="Verzeichnis1"/>
            <w:tabs>
              <w:tab w:val="left" w:pos="440"/>
              <w:tab w:val="right" w:leader="dot" w:pos="9062"/>
            </w:tabs>
            <w:rPr>
              <w:rFonts w:eastAsiaTheme="minorEastAsia"/>
              <w:noProof/>
              <w:lang w:eastAsia="de-DE"/>
            </w:rPr>
          </w:pPr>
          <w:hyperlink w:anchor="_Toc37235672" w:history="1">
            <w:r w:rsidR="00DB2BA7" w:rsidRPr="001B5177">
              <w:rPr>
                <w:rStyle w:val="Hyperlink"/>
                <w:noProof/>
              </w:rPr>
              <w:t>3</w:t>
            </w:r>
            <w:r w:rsidR="00DB2BA7">
              <w:rPr>
                <w:rFonts w:eastAsiaTheme="minorEastAsia"/>
                <w:noProof/>
                <w:lang w:eastAsia="de-DE"/>
              </w:rPr>
              <w:tab/>
            </w:r>
            <w:r w:rsidR="00DB2BA7" w:rsidRPr="001B5177">
              <w:rPr>
                <w:rStyle w:val="Hyperlink"/>
                <w:noProof/>
              </w:rPr>
              <w:t>Simulink Modell</w:t>
            </w:r>
            <w:r w:rsidR="00DB2BA7">
              <w:rPr>
                <w:noProof/>
                <w:webHidden/>
              </w:rPr>
              <w:tab/>
            </w:r>
            <w:r w:rsidR="00DB2BA7">
              <w:rPr>
                <w:noProof/>
                <w:webHidden/>
              </w:rPr>
              <w:fldChar w:fldCharType="begin"/>
            </w:r>
            <w:r w:rsidR="00DB2BA7">
              <w:rPr>
                <w:noProof/>
                <w:webHidden/>
              </w:rPr>
              <w:instrText xml:space="preserve"> PAGEREF _Toc37235672 \h </w:instrText>
            </w:r>
            <w:r w:rsidR="00DB2BA7">
              <w:rPr>
                <w:noProof/>
                <w:webHidden/>
              </w:rPr>
            </w:r>
            <w:r w:rsidR="00DB2BA7">
              <w:rPr>
                <w:noProof/>
                <w:webHidden/>
              </w:rPr>
              <w:fldChar w:fldCharType="separate"/>
            </w:r>
            <w:r w:rsidR="00DB2BA7">
              <w:rPr>
                <w:noProof/>
                <w:webHidden/>
              </w:rPr>
              <w:t>5</w:t>
            </w:r>
            <w:r w:rsidR="00DB2BA7">
              <w:rPr>
                <w:noProof/>
                <w:webHidden/>
              </w:rPr>
              <w:fldChar w:fldCharType="end"/>
            </w:r>
          </w:hyperlink>
        </w:p>
        <w:p w14:paraId="10ADC7C7" w14:textId="770519E6" w:rsidR="00DB2BA7" w:rsidRDefault="009973F1">
          <w:pPr>
            <w:pStyle w:val="Verzeichnis1"/>
            <w:tabs>
              <w:tab w:val="left" w:pos="440"/>
              <w:tab w:val="right" w:leader="dot" w:pos="9062"/>
            </w:tabs>
            <w:rPr>
              <w:rFonts w:eastAsiaTheme="minorEastAsia"/>
              <w:noProof/>
              <w:lang w:eastAsia="de-DE"/>
            </w:rPr>
          </w:pPr>
          <w:hyperlink w:anchor="_Toc37235673" w:history="1">
            <w:r w:rsidR="00DB2BA7" w:rsidRPr="001B5177">
              <w:rPr>
                <w:rStyle w:val="Hyperlink"/>
                <w:noProof/>
              </w:rPr>
              <w:t>4</w:t>
            </w:r>
            <w:r w:rsidR="00DB2BA7">
              <w:rPr>
                <w:rFonts w:eastAsiaTheme="minorEastAsia"/>
                <w:noProof/>
                <w:lang w:eastAsia="de-DE"/>
              </w:rPr>
              <w:tab/>
            </w:r>
            <w:r w:rsidR="00DB2BA7" w:rsidRPr="001B5177">
              <w:rPr>
                <w:rStyle w:val="Hyperlink"/>
                <w:noProof/>
              </w:rPr>
              <w:t>Ergebnisse</w:t>
            </w:r>
            <w:r w:rsidR="00DB2BA7">
              <w:rPr>
                <w:noProof/>
                <w:webHidden/>
              </w:rPr>
              <w:tab/>
            </w:r>
            <w:r w:rsidR="00DB2BA7">
              <w:rPr>
                <w:noProof/>
                <w:webHidden/>
              </w:rPr>
              <w:fldChar w:fldCharType="begin"/>
            </w:r>
            <w:r w:rsidR="00DB2BA7">
              <w:rPr>
                <w:noProof/>
                <w:webHidden/>
              </w:rPr>
              <w:instrText xml:space="preserve"> PAGEREF _Toc37235673 \h </w:instrText>
            </w:r>
            <w:r w:rsidR="00DB2BA7">
              <w:rPr>
                <w:noProof/>
                <w:webHidden/>
              </w:rPr>
            </w:r>
            <w:r w:rsidR="00DB2BA7">
              <w:rPr>
                <w:noProof/>
                <w:webHidden/>
              </w:rPr>
              <w:fldChar w:fldCharType="separate"/>
            </w:r>
            <w:r w:rsidR="00DB2BA7">
              <w:rPr>
                <w:noProof/>
                <w:webHidden/>
              </w:rPr>
              <w:t>6</w:t>
            </w:r>
            <w:r w:rsidR="00DB2BA7">
              <w:rPr>
                <w:noProof/>
                <w:webHidden/>
              </w:rPr>
              <w:fldChar w:fldCharType="end"/>
            </w:r>
          </w:hyperlink>
        </w:p>
        <w:p w14:paraId="75D5D962" w14:textId="3A727374" w:rsidR="00DB2BA7" w:rsidRDefault="009973F1">
          <w:pPr>
            <w:pStyle w:val="Verzeichnis1"/>
            <w:tabs>
              <w:tab w:val="left" w:pos="440"/>
              <w:tab w:val="right" w:leader="dot" w:pos="9062"/>
            </w:tabs>
            <w:rPr>
              <w:rFonts w:eastAsiaTheme="minorEastAsia"/>
              <w:noProof/>
              <w:lang w:eastAsia="de-DE"/>
            </w:rPr>
          </w:pPr>
          <w:hyperlink w:anchor="_Toc37235674" w:history="1">
            <w:r w:rsidR="00DB2BA7" w:rsidRPr="001B5177">
              <w:rPr>
                <w:rStyle w:val="Hyperlink"/>
                <w:noProof/>
              </w:rPr>
              <w:t>5</w:t>
            </w:r>
            <w:r w:rsidR="00DB2BA7">
              <w:rPr>
                <w:rFonts w:eastAsiaTheme="minorEastAsia"/>
                <w:noProof/>
                <w:lang w:eastAsia="de-DE"/>
              </w:rPr>
              <w:tab/>
            </w:r>
            <w:r w:rsidR="00DB2BA7" w:rsidRPr="001B5177">
              <w:rPr>
                <w:rStyle w:val="Hyperlink"/>
                <w:noProof/>
              </w:rPr>
              <w:t>Validierung</w:t>
            </w:r>
            <w:r w:rsidR="00DB2BA7">
              <w:rPr>
                <w:noProof/>
                <w:webHidden/>
              </w:rPr>
              <w:tab/>
            </w:r>
            <w:r w:rsidR="00DB2BA7">
              <w:rPr>
                <w:noProof/>
                <w:webHidden/>
              </w:rPr>
              <w:fldChar w:fldCharType="begin"/>
            </w:r>
            <w:r w:rsidR="00DB2BA7">
              <w:rPr>
                <w:noProof/>
                <w:webHidden/>
              </w:rPr>
              <w:instrText xml:space="preserve"> PAGEREF _Toc37235674 \h </w:instrText>
            </w:r>
            <w:r w:rsidR="00DB2BA7">
              <w:rPr>
                <w:noProof/>
                <w:webHidden/>
              </w:rPr>
            </w:r>
            <w:r w:rsidR="00DB2BA7">
              <w:rPr>
                <w:noProof/>
                <w:webHidden/>
              </w:rPr>
              <w:fldChar w:fldCharType="separate"/>
            </w:r>
            <w:r w:rsidR="00DB2BA7">
              <w:rPr>
                <w:noProof/>
                <w:webHidden/>
              </w:rPr>
              <w:t>7</w:t>
            </w:r>
            <w:r w:rsidR="00DB2BA7">
              <w:rPr>
                <w:noProof/>
                <w:webHidden/>
              </w:rPr>
              <w:fldChar w:fldCharType="end"/>
            </w:r>
          </w:hyperlink>
        </w:p>
        <w:p w14:paraId="75F092A0" w14:textId="34DC1101"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1" w:name="_Toc37235667"/>
      <w:r>
        <w:lastRenderedPageBreak/>
        <w:t>Spezifikation und Vereinfachung</w:t>
      </w:r>
      <w:bookmarkEnd w:id="1"/>
    </w:p>
    <w:p w14:paraId="40C8C591" w14:textId="196B48FA" w:rsidR="00DB2BA7" w:rsidRPr="00DB2BA7" w:rsidRDefault="005450D7" w:rsidP="00DB2BA7">
      <w:pPr>
        <w:pStyle w:val="berschrift2"/>
      </w:pPr>
      <w:bookmarkStart w:id="2" w:name="_Toc37235668"/>
      <w:r>
        <w:t>Spezifikationen Skript</w:t>
      </w:r>
      <w:bookmarkEnd w:id="2"/>
    </w:p>
    <w:p w14:paraId="177C6CE6" w14:textId="7AA19880" w:rsidR="005450D7" w:rsidRDefault="00DB2BA7" w:rsidP="005450D7">
      <w:pPr>
        <w:rPr>
          <w:rFonts w:cstheme="minorHAnsi"/>
        </w:rPr>
      </w:pPr>
      <w:r>
        <w:t>Die Skript Datei für Matlab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r w:rsidR="00145291">
        <w:t xml:space="preserve">Matlab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3" w:name="_Toc37235669"/>
      <w:r>
        <w:t>Spezifikationen Simulation</w:t>
      </w:r>
      <w:bookmarkEnd w:id="3"/>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r w:rsidR="00DC3133">
        <w:t>Matlab Skripts zurückgegeben, um die Berechnung der Ausgabeplots zu ermöglichen.</w:t>
      </w:r>
    </w:p>
    <w:p w14:paraId="402153BC" w14:textId="5217DB05"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w:t>
      </w:r>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4" w:name="_Toc37235670"/>
      <w:r>
        <w:t>Vereinfachung</w:t>
      </w:r>
      <w:bookmarkEnd w:id="4"/>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Der Stoß beim Aufprall erfolgt unelastisch; die Plastizität des Balls und Bodens werden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71E8468F" w:rsidR="00763BEC" w:rsidRDefault="00763BEC" w:rsidP="00AF6D2A">
      <w:pPr>
        <w:pStyle w:val="Listenabsatz"/>
        <w:numPr>
          <w:ilvl w:val="0"/>
          <w:numId w:val="7"/>
        </w:numPr>
      </w:pPr>
      <w:r>
        <w:t>In der Berechnung wird auf das Umwandeln des Winkels in rad verzichtet.</w:t>
      </w:r>
      <w:r w:rsidR="009115A3">
        <w:t xml:space="preserve"> Stattdessen wird die trigonometrischen Matlab Funktionen für Winkel in Grad verwendet.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5" w:name="_Toc37235671"/>
      <w:r>
        <w:lastRenderedPageBreak/>
        <w:t>Mathematische Gleichungen</w:t>
      </w:r>
      <w:bookmarkEnd w:id="5"/>
    </w:p>
    <w:p w14:paraId="141B9E6E" w14:textId="417E31C2" w:rsidR="005450D7" w:rsidRDefault="00AF6D2A" w:rsidP="00AF6D2A">
      <w:pPr>
        <w:pStyle w:val="berschrift2"/>
      </w:pPr>
      <w:r>
        <w:t>Einheitenverzeichnis</w:t>
      </w:r>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r>
        <w:t>Formelverzeichnis</w:t>
      </w:r>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r>
              <w:t>Wurfhöhe</w:t>
            </w:r>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54C285F9" w:rsidR="0058212D" w:rsidRDefault="009973F1" w:rsidP="00AF6D2A">
            <m:oMathPara>
              <m:oMath>
                <m:sSub>
                  <m:sSubPr>
                    <m:ctrlPr>
                      <w:rPr>
                        <w:rFonts w:ascii="Cambria Math" w:hAnsi="Cambria Math"/>
                        <w:i/>
                      </w:rPr>
                    </m:ctrlPr>
                  </m:sSubPr>
                  <m:e>
                    <m:r>
                      <w:rPr>
                        <w:rFonts w:ascii="Cambria Math" w:hAnsi="Cambria Math"/>
                      </w:rPr>
                      <m:t>v</m:t>
                    </m:r>
                  </m:e>
                  <m:sub>
                    <m:r>
                      <w:rPr>
                        <w:rFonts w:ascii="Cambria Math" w:hAnsi="Cambria Math"/>
                      </w:rPr>
                      <m:t>neu</m:t>
                    </m:r>
                  </m:sub>
                </m:sSub>
                <m:r>
                  <w:rPr>
                    <w:rFonts w:ascii="Cambria Math" w:hAnsi="Cambria Math"/>
                  </w:rPr>
                  <m:t>=-e</m:t>
                </m:r>
                <m:r>
                  <w:rPr>
                    <w:rFonts w:ascii="Cambria Math" w:eastAsiaTheme="minorEastAsia" w:hAnsi="Cambria Math"/>
                  </w:rPr>
                  <m:t>*v</m:t>
                </m:r>
              </m:oMath>
            </m:oMathPara>
          </w:p>
        </w:tc>
      </w:tr>
    </w:tbl>
    <w:p w14:paraId="1DE8F8BD" w14:textId="77777777" w:rsidR="00F52EA3" w:rsidRDefault="00F52EA3" w:rsidP="00AF6D2A"/>
    <w:p w14:paraId="10275742" w14:textId="22AB5FE3" w:rsidR="00AF6D2A" w:rsidRDefault="00AF6D2A" w:rsidP="00AF6D2A">
      <w:pPr>
        <w:pStyle w:val="berschrift2"/>
      </w:pPr>
      <w:r>
        <w:t>Startparameter und Konstanten</w:t>
      </w:r>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(min/max)</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(alpha)</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6BE9C500" w:rsidR="001113F8" w:rsidRDefault="001113F8" w:rsidP="0058212D"/>
    <w:p w14:paraId="0237896A" w14:textId="77777777" w:rsidR="001113F8" w:rsidRDefault="001113F8">
      <w:r>
        <w:br w:type="page"/>
      </w:r>
    </w:p>
    <w:p w14:paraId="4F7D01B1" w14:textId="0A6CBB2E" w:rsidR="009115A3" w:rsidRDefault="00F52EA3" w:rsidP="009115A3">
      <w:pPr>
        <w:pStyle w:val="berschrift2"/>
      </w:pPr>
      <w:r>
        <w:lastRenderedPageBreak/>
        <w:t>Herleitung der Bewegungsgleichungen</w:t>
      </w:r>
    </w:p>
    <w:p w14:paraId="4045E062" w14:textId="77777777" w:rsidR="00F52EA3" w:rsidRDefault="00F52EA3" w:rsidP="0000612A">
      <w:pPr>
        <w:keepNext/>
        <w:jc w:val="center"/>
      </w:pPr>
      <w:r>
        <w:rPr>
          <w:noProof/>
        </w:rPr>
        <w:drawing>
          <wp:inline distT="0" distB="0" distL="0" distR="0" wp14:anchorId="3CA7D812" wp14:editId="560C90FA">
            <wp:extent cx="5753735" cy="25704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2570480"/>
                    </a:xfrm>
                    <a:prstGeom prst="rect">
                      <a:avLst/>
                    </a:prstGeom>
                    <a:noFill/>
                    <a:ln>
                      <a:noFill/>
                    </a:ln>
                  </pic:spPr>
                </pic:pic>
              </a:graphicData>
            </a:graphic>
          </wp:inline>
        </w:drawing>
      </w:r>
    </w:p>
    <w:p w14:paraId="0855811F" w14:textId="7AEE74BD" w:rsidR="00F52EA3" w:rsidRPr="00F52EA3" w:rsidRDefault="00F52EA3" w:rsidP="00F52EA3">
      <w:pPr>
        <w:pStyle w:val="Beschriftung"/>
        <w:jc w:val="center"/>
      </w:pPr>
      <w:r>
        <w:t xml:space="preserve">Abb. </w:t>
      </w:r>
      <w:fldSimple w:instr=" SEQ Abb. \* ARABIC ">
        <w:r w:rsidR="009973F1">
          <w:rPr>
            <w:noProof/>
          </w:rPr>
          <w:t>1</w:t>
        </w:r>
      </w:fldSimple>
      <w:r w:rsidR="001113F8">
        <w:t xml:space="preserve"> – Skizze Aufgabenstellung</w:t>
      </w:r>
    </w:p>
    <w:p w14:paraId="239A2A4A" w14:textId="6C55163F" w:rsidR="009115A3" w:rsidRDefault="009115A3" w:rsidP="009115A3"/>
    <w:p w14:paraId="17436607" w14:textId="1F305344" w:rsidR="009115A3" w:rsidRDefault="00F52EA3" w:rsidP="009115A3">
      <w:r>
        <w:t>Freischneiden ergibt nach dem Ansatz von Newton</w:t>
      </w:r>
      <w:r w:rsidR="007B2B61">
        <w:t xml:space="preserve"> mit den oben spezifizierten Vereinfachungen</w:t>
      </w:r>
      <w:r>
        <w:t xml:space="preserve"> folgende Gleichung für die y-Richtung:</w:t>
      </w:r>
    </w:p>
    <w:p w14:paraId="6E60311D" w14:textId="676DFBF1" w:rsidR="00F52EA3" w:rsidRPr="00F52EA3" w:rsidRDefault="00F52EA3" w:rsidP="009115A3">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m:oMathPara>
    </w:p>
    <w:p w14:paraId="131CC18C" w14:textId="4E7060DD" w:rsidR="00F52EA3" w:rsidRPr="007B2B61" w:rsidRDefault="00F52EA3" w:rsidP="009115A3">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p w14:paraId="55CAE803" w14:textId="6424FF6B" w:rsidR="007B2B61" w:rsidRPr="007B2B61" w:rsidRDefault="007B2B61" w:rsidP="007B2B61">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oMath>
      </m:oMathPara>
    </w:p>
    <w:p w14:paraId="7D8257D1" w14:textId="7E23F21A" w:rsidR="007B2B61" w:rsidRPr="00E55BDD" w:rsidRDefault="007B2B61" w:rsidP="007B2B61">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0</m:t>
              </m:r>
            </m:sub>
          </m:sSub>
        </m:oMath>
      </m:oMathPara>
    </w:p>
    <w:p w14:paraId="440BB8DF" w14:textId="41F6E087" w:rsidR="00E55BDD" w:rsidRDefault="00E55BDD" w:rsidP="007B2B61">
      <w:pPr>
        <w:rPr>
          <w:rFonts w:eastAsiaTheme="minorEastAsia"/>
        </w:rPr>
      </w:pPr>
      <w:r>
        <w:rPr>
          <w:rFonts w:eastAsiaTheme="minorEastAsia"/>
        </w:rPr>
        <w:t>Und für die x-Richtung:</w:t>
      </w:r>
    </w:p>
    <w:p w14:paraId="0CC2C166" w14:textId="04B7983F" w:rsidR="00E55BDD" w:rsidRPr="00E55BDD" w:rsidRDefault="00E55BDD" w:rsidP="00E55BDD">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=0</m:t>
          </m:r>
        </m:oMath>
      </m:oMathPara>
    </w:p>
    <w:p w14:paraId="12584DE8" w14:textId="4A04F02D" w:rsidR="00E55BDD" w:rsidRPr="00A509B0" w:rsidRDefault="00E55BDD" w:rsidP="00E55BD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oMath>
      </m:oMathPara>
    </w:p>
    <w:p w14:paraId="2FD7E852" w14:textId="695E486B" w:rsidR="00A509B0" w:rsidRPr="0099609E" w:rsidRDefault="00A509B0" w:rsidP="00A509B0">
      <w:pPr>
        <w:rPr>
          <w:rFonts w:eastAsiaTheme="minorEastAsia"/>
        </w:rPr>
      </w:pPr>
      <m:oMathPara>
        <m:oMath>
          <m:r>
            <w:rPr>
              <w:rFonts w:ascii="Cambria Math" w:hAnsi="Cambria Math"/>
            </w:rPr>
            <m:t>≙x=</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0</m:t>
              </m:r>
            </m:sub>
          </m:sSub>
        </m:oMath>
      </m:oMathPara>
    </w:p>
    <w:p w14:paraId="150B4D0B" w14:textId="289037F7" w:rsidR="0099609E" w:rsidRDefault="0099609E" w:rsidP="00A509B0">
      <w:pPr>
        <w:rPr>
          <w:rFonts w:eastAsiaTheme="minorEastAsia"/>
        </w:rPr>
      </w:pPr>
      <w:r>
        <w:rPr>
          <w:rFonts w:eastAsiaTheme="minorEastAsia"/>
        </w:rPr>
        <w:t>Die Startgeschwindigkeiten in x- und y-Richtungen ergeben sich aus der geometrischen Zerlegung der Startgeschwindigkeit in ihre vertikale und horizontale Komponente, die Starthöhe ist nach Aufgabenstellung konstant und die Wurfweite wird ab dem Abwurfpunkt gemessen, damit erhält man für die beiden Bewegungsgleichungen:</w:t>
      </w:r>
    </w:p>
    <w:p w14:paraId="1E19E4A9" w14:textId="22E0FF5A" w:rsidR="0099609E" w:rsidRPr="007B2B61" w:rsidRDefault="0099609E" w:rsidP="00A509B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*t+22 m</m:t>
          </m:r>
        </m:oMath>
      </m:oMathPara>
    </w:p>
    <w:p w14:paraId="3A7EDC58" w14:textId="40A187A9" w:rsidR="00A509B0" w:rsidRPr="00F52EA3" w:rsidRDefault="0099609E" w:rsidP="00E55BDD">
      <w:pPr>
        <w:rPr>
          <w:rFonts w:eastAsiaTheme="minorEastAsia"/>
        </w:rPr>
      </w:pPr>
      <m:oMathPara>
        <m:oMath>
          <m:r>
            <w:rPr>
              <w:rFonts w:ascii="Cambria Math" w:hAnsi="Cambria Math"/>
            </w:rPr>
            <m:t>x=</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m:t>
          </m:r>
        </m:oMath>
      </m:oMathPara>
    </w:p>
    <w:p w14:paraId="4840EB3B" w14:textId="77777777" w:rsidR="007B2B61" w:rsidRPr="00F52EA3" w:rsidRDefault="007B2B61" w:rsidP="009115A3">
      <w:pPr>
        <w:rPr>
          <w:rFonts w:eastAsiaTheme="minorEastAsia"/>
        </w:rPr>
      </w:pPr>
    </w:p>
    <w:p w14:paraId="0C419E15" w14:textId="77777777" w:rsidR="00F52EA3" w:rsidRPr="00F52EA3" w:rsidRDefault="00F52EA3" w:rsidP="009115A3">
      <w:pPr>
        <w:rPr>
          <w:rFonts w:eastAsiaTheme="minorEastAsia"/>
        </w:rPr>
      </w:pPr>
    </w:p>
    <w:p w14:paraId="6BC8C08D" w14:textId="77777777" w:rsidR="00F52EA3" w:rsidRPr="00F52EA3" w:rsidRDefault="00F52EA3" w:rsidP="009115A3">
      <w:pPr>
        <w:rPr>
          <w:rFonts w:eastAsiaTheme="minorEastAsia"/>
        </w:rPr>
      </w:pPr>
    </w:p>
    <w:p w14:paraId="5A0F2F76" w14:textId="4CD20B0D" w:rsidR="005450D7" w:rsidRDefault="005450D7">
      <w:r>
        <w:br w:type="page"/>
      </w:r>
    </w:p>
    <w:p w14:paraId="30FED48E" w14:textId="55A008E7" w:rsidR="005450D7" w:rsidRDefault="005450D7" w:rsidP="005450D7">
      <w:pPr>
        <w:pStyle w:val="berschrift1"/>
      </w:pPr>
      <w:bookmarkStart w:id="6" w:name="_Toc37235672"/>
      <w:r>
        <w:lastRenderedPageBreak/>
        <w:t>Simulink Modell</w:t>
      </w:r>
      <w:bookmarkEnd w:id="6"/>
    </w:p>
    <w:p w14:paraId="77826DD7" w14:textId="4388AEA9" w:rsidR="005450D7" w:rsidRDefault="005450D7" w:rsidP="0000612A">
      <w:pPr>
        <w:jc w:val="center"/>
      </w:pPr>
    </w:p>
    <w:p w14:paraId="2357B9CA" w14:textId="777F503F" w:rsidR="005450D7" w:rsidRDefault="005450D7">
      <w:r>
        <w:br w:type="page"/>
      </w:r>
    </w:p>
    <w:p w14:paraId="6A36873B" w14:textId="6C47ED58" w:rsidR="005450D7" w:rsidRDefault="00C33DF4" w:rsidP="00C33DF4">
      <w:pPr>
        <w:pStyle w:val="berschrift1"/>
      </w:pPr>
      <w:bookmarkStart w:id="7" w:name="_Toc37235673"/>
      <w:r>
        <w:lastRenderedPageBreak/>
        <w:t>Ergebnisse</w:t>
      </w:r>
      <w:bookmarkEnd w:id="7"/>
    </w:p>
    <w:p w14:paraId="10CB28A2" w14:textId="540E1E38" w:rsidR="00C33DF4" w:rsidRPr="0000612A" w:rsidRDefault="0000612A" w:rsidP="00C33DF4">
      <w:r>
        <w:t>Die Ausführung des Simulink Modells erfolgt unter Verwendung einer Fixed-Step Size von 10</w:t>
      </w:r>
      <w:r>
        <w:rPr>
          <w:vertAlign w:val="superscript"/>
        </w:rPr>
        <w:t>-4</w:t>
      </w:r>
      <w:r>
        <w:t xml:space="preserve"> s</w:t>
      </w:r>
      <w:r w:rsidR="00660D19">
        <w:t>. In Abb. 2. sind die Eingaben für die Startparameter und die Statusausgaben des Programms zu erkenn.</w:t>
      </w:r>
    </w:p>
    <w:p w14:paraId="6F12C647" w14:textId="77777777" w:rsidR="0000612A" w:rsidRDefault="0000612A" w:rsidP="0000612A">
      <w:pPr>
        <w:keepNext/>
        <w:jc w:val="center"/>
      </w:pPr>
      <w:r>
        <w:rPr>
          <w:noProof/>
        </w:rPr>
        <w:drawing>
          <wp:inline distT="0" distB="0" distL="0" distR="0" wp14:anchorId="065E77CE" wp14:editId="14222EEE">
            <wp:extent cx="2212845" cy="1440000"/>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2845" cy="1440000"/>
                    </a:xfrm>
                    <a:prstGeom prst="rect">
                      <a:avLst/>
                    </a:prstGeom>
                    <a:noFill/>
                    <a:ln>
                      <a:noFill/>
                    </a:ln>
                  </pic:spPr>
                </pic:pic>
              </a:graphicData>
            </a:graphic>
          </wp:inline>
        </w:drawing>
      </w:r>
    </w:p>
    <w:p w14:paraId="463BC957" w14:textId="60659305" w:rsidR="0000612A" w:rsidRDefault="0000612A" w:rsidP="0000612A">
      <w:pPr>
        <w:pStyle w:val="Beschriftung"/>
        <w:jc w:val="center"/>
      </w:pPr>
      <w:r>
        <w:t xml:space="preserve">Abb. </w:t>
      </w:r>
      <w:fldSimple w:instr=" SEQ Abb. \* ARABIC ">
        <w:r w:rsidR="009973F1">
          <w:rPr>
            <w:noProof/>
          </w:rPr>
          <w:t>2</w:t>
        </w:r>
      </w:fldSimple>
      <w:r>
        <w:t xml:space="preserve"> - Ausgaben Programmstatus</w:t>
      </w:r>
    </w:p>
    <w:p w14:paraId="3D102A5B" w14:textId="150D60E6" w:rsidR="004A1BE4" w:rsidRDefault="00660D19" w:rsidP="004A1BE4">
      <w:r>
        <w:t>Abbildung 3 zeigt den Plot der senkrechten Geschwindigkeit sowie der Höhe und der senkrechten Beschleunigung über der Zeit</w:t>
      </w:r>
      <w:r w:rsidR="004A1BE4">
        <w:t>:</w:t>
      </w:r>
    </w:p>
    <w:p w14:paraId="143D53FC" w14:textId="77777777" w:rsidR="004A1BE4" w:rsidRDefault="0000612A" w:rsidP="004A1BE4">
      <w:pPr>
        <w:keepNext/>
        <w:jc w:val="center"/>
      </w:pPr>
      <w:r>
        <w:rPr>
          <w:noProof/>
        </w:rPr>
        <w:drawing>
          <wp:inline distT="0" distB="0" distL="0" distR="0" wp14:anchorId="6FB10A4F" wp14:editId="1CC56F48">
            <wp:extent cx="3998418" cy="3600000"/>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98418" cy="3600000"/>
                    </a:xfrm>
                    <a:prstGeom prst="rect">
                      <a:avLst/>
                    </a:prstGeom>
                    <a:noFill/>
                    <a:ln>
                      <a:noFill/>
                    </a:ln>
                  </pic:spPr>
                </pic:pic>
              </a:graphicData>
            </a:graphic>
          </wp:inline>
        </w:drawing>
      </w:r>
    </w:p>
    <w:p w14:paraId="45F954EE" w14:textId="692AE509" w:rsidR="00660D19" w:rsidRDefault="004A1BE4" w:rsidP="004A1BE4">
      <w:pPr>
        <w:pStyle w:val="Beschriftung"/>
        <w:jc w:val="center"/>
      </w:pPr>
      <w:r>
        <w:t xml:space="preserve">Abb. </w:t>
      </w:r>
      <w:fldSimple w:instr=" SEQ Abb. \* ARABIC ">
        <w:r w:rsidR="009973F1">
          <w:rPr>
            <w:noProof/>
          </w:rPr>
          <w:t>3</w:t>
        </w:r>
      </w:fldSimple>
      <w:r>
        <w:t xml:space="preserve"> - Figure 1</w:t>
      </w:r>
    </w:p>
    <w:p w14:paraId="78EC48B2" w14:textId="3D4B1A2B" w:rsidR="004A1BE4" w:rsidRDefault="004A1BE4" w:rsidP="004A1BE4">
      <w:r>
        <w:t>In Abbildung 4 ist der senkrechte Weg des Balls über dem horizontalen Weg dargestellt:</w:t>
      </w:r>
    </w:p>
    <w:p w14:paraId="2EC51018" w14:textId="77777777" w:rsidR="007461E1" w:rsidRDefault="007461E1" w:rsidP="007461E1">
      <w:pPr>
        <w:keepNext/>
        <w:jc w:val="center"/>
      </w:pPr>
      <w:r>
        <w:rPr>
          <w:noProof/>
        </w:rPr>
        <w:lastRenderedPageBreak/>
        <w:drawing>
          <wp:inline distT="0" distB="0" distL="0" distR="0" wp14:anchorId="4E32F63A" wp14:editId="5B858C71">
            <wp:extent cx="3998788" cy="3600000"/>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0537A975" w14:textId="692A6AFC" w:rsidR="004A1BE4" w:rsidRPr="004A1BE4" w:rsidRDefault="007461E1" w:rsidP="007461E1">
      <w:pPr>
        <w:pStyle w:val="Beschriftung"/>
        <w:jc w:val="center"/>
      </w:pPr>
      <w:r>
        <w:t xml:space="preserve">Abb. </w:t>
      </w:r>
      <w:fldSimple w:instr=" SEQ Abb. \* ARABIC ">
        <w:r w:rsidR="009973F1">
          <w:rPr>
            <w:noProof/>
          </w:rPr>
          <w:t>4</w:t>
        </w:r>
      </w:fldSimple>
      <w:r>
        <w:t xml:space="preserve"> - Figure 2</w:t>
      </w:r>
    </w:p>
    <w:p w14:paraId="4E7CC3BD" w14:textId="1927296B" w:rsidR="00C33DF4" w:rsidRDefault="00C33DF4" w:rsidP="00C33DF4">
      <w:pPr>
        <w:pStyle w:val="berschrift1"/>
      </w:pPr>
      <w:bookmarkStart w:id="8" w:name="_Toc37235674"/>
      <w:r>
        <w:t>Validierung</w:t>
      </w:r>
      <w:bookmarkEnd w:id="8"/>
    </w:p>
    <w:p w14:paraId="0E6CB7C1" w14:textId="5F87D81E" w:rsidR="007461E1" w:rsidRDefault="007461E1" w:rsidP="007461E1">
      <w:r>
        <w:t>Die Validierung des Simulink-Modells soll wie die Berechnung getrennt für die horizontale und die vertikale Bewegungsrichtung erfolgen.</w:t>
      </w:r>
      <w:r w:rsidR="0078666D">
        <w:t xml:space="preserve"> </w:t>
      </w:r>
      <w:r>
        <w:t>Für die senkrechte Bewegungsrichtung wird der Zeitpunkt des ersten Aufschlags auf dem Boden aus Figure 1 abgelesen sowie die neue vertikale Geschwindigkeit nach dem hier erfolgendem Stoß abgelesen:</w:t>
      </w:r>
    </w:p>
    <w:p w14:paraId="347407F1" w14:textId="77777777" w:rsidR="007461E1" w:rsidRDefault="007461E1" w:rsidP="007461E1">
      <w:pPr>
        <w:keepNext/>
        <w:jc w:val="center"/>
      </w:pPr>
      <w:r>
        <w:rPr>
          <w:noProof/>
        </w:rPr>
        <w:drawing>
          <wp:inline distT="0" distB="0" distL="0" distR="0" wp14:anchorId="7DF73FCC" wp14:editId="3A5D91C9">
            <wp:extent cx="3998788" cy="3600000"/>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6E0E7600" w14:textId="4B80A554" w:rsidR="007461E1" w:rsidRDefault="007461E1" w:rsidP="007461E1">
      <w:pPr>
        <w:pStyle w:val="Beschriftung"/>
        <w:jc w:val="center"/>
      </w:pPr>
      <w:r>
        <w:t xml:space="preserve">Abb. </w:t>
      </w:r>
      <w:fldSimple w:instr=" SEQ Abb. \* ARABIC ">
        <w:r w:rsidR="009973F1">
          <w:rPr>
            <w:noProof/>
          </w:rPr>
          <w:t>5</w:t>
        </w:r>
      </w:fldSimple>
      <w:r>
        <w:t xml:space="preserve"> - Figure 2, Validierung</w:t>
      </w:r>
    </w:p>
    <w:p w14:paraId="75D0CC3A" w14:textId="5521DE90" w:rsidR="007461E1" w:rsidRPr="007461E1" w:rsidRDefault="007461E1" w:rsidP="007461E1">
      <w:r>
        <w:lastRenderedPageBreak/>
        <w:t xml:space="preserve">In </w:t>
      </w:r>
      <w:r w:rsidR="00FA722F">
        <w:t>der</w:t>
      </w:r>
      <w:r>
        <w:t xml:space="preserve"> Formel für die vertikale Bewegung aus Abschnitt </w:t>
      </w:r>
      <w:r w:rsidR="00FA722F">
        <w:t>2.</w:t>
      </w:r>
      <w:r>
        <w:t>4 wird die</w:t>
      </w:r>
      <w:r w:rsidR="00FA722F">
        <w:t xml:space="preserve"> Höhe gleich 0 gesetzt und die</w:t>
      </w:r>
      <w:r>
        <w:t xml:space="preserve"> Startgeschwindigkeit und –winkel</w:t>
      </w:r>
      <w:r w:rsidR="00FA722F">
        <w:t xml:space="preserve"> aus Abschnitt 4 eingesetzt, damit erhält man:</w:t>
      </w:r>
    </w:p>
    <w:p w14:paraId="5C94F26A" w14:textId="69B8AF3B" w:rsidR="007461E1" w:rsidRPr="00FA722F" w:rsidRDefault="00FA722F" w:rsidP="007461E1">
      <w:pPr>
        <w:rPr>
          <w:rFonts w:eastAsiaTheme="minorEastAsia"/>
        </w:rPr>
      </w:pPr>
      <m:oMathPara>
        <m:oMath>
          <m:r>
            <w:rPr>
              <w:rFonts w:ascii="Cambria Math" w:hAnsi="Cambria Math"/>
            </w:rPr>
            <m:t>0 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*t+22 m</m:t>
          </m:r>
        </m:oMath>
      </m:oMathPara>
    </w:p>
    <w:p w14:paraId="6D2752BB" w14:textId="4FD77BBC" w:rsidR="00FA722F" w:rsidRPr="00FA722F" w:rsidRDefault="00FA722F" w:rsidP="007461E1">
      <w:pPr>
        <w:rPr>
          <w:rFonts w:eastAsiaTheme="minorEastAsia"/>
        </w:rPr>
      </w:pPr>
      <m:oMathPara>
        <m:oMath>
          <m:r>
            <w:rPr>
              <w:rFonts w:ascii="Cambria Math" w:hAnsi="Cambria Math"/>
            </w:rPr>
            <m:t>≙4,905</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*t-22 m=0</m:t>
          </m:r>
        </m:oMath>
      </m:oMathPara>
    </w:p>
    <w:p w14:paraId="3D2D34C9" w14:textId="584F15E5" w:rsidR="00FA722F" w:rsidRPr="001627F2" w:rsidRDefault="00FA722F" w:rsidP="007461E1">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 xml:space="preserve">7,06 </m:t>
          </m:r>
          <m:r>
            <w:rPr>
              <w:rFonts w:ascii="Cambria Math" w:eastAsiaTheme="minorEastAsia" w:hAnsi="Cambria Math"/>
            </w:rPr>
            <m:t>s</m:t>
          </m:r>
          <m:r>
            <w:rPr>
              <w:rFonts w:ascii="Cambria Math" w:eastAsiaTheme="minorEastAsia" w:hAnsi="Cambria Math"/>
            </w:rPr>
            <m:t>*t-</m:t>
          </m:r>
          <m:r>
            <w:rPr>
              <w:rFonts w:ascii="Cambria Math" w:eastAsiaTheme="minorEastAsia" w:hAnsi="Cambria Math"/>
            </w:rPr>
            <m:t xml:space="preserve">4,49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m:oMathPara>
    </w:p>
    <w:p w14:paraId="6D07E56E" w14:textId="01498BF9" w:rsidR="001627F2" w:rsidRDefault="001627F2" w:rsidP="007461E1">
      <w:pPr>
        <w:rPr>
          <w:rFonts w:eastAsiaTheme="minorEastAsia"/>
        </w:rPr>
      </w:pPr>
      <w:r>
        <w:rPr>
          <w:rFonts w:eastAsiaTheme="minorEastAsia"/>
        </w:rPr>
        <w:t>Damit erhält man aus der pq-Formel:</w:t>
      </w:r>
    </w:p>
    <w:p w14:paraId="7D8B7FEF" w14:textId="6E823893" w:rsidR="001627F2" w:rsidRPr="001627F2" w:rsidRDefault="001627F2" w:rsidP="007461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e>
                  </m:d>
                </m:e>
                <m:sup>
                  <m:r>
                    <w:rPr>
                      <w:rFonts w:ascii="Cambria Math" w:eastAsiaTheme="minorEastAsia" w:hAnsi="Cambria Math"/>
                    </w:rPr>
                    <m:t>2</m:t>
                  </m:r>
                </m:sup>
              </m:sSup>
              <m:r>
                <w:rPr>
                  <w:rFonts w:ascii="Cambria Math" w:eastAsiaTheme="minorEastAsia" w:hAnsi="Cambria Math"/>
                </w:rPr>
                <m:t>+4,49</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2</m:t>
                  </m:r>
                </m:sup>
              </m:sSup>
              <m:r>
                <w:rPr>
                  <w:rFonts w:ascii="Cambria Math" w:eastAsiaTheme="minorEastAsia" w:hAnsi="Cambria Math"/>
                </w:rPr>
                <m:t xml:space="preserve"> </m:t>
              </m:r>
            </m:e>
          </m:rad>
        </m:oMath>
      </m:oMathPara>
    </w:p>
    <w:p w14:paraId="69E75CA9" w14:textId="40B6F3D2" w:rsidR="001627F2" w:rsidRPr="001627F2"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16,95 s</m:t>
                  </m:r>
                </m:e>
                <m:sup>
                  <m:r>
                    <w:rPr>
                      <w:rFonts w:ascii="Cambria Math" w:eastAsiaTheme="minorEastAsia" w:hAnsi="Cambria Math"/>
                    </w:rPr>
                    <m:t>2</m:t>
                  </m:r>
                </m:sup>
              </m:sSup>
            </m:e>
          </m:rad>
        </m:oMath>
      </m:oMathPara>
    </w:p>
    <w:p w14:paraId="290D5E9F" w14:textId="72D429AB" w:rsidR="001627F2" w:rsidRPr="0078666D"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s±4,12 s</m:t>
          </m:r>
        </m:oMath>
      </m:oMathPara>
    </w:p>
    <w:p w14:paraId="3B22C345" w14:textId="6FCF0775" w:rsidR="001627F2" w:rsidRPr="0078666D" w:rsidRDefault="0078666D" w:rsidP="007461E1">
      <w:pPr>
        <w:rPr>
          <w:rStyle w:val="box"/>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=-0,59 s </m:t>
          </m:r>
          <m:r>
            <m:rPr>
              <m:sty m:val="p"/>
            </m:rPr>
            <w:rPr>
              <w:rStyle w:val="box"/>
              <w:rFonts w:ascii="Cambria Math" w:hAnsi="Cambria Math" w:cs="Cambria Math"/>
            </w:rPr>
            <m:t>↯</m:t>
          </m:r>
        </m:oMath>
      </m:oMathPara>
    </w:p>
    <w:p w14:paraId="562A0F77" w14:textId="0D630145" w:rsidR="0078666D" w:rsidRPr="0078666D" w:rsidRDefault="0078666D" w:rsidP="0078666D">
      <w:pPr>
        <w:rPr>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=7,65 s</m:t>
          </m:r>
        </m:oMath>
      </m:oMathPara>
    </w:p>
    <w:p w14:paraId="2A345E67" w14:textId="77FA9C95" w:rsidR="0078666D" w:rsidRDefault="0078666D" w:rsidP="0078666D">
      <w:pPr>
        <w:rPr>
          <w:rFonts w:eastAsiaTheme="minorEastAsia"/>
        </w:rPr>
      </w:pPr>
      <w:r>
        <w:rPr>
          <w:rFonts w:eastAsiaTheme="minorEastAsia"/>
        </w:rPr>
        <w:t>7,65 Sekunden entsprechen mit hinreichender Genauigkeit dem Ergebnis von 7,649 Sekunden aus der Simulation.</w:t>
      </w:r>
    </w:p>
    <w:p w14:paraId="6455ECEC" w14:textId="352E6249" w:rsidR="0078666D" w:rsidRDefault="0078666D" w:rsidP="0078666D">
      <w:pPr>
        <w:rPr>
          <w:rFonts w:eastAsiaTheme="minorEastAsia"/>
        </w:rPr>
      </w:pPr>
      <w:r>
        <w:rPr>
          <w:rFonts w:eastAsiaTheme="minorEastAsia"/>
        </w:rPr>
        <w:t>Die senkrechte Geschwindigkeit beträgt demnach zum Zeitpunkt des Aufschlags:</w:t>
      </w:r>
    </w:p>
    <w:p w14:paraId="4F7D5B84" w14:textId="68180E5F" w:rsidR="0078666D" w:rsidRPr="0078666D" w:rsidRDefault="0078666D" w:rsidP="0078666D">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=-g*7,</m:t>
          </m:r>
          <m:r>
            <w:rPr>
              <w:rFonts w:ascii="Cambria Math" w:hAnsi="Cambria Math"/>
            </w:rPr>
            <m:t>65</m:t>
          </m:r>
          <m:r>
            <w:rPr>
              <w:rFonts w:ascii="Cambria Math" w:hAnsi="Cambria Math"/>
            </w:rPr>
            <m:t xml:space="preserve"> s+</m:t>
          </m:r>
          <m:r>
            <w:rPr>
              <w:rFonts w:ascii="Cambria Math" w:eastAsiaTheme="minorEastAsia"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4282278C" w14:textId="2DB935CD" w:rsidR="0078666D" w:rsidRPr="009973F1" w:rsidRDefault="0078666D" w:rsidP="0078666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*7,</m:t>
          </m:r>
          <m:r>
            <w:rPr>
              <w:rFonts w:ascii="Cambria Math" w:eastAsiaTheme="minorEastAsia" w:hAnsi="Cambria Math"/>
            </w:rPr>
            <m:t>65</m:t>
          </m:r>
          <m:r>
            <w:rPr>
              <w:rFonts w:ascii="Cambria Math" w:eastAsiaTheme="minorEastAsia" w:hAnsi="Cambria Math"/>
            </w:rPr>
            <m:t xml:space="preserve"> s+34,64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3551D230" w14:textId="1588EB3B" w:rsidR="009973F1" w:rsidRDefault="009973F1" w:rsidP="0078666D">
      <w:pPr>
        <w:rPr>
          <w:rFonts w:eastAsiaTheme="minorEastAsia"/>
        </w:rPr>
      </w:pPr>
      <w:r>
        <w:rPr>
          <w:rFonts w:eastAsiaTheme="minorEastAsia"/>
        </w:rPr>
        <w:t>Und nach dem Stoß gegen die starre Wand (Boden):</w:t>
      </w:r>
    </w:p>
    <w:p w14:paraId="40B50123" w14:textId="17140032" w:rsidR="009973F1" w:rsidRPr="009973F1" w:rsidRDefault="009973F1" w:rsidP="0078666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=-e</m:t>
          </m:r>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m:oMathPara>
    </w:p>
    <w:p w14:paraId="34F6707C" w14:textId="7385F6E7" w:rsidR="009973F1" w:rsidRPr="009973F1" w:rsidRDefault="009973F1" w:rsidP="009973F1">
      <w:pPr>
        <w:rPr>
          <w:rFonts w:eastAsiaTheme="minorEastAsia"/>
        </w:rPr>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=-0,74</m:t>
          </m:r>
          <m:r>
            <w:rPr>
              <w:rFonts w:ascii="Cambria Math" w:eastAsiaTheme="minorEastAsia" w:hAnsi="Cambria Math"/>
            </w:rPr>
            <m:t>*</m:t>
          </m:r>
          <m:r>
            <w:rPr>
              <w:rFonts w:ascii="Cambria Math" w:hAnsi="Cambria Math"/>
            </w:rPr>
            <m:t>-</m:t>
          </m:r>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=29,90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755DE796" w14:textId="5F831EAF" w:rsidR="009973F1" w:rsidRDefault="009973F1" w:rsidP="009973F1">
      <w:pPr>
        <w:rPr>
          <w:rFonts w:eastAsiaTheme="minorEastAsia"/>
        </w:rPr>
      </w:pPr>
      <w:r>
        <w:rPr>
          <w:rFonts w:eastAsiaTheme="minorEastAsia"/>
        </w:rPr>
        <w:t>Dies deckt sich ebenfalls mit dem aus Abb. 5 abgelesenen Wert, somit ist das Modell für die senkrechte Bewegung validiert.</w:t>
      </w:r>
    </w:p>
    <w:p w14:paraId="6754EAC3" w14:textId="77777777" w:rsidR="009973F1" w:rsidRDefault="009973F1">
      <w:pPr>
        <w:rPr>
          <w:rFonts w:eastAsiaTheme="minorEastAsia"/>
        </w:rPr>
      </w:pPr>
      <w:r>
        <w:rPr>
          <w:rFonts w:eastAsiaTheme="minorEastAsia"/>
        </w:rPr>
        <w:br w:type="page"/>
      </w:r>
    </w:p>
    <w:p w14:paraId="21D36FEA" w14:textId="4099CCDC" w:rsidR="009973F1" w:rsidRDefault="009973F1" w:rsidP="009973F1">
      <w:pPr>
        <w:rPr>
          <w:rFonts w:eastAsiaTheme="minorEastAsia"/>
        </w:rPr>
      </w:pPr>
      <w:r>
        <w:rPr>
          <w:rFonts w:eastAsiaTheme="minorEastAsia"/>
        </w:rPr>
        <w:lastRenderedPageBreak/>
        <w:t>Für die Validierung der horizontalen Bewegung wird ebenfalls der Zeitpunkt des ersten Aufschlags auf dem Boden verwendet, das Ergebnis der Simulation ist in Abbildung 6 abzulesen:</w:t>
      </w:r>
    </w:p>
    <w:p w14:paraId="6A5B393D" w14:textId="77777777" w:rsidR="009973F1" w:rsidRDefault="009973F1" w:rsidP="009973F1">
      <w:pPr>
        <w:keepNext/>
        <w:jc w:val="center"/>
      </w:pPr>
      <w:r>
        <w:rPr>
          <w:rFonts w:eastAsiaTheme="minorEastAsia"/>
          <w:noProof/>
        </w:rPr>
        <w:drawing>
          <wp:inline distT="0" distB="0" distL="0" distR="0" wp14:anchorId="1B57E72D" wp14:editId="5A30D334">
            <wp:extent cx="3998788" cy="3600000"/>
            <wp:effectExtent l="0" t="0" r="190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17DF79FB" w14:textId="75E19885" w:rsidR="009973F1" w:rsidRDefault="009973F1" w:rsidP="009973F1">
      <w:pPr>
        <w:pStyle w:val="Beschriftung"/>
        <w:jc w:val="center"/>
      </w:pPr>
      <w:r>
        <w:t xml:space="preserve">Abb. </w:t>
      </w:r>
      <w:fldSimple w:instr=" SEQ Abb. \* ARABIC ">
        <w:r>
          <w:rPr>
            <w:noProof/>
          </w:rPr>
          <w:t>6</w:t>
        </w:r>
      </w:fldSimple>
      <w:r>
        <w:t xml:space="preserve"> - Figure 2, Validierung</w:t>
      </w:r>
    </w:p>
    <w:p w14:paraId="6AA527B7" w14:textId="324A9657" w:rsidR="009973F1" w:rsidRPr="009973F1" w:rsidRDefault="009973F1" w:rsidP="009973F1">
      <w:r>
        <w:t>Auch hier werden die Startparameter aus Abschnitt 4 in die Bewegungsgleichung aus Abschnitt 2.4 eingesetzt:</w:t>
      </w:r>
    </w:p>
    <w:p w14:paraId="407B1BB3" w14:textId="664C0AEC" w:rsidR="00B86342" w:rsidRPr="00B86342" w:rsidRDefault="009973F1" w:rsidP="009973F1">
      <w:pPr>
        <w:rPr>
          <w:rFonts w:eastAsiaTheme="minorEastAsia"/>
        </w:rPr>
      </w:pPr>
      <m:oMathPara>
        <m:oMath>
          <m:r>
            <w:rPr>
              <w:rFonts w:ascii="Cambria Math" w:hAnsi="Cambria Math"/>
            </w:rPr>
            <m:t>x=</m:t>
          </m:r>
          <m:r>
            <w:rPr>
              <w:rFonts w:ascii="Cambria Math" w:eastAsiaTheme="minorEastAsia" w:hAnsi="Cambria Math"/>
            </w:rPr>
            <m:t xml:space="preserve">40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 xml:space="preserve">*7,65 </m:t>
          </m:r>
          <m:r>
            <w:rPr>
              <w:rFonts w:ascii="Cambria Math" w:eastAsiaTheme="minorEastAsia" w:hAnsi="Cambria Math"/>
            </w:rPr>
            <m:t>s=153 m</m:t>
          </m:r>
        </m:oMath>
      </m:oMathPara>
    </w:p>
    <w:p w14:paraId="0E4BF2AE" w14:textId="57D6E3E8" w:rsidR="00B86342" w:rsidRPr="00F52EA3" w:rsidRDefault="00B86342" w:rsidP="009973F1">
      <w:pPr>
        <w:rPr>
          <w:rFonts w:eastAsiaTheme="minorEastAsia"/>
        </w:rPr>
      </w:pPr>
      <w:r>
        <w:rPr>
          <w:rFonts w:eastAsiaTheme="minorEastAsia"/>
        </w:rPr>
        <w:t>Somit ist auch das Modell für die horizontale Bewegung validiert.</w:t>
      </w:r>
      <w:bookmarkStart w:id="9" w:name="_GoBack"/>
      <w:bookmarkEnd w:id="9"/>
    </w:p>
    <w:p w14:paraId="0C112856" w14:textId="77777777" w:rsidR="009973F1" w:rsidRPr="009973F1" w:rsidRDefault="009973F1" w:rsidP="009973F1"/>
    <w:p w14:paraId="2388A65B" w14:textId="77777777" w:rsidR="009973F1" w:rsidRPr="009973F1" w:rsidRDefault="009973F1" w:rsidP="009973F1"/>
    <w:p w14:paraId="75583EF9" w14:textId="6CEA17E5" w:rsidR="009973F1" w:rsidRDefault="009973F1" w:rsidP="0078666D">
      <w:pPr>
        <w:rPr>
          <w:rFonts w:eastAsiaTheme="minorEastAsia"/>
        </w:rPr>
      </w:pPr>
    </w:p>
    <w:p w14:paraId="7FBE1B8A" w14:textId="77777777" w:rsidR="009973F1" w:rsidRPr="009973F1" w:rsidRDefault="009973F1" w:rsidP="0078666D">
      <w:pPr>
        <w:rPr>
          <w:rFonts w:eastAsiaTheme="minorEastAsia"/>
        </w:rPr>
      </w:pPr>
    </w:p>
    <w:p w14:paraId="7C8DCDB6" w14:textId="77777777" w:rsidR="0078666D" w:rsidRPr="0078666D" w:rsidRDefault="0078666D" w:rsidP="0078666D">
      <w:pPr>
        <w:rPr>
          <w:rStyle w:val="box"/>
          <w:rFonts w:eastAsiaTheme="minorEastAsia"/>
        </w:rPr>
      </w:pPr>
    </w:p>
    <w:p w14:paraId="745E0671" w14:textId="77777777" w:rsidR="0078666D" w:rsidRPr="0078666D" w:rsidRDefault="0078666D" w:rsidP="007461E1">
      <w:pPr>
        <w:rPr>
          <w:rStyle w:val="box"/>
          <w:rFonts w:eastAsiaTheme="minorEastAsia"/>
        </w:rPr>
      </w:pPr>
    </w:p>
    <w:p w14:paraId="22BC18E7" w14:textId="77777777" w:rsidR="0078666D" w:rsidRPr="001627F2" w:rsidRDefault="0078666D" w:rsidP="007461E1">
      <w:pPr>
        <w:rPr>
          <w:rFonts w:eastAsiaTheme="minorEastAsia"/>
        </w:rPr>
      </w:pPr>
    </w:p>
    <w:p w14:paraId="389202BC" w14:textId="77777777" w:rsidR="001627F2" w:rsidRPr="007B2B61" w:rsidRDefault="001627F2" w:rsidP="007461E1">
      <w:pPr>
        <w:rPr>
          <w:rFonts w:eastAsiaTheme="minorEastAsia"/>
        </w:rPr>
      </w:pPr>
    </w:p>
    <w:p w14:paraId="68D5DCD0" w14:textId="77777777" w:rsidR="007461E1" w:rsidRPr="007461E1" w:rsidRDefault="007461E1" w:rsidP="007461E1"/>
    <w:sectPr w:rsidR="007461E1" w:rsidRPr="007461E1">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4C2B" w14:textId="77777777" w:rsidR="0080131A" w:rsidRDefault="0080131A" w:rsidP="00C33DF4">
      <w:pPr>
        <w:spacing w:after="0" w:line="240" w:lineRule="auto"/>
      </w:pPr>
      <w:r>
        <w:separator/>
      </w:r>
    </w:p>
  </w:endnote>
  <w:endnote w:type="continuationSeparator" w:id="0">
    <w:p w14:paraId="2AA71A9E" w14:textId="77777777" w:rsidR="0080131A" w:rsidRDefault="0080131A"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6D316" w14:textId="77777777" w:rsidR="0080131A" w:rsidRDefault="0080131A" w:rsidP="00C33DF4">
      <w:pPr>
        <w:spacing w:after="0" w:line="240" w:lineRule="auto"/>
      </w:pPr>
      <w:r>
        <w:separator/>
      </w:r>
    </w:p>
  </w:footnote>
  <w:footnote w:type="continuationSeparator" w:id="0">
    <w:p w14:paraId="621110EB" w14:textId="77777777" w:rsidR="0080131A" w:rsidRDefault="0080131A"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9973F1" w:rsidRPr="00C33DF4" w:rsidRDefault="009973F1">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9973F1" w:rsidRDefault="009973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00612A"/>
    <w:rsid w:val="001113F8"/>
    <w:rsid w:val="00145291"/>
    <w:rsid w:val="001627F2"/>
    <w:rsid w:val="002938FE"/>
    <w:rsid w:val="003A6F38"/>
    <w:rsid w:val="004A1BE4"/>
    <w:rsid w:val="004E3DB1"/>
    <w:rsid w:val="005450D7"/>
    <w:rsid w:val="0058212D"/>
    <w:rsid w:val="0064737D"/>
    <w:rsid w:val="00660D19"/>
    <w:rsid w:val="007461E1"/>
    <w:rsid w:val="00763BEC"/>
    <w:rsid w:val="0078666D"/>
    <w:rsid w:val="007B2B61"/>
    <w:rsid w:val="008005A7"/>
    <w:rsid w:val="0080131A"/>
    <w:rsid w:val="009115A3"/>
    <w:rsid w:val="0099609E"/>
    <w:rsid w:val="009973F1"/>
    <w:rsid w:val="009C21F1"/>
    <w:rsid w:val="00A509B0"/>
    <w:rsid w:val="00A64C55"/>
    <w:rsid w:val="00AF6D2A"/>
    <w:rsid w:val="00B86342"/>
    <w:rsid w:val="00C06C9B"/>
    <w:rsid w:val="00C33DF4"/>
    <w:rsid w:val="00DB2BA7"/>
    <w:rsid w:val="00DC3133"/>
    <w:rsid w:val="00E55BDD"/>
    <w:rsid w:val="00EC470E"/>
    <w:rsid w:val="00F52EA3"/>
    <w:rsid w:val="00FA7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52EA3"/>
    <w:pPr>
      <w:spacing w:after="200" w:line="240" w:lineRule="auto"/>
    </w:pPr>
    <w:rPr>
      <w:i/>
      <w:iCs/>
      <w:color w:val="44546A" w:themeColor="text2"/>
      <w:sz w:val="18"/>
      <w:szCs w:val="18"/>
    </w:rPr>
  </w:style>
  <w:style w:type="character" w:customStyle="1" w:styleId="box">
    <w:name w:val="box"/>
    <w:basedOn w:val="Absatz-Standardschriftart"/>
    <w:rsid w:val="0078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B782E-F591-4D70-B1E0-7101B89B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980</Words>
  <Characters>6179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Hauke Neuber</cp:lastModifiedBy>
  <cp:revision>4</cp:revision>
  <dcterms:created xsi:type="dcterms:W3CDTF">2020-04-08T08:30:00Z</dcterms:created>
  <dcterms:modified xsi:type="dcterms:W3CDTF">2020-04-24T13:12:00Z</dcterms:modified>
</cp:coreProperties>
</file>