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 (Descrição de Cada Característica)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3045"/>
        <w:gridCol w:w="5160"/>
        <w:tblGridChange w:id="0">
          <w:tblGrid>
            <w:gridCol w:w="1635"/>
            <w:gridCol w:w="3045"/>
            <w:gridCol w:w="5160"/>
          </w:tblGrid>
        </w:tblGridChange>
      </w:tblGrid>
      <w:tr>
        <w:trPr>
          <w:trHeight w:val="345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realiza cadastro de Parceiro: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Parceiro (Restaurante / lanchonete / Loja de presentes);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CNPJ/CPF proprietário;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desconto disponível.</w:t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remova o parceiro da lista de parceiros.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parceiro a plano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adiciona o parceiro já cadastrado a um plano de excursão seguindo os seguintes critérios: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se encontra na rota da excursão;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estará aberto na data e horário da excursão;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possui capacidade para todos os clientes da excursão.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cadastra plano de excursão para padronizar viagens de acordo com o destino: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Destino;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Sugestão de roteiro (pontos turísticos, parceiros, passeios).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exclua o plano de excursão.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Agendar uma nova excursão: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Destino;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de partida;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previsto partida;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Ponto de encontro;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previsto retorno;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vagas;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remova a excursão da lista de excursões.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Plano de excursão a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a empresa realizar o cadastro de excursão é necessário vincular o ID do plano de excursão específico para aquele destino, importante lembrar que o plano não é obrigatório dando a opção do cliente seguir ou não.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Acompanhamento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 empresa realizar o gerenciamento da excursão como por exemplo: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custos da viagem;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clientes;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recebido;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receber;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cancelamentos.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 realiza o cadastro de informações: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nascimento;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CPF;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E-mail;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senha de acesso ao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Acessar informações da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deve ter acesso às informações da excursão e do plano de excursão antes, durante e depois da data da viagem.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Vincular 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através do 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excursão que ele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adquiriu.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Desistência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 cliente solicite o cancelamento de sua compra, o mesmo deve ser removido da excursão e não poderá ver informações da viagem.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conta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cliente realize a exclusão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qualquer usuário informe os custos durante uma viagem e exibe o total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pagamentos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realize o cadastros de pagamentos e adicione recibos e comprovantes.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Registrar estorno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registre o estorno em caso de cancelamento do cliente seguindo as regras: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cancelado dentro do prazo informado pela empresa, estornar valor integral;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cancelado após o prazo informado pela empresa, estornar valor parcial.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comprovantes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a realização de um estorno, a empresa envia recibo ou comprovante para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pesquisa de satisfação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empresa envia ao cliente um formulário solicitando um feedback após a realização da viagem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visualize o retorno dos formulários;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disponibilizado para a empresa um relatório com gráficos dos custos e lucros de cada viagem, junto a sugestões e opiniões dos clientes.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valdo Takai" w:id="2" w:date="2021-05-24T21:39:0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todas as descrições</w:t>
      </w:r>
    </w:p>
  </w:comment>
  <w:comment w:author="Osvaldo Takai" w:id="0" w:date="2021-05-24T21:38:00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ter no mínimo 25 características!</w:t>
      </w:r>
    </w:p>
  </w:comment>
  <w:comment w:author="Osvaldo Takai" w:id="1" w:date="2021-05-24T21:39:0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características não são feitas de Gerenciar e Cadastro!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