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Tracking and Reconstruction of Bi-Manual Object Handling Task Using RGB-D Sensing</w:t>
      </w:r>
    </w:p>
    <w:p>
      <w:pPr>
        <w:pStyle w:val="Heading2"/>
      </w:pPr>
      <w:r>
        <w:t>Abstract</w:t>
      </w:r>
    </w:p>
    <w:p>
      <w:r>
        <w:t>Bimanual object handling is a fundamental human skill, and replaying such motions supports imitation learning, avatar animation, and clinical assessment. Conventional motion‑capture systems rely on multi‑camera rigs that require careful calibration and expert operation, while wearable systems impose hardware on the subject. This thesis demonstrates that a single consumer‑grade RGB‑D camera, combined with three printed ArUco markers, can track a person’s upper body and a hand‑held object during a desk‑based task and reconstruct both within a metric scene suitable for digital‑twin playback.</w:t>
      </w:r>
    </w:p>
    <w:p>
      <w:r>
        <w:t>The core challenge lies in sensing reliability. The landmark detector may output points even when the corresponding body part is occluded or absent. The object and the opposite hand frequently hide the wrist; the hands themselves obscure the hips, causing the depth map to default to the desk surface. The landmark set does not uniquely determine wrist orientation, and each frame must be solved independently as it arrives.</w:t>
      </w:r>
    </w:p>
    <w:p>
      <w:r>
        <w:t>The proposed pipeline contains two branches. The "landmark branch" converts RGB‑D body landmarks into a torso pose and four joint angles per arm. The "marker branch" establishes a world coordinate frame on the desk and tracks the object within it. The branches share only the captured frames and the world frame. Object pose information provides an additional geometric constraint when a wrist is lost, and the elbow pose follows from two‑link inverse kinematics. Outlier landmarks are rejected, remembered depth substitutes for occluded hips, and all reconstructed quantities are labelled as measured, held, or constrained before entering the rendered scene.</w:t>
      </w:r>
    </w:p>
    <w:p>
      <w:r>
        <w:t>The evaluation tracks a cube moving across a desk and along a rail, both single‑handed and during a handover. Tape‑measured distances between marker‑defined waypoints range from 3.5 to 37.5 cm, while reconstructed lengths differ by 0.53 to 2.83 cm depending on detection settings. Desk‑level segments reconstruct slightly short, whereas later segments reconstruct long. Because the route is not registered into the world frame, point‑to‑path distances are unavailable. Under single‑hand grip, the reconstructed wrist‑to‑marker separation remains within roughly 2 cm of its tape measurement. Object constraints assist recovery during one natural occlusion interval but not another. The causal pipeline replays the motion at the recorded rate of approximately 29 fps, producing smooth output playback; however, a full live‑camera session was not validated.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