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w:t>
      </w:r>
    </w:p>
    <w:p>
      <w:r>
        <w:t>This thesis examines the extent to which a person and a manipulated object can be reconstructed from one consumer-grade colour and depth (RGB-D) camera. It also examines the contribution of object tracking when the body landmarks fail, and the limits that remain from the sensing, the carried state and the single viewpoint. A fixed sensor observes the torso, both arms and a marked cube while a single subject performs a desk task in three recordings. None of the recordings establishes accuracy for general bimanual manipulation.</w:t>
      </w:r>
    </w:p>
    <w:p>
      <w:pPr>
        <w:pStyle w:val="Heading2"/>
      </w:pPr>
      <w:r>
        <w:t>1.1 Motivation</w:t>
      </w:r>
    </w:p>
    <w:p>
      <w:r>
        <w:t>Imitation learning in robotics uses recorded human demonstrations of coordinated two-handed tasks [1], [2]. Virtual reality (VR) and augmented reality animate avatars from skeletal pose data together with object poses [3], [4].</w:t>
      </w:r>
    </w:p>
    <w:p>
      <w:r>
        <w:t>An avatar replay of a patient's upper-body motion could help a physician assess reaching and hand transfers in Parkinson's disease, stroke, or age-related loss of coordination [5], [6]. A deployment can keep colour and depth frames on the capture device and share only the reconstructed motion.</w:t>
      </w:r>
    </w:p>
    <w:p>
      <w:r>
        <w:t>Metric three-dimensional (3D) measurement requires depth sensing or synchronized camera viewpoints [7]. Multi-camera motion capture needs calibrated arrays with expert operation [8]. Wearables need per-user attachment and calibration, and they raise movement and hygiene concerns [9]. A consumer-grade RGB-D camera captures registered colour and metric depth without hardware on the subject [10].</w:t>
      </w:r>
    </w:p>
    <w:p>
      <w:r>
        <w:t>Hands can occlude each other or the object, disrupting landmark detection [11], [12] and depth readings [13]. Calibration must place every segment and object in one frame [14], and torso and hand motion call for different filtering [15]. With limits on transistor scaling [16], this systems engineering thesis examines the capabilities that algorithm design and system organization can achieve on existing hardware.</w:t>
      </w:r>
    </w:p>
    <w:p>
      <w:r>
        <w:t>Earlier work in the Networked Robotics and Sensing Laboratory at Simon Fraser University developed a hierarchical hand model from RGB-D landmarks [17] and Gaussian Bayesian Network joint estimation for noisy or occluded measurements [18]. This thesis extends the tracked anatomy to the torso and both arms, with concurrent object tracking and Unity visualization [62].</w:t>
      </w:r>
    </w:p>
    <w:p>
      <w:pPr>
        <w:pStyle w:val="Heading2"/>
      </w:pPr>
      <w:r>
        <w:t>1.2 Problem Statement and Literature Review</w:t>
      </w:r>
    </w:p>
    <w:p>
      <w:r>
        <w:t>That laboratory work covers the hand, but not the torso, the arms or a held object, so the review below follows the three problems that remain. Section 1.2.1 covers tracking the hands and the object, Section 1.2.2 the coupling of two hands on one object, and Section 1.2.3 the replay of the motion graphically. Table 1.1 summarizes the limitation each reviewed approach family carries in this setting.</w:t>
      </w:r>
    </w:p>
    <w:p>
      <w:pPr>
        <w:pStyle w:val="Heading3"/>
      </w:pPr>
      <w:r>
        <w:t>1.2.1 Hand and Object Tracking Approaches</w:t>
      </w:r>
    </w:p>
    <w:p>
      <w:r>
        <w:t>Early hand tracking systems encoded finger configuration in the sensor signal, through instrumented colour gloves [20] and, in earlier laboratory work, marker-based visual tracking with a vibrotactile glove [21]. Consumer depth cameras then shifted the field to markerless tracking: Particle Swarm Optimization over a geometric hand model [22], an articulated Iterative Closest Point solver [23], and a sphere-based model fitted to depth point clouds [24].</w:t>
      </w:r>
    </w:p>
    <w:p>
      <w:r>
        <w:t>Deep learning approaches followed the model-fitting trackers and include multi-view convolutional networks over depth images [25], transformer-based mesh recovery from monocular RGB [26], and graph-guided state space models [27]. Google's MediaPipe framework [60], [61] provides lightweight landmark detection [28], but its appearance-derived depth is uncertain during motion, contact, and occlusion [3]. This thesis instead back-projects the landmarks using calibrated sensor depth [17], [13].</w:t>
      </w:r>
    </w:p>
    <w:p>
      <w:r>
        <w:t>A held object carries no landmarks, so its pose needs a different signal. For object tracking, fiducial markers give reliable pose estimation without appearance models or training data. ArUco markers balance robustness and efficiency for single-camera setups [29], and marker size and viewing distance set the pose error [30]. Each marker encodes an integer identity, so one detection gives both the object identity and its pose. Occlusion between the hand and the object remains the most persistent failure mode, met either by inpainting the occluded hand before pose estimation [11] or by modelling hand and object jointly through mutual attention [12].</w:t>
      </w:r>
    </w:p>
    <w:p>
      <w:pPr>
        <w:pStyle w:val="Heading3"/>
      </w:pPr>
      <w:r>
        <w:t>1.2.2 Bimanual Manipulation in Motion Analysis</w:t>
      </w:r>
    </w:p>
    <w:p>
      <w:r>
        <w:t>Occlusion between one hand and the object carries over to the two-handed case, where each hand can also hide the other. Bimanual manipulation goes beyond two hand trackers in parallel. The hands overlap in the image and are kinematically coupled through the object they hold, so an error in one hand spreads into the reconstructed scene [19]. Symmetric and asymmetric coordination give different patterns of landmark dropout [31]. Bimanual datasets show the difficulty of the capture problem: InterHand2.6M used between 80 and 140 synchronized cameras [32]; OakInk2 used multi-camera rigs with wearable sensors [8]. RGB2Hands recovers two interacting hands from a single RGB video [33] with a learned model that is hard to interpret physically.</w:t>
      </w:r>
    </w:p>
    <w:p>
      <w:pPr>
        <w:pStyle w:val="Heading3"/>
      </w:pPr>
      <w:r>
        <w:t>1.2.3 Graphical Reconstruction in Robotics and VR</w:t>
      </w:r>
    </w:p>
    <w:p>
      <w:r>
        <w:t>Unity [62] has been used for monocular motion replay through kinematic retargeting [34] and Kinect-based rehabilitation feedback [35]. RePose streams MediaPipe-derived joint angles to a Unity avatar [36], the architecture adopted here. RealSense and Unity use different handedness and vertical axes, so the streamed poses need an explicit coordinate conversion [14].</w:t>
      </w:r>
    </w:p>
    <w:p>
      <w:r>
        <w:t>A single fixed change of coordinates moves landmark positions between the two environments. The avatar, however, is driven joint by joint, so the segment rotation angles must be resolved from the measured landmark positions. The depth noise underlying those positions is characterized as Gaussian, consistent with [37], [38].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Approach family</w:t>
            </w:r>
          </w:p>
        </w:tc>
        <w:tc>
          <w:tcPr>
            <w:tcW w:type="dxa" w:w="2160"/>
          </w:tcPr>
          <w:p>
            <w:r>
              <w:rPr>
                <w:b/>
                <w:sz w:val="20"/>
              </w:rPr>
              <w:t>Representative work</w:t>
            </w:r>
          </w:p>
        </w:tc>
        <w:tc>
          <w:tcPr>
            <w:tcW w:type="dxa" w:w="2160"/>
          </w:tcPr>
          <w:p>
            <w:r>
              <w:rPr>
                <w:b/>
                <w:sz w:val="20"/>
              </w:rPr>
              <w:t>Sensing</w:t>
            </w:r>
          </w:p>
        </w:tc>
        <w:tc>
          <w:tcPr>
            <w:tcW w:type="dxa" w:w="2160"/>
          </w:tcPr>
          <w:p>
            <w:r>
              <w:rPr>
                <w:b/>
                <w:sz w:val="20"/>
              </w:rPr>
              <w:t>Limitation for this setting</w:t>
            </w:r>
          </w:p>
        </w:tc>
      </w:tr>
      <w:tr>
        <w:tc>
          <w:tcPr>
            <w:tcW w:type="dxa" w:w="2160"/>
          </w:tcPr>
          <w:p>
            <w:r>
              <w:rPr>
                <w:sz w:val="20"/>
              </w:rPr>
              <w:t>Instrumented gloves and wearables</w:t>
            </w:r>
          </w:p>
        </w:tc>
        <w:tc>
          <w:tcPr>
            <w:tcW w:type="dxa" w:w="2160"/>
          </w:tcPr>
          <w:p>
            <w:r>
              <w:rPr>
                <w:sz w:val="20"/>
              </w:rPr>
              <w:t>[20], [21]</w:t>
            </w:r>
          </w:p>
        </w:tc>
        <w:tc>
          <w:tcPr>
            <w:tcW w:type="dxa" w:w="2160"/>
          </w:tcPr>
          <w:p>
            <w:r>
              <w:rPr>
                <w:sz w:val="20"/>
              </w:rPr>
              <w:t>worn sensors</w:t>
            </w:r>
          </w:p>
        </w:tc>
        <w:tc>
          <w:tcPr>
            <w:tcW w:type="dxa" w:w="2160"/>
          </w:tcPr>
          <w:p>
            <w:r>
              <w:rPr>
                <w:sz w:val="20"/>
              </w:rPr>
              <w:t>hardware on the user; per-user calibration; hygiene</w:t>
            </w:r>
          </w:p>
        </w:tc>
      </w:tr>
      <w:tr>
        <w:tc>
          <w:tcPr>
            <w:tcW w:type="dxa" w:w="2160"/>
          </w:tcPr>
          <w:p>
            <w:r>
              <w:rPr>
                <w:sz w:val="20"/>
              </w:rPr>
              <w:t>Model-based depth tracking</w:t>
            </w:r>
          </w:p>
        </w:tc>
        <w:tc>
          <w:tcPr>
            <w:tcW w:type="dxa" w:w="2160"/>
          </w:tcPr>
          <w:p>
            <w:r>
              <w:rPr>
                <w:sz w:val="20"/>
              </w:rPr>
              <w:t>[22], [23], [24]</w:t>
            </w:r>
          </w:p>
        </w:tc>
        <w:tc>
          <w:tcPr>
            <w:tcW w:type="dxa" w:w="2160"/>
          </w:tcPr>
          <w:p>
            <w:r>
              <w:rPr>
                <w:sz w:val="20"/>
              </w:rPr>
              <w:t>one depth camera</w:t>
            </w:r>
          </w:p>
        </w:tc>
        <w:tc>
          <w:tcPr>
            <w:tcW w:type="dxa" w:w="2160"/>
          </w:tcPr>
          <w:p>
            <w:r>
              <w:rPr>
                <w:sz w:val="20"/>
              </w:rPr>
              <w:t>single hand; explicit geometric models; per-user initialization</w:t>
            </w:r>
          </w:p>
        </w:tc>
      </w:tr>
      <w:tr>
        <w:tc>
          <w:tcPr>
            <w:tcW w:type="dxa" w:w="2160"/>
          </w:tcPr>
          <w:p>
            <w:r>
              <w:rPr>
                <w:sz w:val="20"/>
              </w:rPr>
              <w:t>Learning-based pose estimation</w:t>
            </w:r>
          </w:p>
        </w:tc>
        <w:tc>
          <w:tcPr>
            <w:tcW w:type="dxa" w:w="2160"/>
          </w:tcPr>
          <w:p>
            <w:r>
              <w:rPr>
                <w:sz w:val="20"/>
              </w:rPr>
              <w:t>[25], [26], [27]</w:t>
            </w:r>
          </w:p>
        </w:tc>
        <w:tc>
          <w:tcPr>
            <w:tcW w:type="dxa" w:w="2160"/>
          </w:tcPr>
          <w:p>
            <w:r>
              <w:rPr>
                <w:sz w:val="20"/>
              </w:rPr>
              <w:t>depth or RGB</w:t>
            </w:r>
          </w:p>
        </w:tc>
        <w:tc>
          <w:tcPr>
            <w:tcW w:type="dxa" w:w="2160"/>
          </w:tcPr>
          <w:p>
            <w:r>
              <w:rPr>
                <w:sz w:val="20"/>
              </w:rPr>
              <w:t>large training sets; no biomechanical constraints</w:t>
            </w:r>
          </w:p>
        </w:tc>
      </w:tr>
      <w:tr>
        <w:tc>
          <w:tcPr>
            <w:tcW w:type="dxa" w:w="2160"/>
          </w:tcPr>
          <w:p>
            <w:r>
              <w:rPr>
                <w:sz w:val="20"/>
              </w:rPr>
              <w:t>Landmark detection with depth fusion</w:t>
            </w:r>
          </w:p>
        </w:tc>
        <w:tc>
          <w:tcPr>
            <w:tcW w:type="dxa" w:w="2160"/>
          </w:tcPr>
          <w:p>
            <w:r>
              <w:rPr>
                <w:sz w:val="20"/>
              </w:rPr>
              <w:t>[28], [3], [13], [17]</w:t>
            </w:r>
          </w:p>
        </w:tc>
        <w:tc>
          <w:tcPr>
            <w:tcW w:type="dxa" w:w="2160"/>
          </w:tcPr>
          <w:p>
            <w:r>
              <w:rPr>
                <w:sz w:val="20"/>
              </w:rPr>
              <w:t>RGB-D</w:t>
            </w:r>
          </w:p>
        </w:tc>
        <w:tc>
          <w:tcPr>
            <w:tcW w:type="dxa" w:w="2160"/>
          </w:tcPr>
          <w:p>
            <w:r>
              <w:rPr>
                <w:sz w:val="20"/>
              </w:rPr>
              <w:t>single hand, or body landmarks without a manipulated object in the same frame</w:t>
            </w:r>
          </w:p>
        </w:tc>
      </w:tr>
      <w:tr>
        <w:tc>
          <w:tcPr>
            <w:tcW w:type="dxa" w:w="2160"/>
          </w:tcPr>
          <w:p>
            <w:r>
              <w:rPr>
                <w:sz w:val="20"/>
              </w:rPr>
              <w:t>Fiducial object tracking</w:t>
            </w:r>
          </w:p>
        </w:tc>
        <w:tc>
          <w:tcPr>
            <w:tcW w:type="dxa" w:w="2160"/>
          </w:tcPr>
          <w:p>
            <w:r>
              <w:rPr>
                <w:sz w:val="20"/>
              </w:rPr>
              <w:t>[29], [30]</w:t>
            </w:r>
          </w:p>
        </w:tc>
        <w:tc>
          <w:tcPr>
            <w:tcW w:type="dxa" w:w="2160"/>
          </w:tcPr>
          <w:p>
            <w:r>
              <w:rPr>
                <w:sz w:val="20"/>
              </w:rPr>
              <w:t>RGB</w:t>
            </w:r>
          </w:p>
        </w:tc>
        <w:tc>
          <w:tcPr>
            <w:tcW w:type="dxa" w:w="2160"/>
          </w:tcPr>
          <w:p>
            <w:r>
              <w:rPr>
                <w:sz w:val="20"/>
              </w:rPr>
              <w:t>tracks marked objects only; no body tracking</w:t>
            </w:r>
          </w:p>
        </w:tc>
      </w:tr>
      <w:tr>
        <w:tc>
          <w:tcPr>
            <w:tcW w:type="dxa" w:w="2160"/>
          </w:tcPr>
          <w:p>
            <w:r>
              <w:rPr>
                <w:sz w:val="20"/>
              </w:rPr>
              <w:t>Hand-object occlusion handling</w:t>
            </w:r>
          </w:p>
        </w:tc>
        <w:tc>
          <w:tcPr>
            <w:tcW w:type="dxa" w:w="2160"/>
          </w:tcPr>
          <w:p>
            <w:r>
              <w:rPr>
                <w:sz w:val="20"/>
              </w:rPr>
              <w:t>[11], [12]</w:t>
            </w:r>
          </w:p>
        </w:tc>
        <w:tc>
          <w:tcPr>
            <w:tcW w:type="dxa" w:w="2160"/>
          </w:tcPr>
          <w:p>
            <w:r>
              <w:rPr>
                <w:sz w:val="20"/>
              </w:rPr>
              <w:t>RGB, depth</w:t>
            </w:r>
          </w:p>
        </w:tc>
        <w:tc>
          <w:tcPr>
            <w:tcW w:type="dxa" w:w="2160"/>
          </w:tcPr>
          <w:p>
            <w:r>
              <w:rPr>
                <w:sz w:val="20"/>
              </w:rPr>
              <w:t>single hand and object; learned models</w:t>
            </w:r>
          </w:p>
        </w:tc>
      </w:tr>
      <w:tr>
        <w:tc>
          <w:tcPr>
            <w:tcW w:type="dxa" w:w="2160"/>
          </w:tcPr>
          <w:p>
            <w:r>
              <w:rPr>
                <w:sz w:val="20"/>
              </w:rPr>
              <w:t>Bimanual capture datasets</w:t>
            </w:r>
          </w:p>
        </w:tc>
        <w:tc>
          <w:tcPr>
            <w:tcW w:type="dxa" w:w="2160"/>
          </w:tcPr>
          <w:p>
            <w:r>
              <w:rPr>
                <w:sz w:val="20"/>
              </w:rPr>
              <w:t>[32], [8]</w:t>
            </w:r>
          </w:p>
        </w:tc>
        <w:tc>
          <w:tcPr>
            <w:tcW w:type="dxa" w:w="2160"/>
          </w:tcPr>
          <w:p>
            <w:r>
              <w:rPr>
                <w:sz w:val="20"/>
              </w:rPr>
              <w:t>80 to 140 synchronized cameras [32]; multi-camera rig with wearables [8]</w:t>
            </w:r>
          </w:p>
        </w:tc>
        <w:tc>
          <w:tcPr>
            <w:tcW w:type="dxa" w:w="2160"/>
          </w:tcPr>
          <w:p>
            <w:r>
              <w:rPr>
                <w:sz w:val="20"/>
              </w:rPr>
              <w:t>laboratory infrastructure far beyond clinical settings</w:t>
            </w:r>
          </w:p>
        </w:tc>
      </w:tr>
      <w:tr>
        <w:tc>
          <w:tcPr>
            <w:tcW w:type="dxa" w:w="2160"/>
          </w:tcPr>
          <w:p>
            <w:r>
              <w:rPr>
                <w:sz w:val="20"/>
              </w:rPr>
              <w:t>Two-hand reconstruction</w:t>
            </w:r>
          </w:p>
        </w:tc>
        <w:tc>
          <w:tcPr>
            <w:tcW w:type="dxa" w:w="2160"/>
          </w:tcPr>
          <w:p>
            <w:r>
              <w:rPr>
                <w:sz w:val="20"/>
              </w:rPr>
              <w:t>[33]</w:t>
            </w:r>
          </w:p>
        </w:tc>
        <w:tc>
          <w:tcPr>
            <w:tcW w:type="dxa" w:w="2160"/>
          </w:tcPr>
          <w:p>
            <w:r>
              <w:rPr>
                <w:sz w:val="20"/>
              </w:rPr>
              <w:t>monocular RGB</w:t>
            </w:r>
          </w:p>
        </w:tc>
        <w:tc>
          <w:tcPr>
            <w:tcW w:type="dxa" w:w="2160"/>
          </w:tcPr>
          <w:p>
            <w:r>
              <w:rPr>
                <w:sz w:val="20"/>
              </w:rPr>
              <w:t>no object tracking; no metric depth</w:t>
            </w:r>
          </w:p>
        </w:tc>
      </w:tr>
      <w:tr>
        <w:tc>
          <w:tcPr>
            <w:tcW w:type="dxa" w:w="2160"/>
          </w:tcPr>
          <w:p>
            <w:r>
              <w:rPr>
                <w:sz w:val="20"/>
              </w:rPr>
              <w:t>Avatar replay in Unity</w:t>
            </w:r>
          </w:p>
        </w:tc>
        <w:tc>
          <w:tcPr>
            <w:tcW w:type="dxa" w:w="2160"/>
          </w:tcPr>
          <w:p>
            <w:r>
              <w:rPr>
                <w:sz w:val="20"/>
              </w:rPr>
              <w:t>[34], [35], [36]</w:t>
            </w:r>
          </w:p>
        </w:tc>
        <w:tc>
          <w:tcPr>
            <w:tcW w:type="dxa" w:w="2160"/>
          </w:tcPr>
          <w:p>
            <w:r>
              <w:rPr>
                <w:sz w:val="20"/>
              </w:rPr>
              <w:t>monocular or Kinect</w:t>
            </w:r>
          </w:p>
        </w:tc>
        <w:tc>
          <w:tcPr>
            <w:tcW w:type="dxa" w:w="2160"/>
          </w:tcPr>
          <w:p>
            <w:r>
              <w:rPr>
                <w:sz w:val="20"/>
              </w:rPr>
              <w:t>single tracked stream; no concurrent object in a shared frame</w:t>
            </w:r>
          </w:p>
        </w:tc>
      </w:tr>
    </w:tbl>
    <w:p>
      <w:r>
        <w:rPr>
          <w:i/>
          <w:sz w:val="20"/>
        </w:rPr>
        <w:t>Table 1.1. Summary of the reviewed literature: each approach family, its representative work, its sensing arrangement, and its limitation for single-sensor bimanual capture.</w:t>
      </w:r>
    </w:p>
    <w:p>
      <w:pPr>
        <w:pStyle w:val="Heading3"/>
      </w:pPr>
      <w:r>
        <w:t>1.2.4 Gap Analysis and Motivation for This Work</w:t>
      </w:r>
    </w:p>
    <w:p>
      <w:r>
        <w:t>Recovery must account for the different kinematics of the torso and arm segments [19]. The reviewed bimanual method omits object tracking [33], the hand-object annotation method of [39] covers one hand, and the sensor-to-Unity conversion is documented for a single hand [14]. No reviewed system reconstructs the upper body together with a tracked object from a single RGB-D viewpoint, or reports the recovery from that viewpoint when the landmarks fail. This thesis investigates that question in the stages of Section 1.3, building on the laboratory work of [17] and [18].</w:t>
      </w:r>
    </w:p>
    <w:p>
      <w:pPr>
        <w:pStyle w:val="Heading2"/>
      </w:pPr>
      <w:r>
        <w:t>1.3 Research Objectives</w:t>
      </w:r>
    </w:p>
    <w:p>
      <w:r>
        <w:t>The central question divides into five stages, and the objectives below are those stages in the order the thesis builds them.</w:t>
      </w:r>
    </w:p>
    <w:p>
      <w:pPr>
        <w:ind w:left="432"/>
      </w:pPr>
      <w:r>
        <w:t>Objective 1 is the measurement layer: a calibrated RGB-D pipeline on the Intel RealSense D435 that aligns the depth and colour streams, establishes the camera intrinsics, and places the body landmarks and the marked-object poses in one metric world frame.</w:t>
      </w:r>
    </w:p>
    <w:p>
      <w:pPr>
        <w:ind w:left="432"/>
      </w:pPr>
      <w:r>
        <w:t>Objective 2 reconstructs the person from that layer. Metric 3D positions for the torso, shoulders, elbows and wrists come from MediaPipe Pose detections fused with registered depth, and give the selected degrees of freedom of the upper body. The wrist stays a tracked point.</w:t>
      </w:r>
    </w:p>
    <w:p>
      <w:pPr>
        <w:ind w:left="432"/>
      </w:pPr>
      <w:r>
        <w:t>Objective 3 observes the object independently in the same scene. The scene calibration of Chapter 2 fixes the world frame on the desk marker for both branches. The ArUco-marked object is tracked there, and the two records are synchronized by frame index. The branch filters and streams the object orientation, and no second measurement chain checks it.</w:t>
      </w:r>
    </w:p>
    <w:p>
      <w:pPr>
        <w:ind w:left="432"/>
      </w:pPr>
      <w:r>
        <w:t>Objective 4 uses that observation as an additional geometric constraint where the landmarks fail. The holding wrist comes from the tracked object pose and the hand-object offset, and its elbow from two-link inverse kinematics. The recovered positions are compared with the unmasked reconstruction under synthetic masking and with manual wrist labels on the natural failures. Chapter 10 discusses lightweight learned estimation in the recovery layer as future work, a compact temporal model that operates alongside the explicit kinematic chain rather than replacing it.</w:t>
      </w:r>
    </w:p>
    <w:p>
      <w:pPr>
        <w:ind w:left="432"/>
      </w:pPr>
      <w:r>
        <w:t>Objective 5 integrates the stages and evaluates the result. The person and object records drive one Unity reconstruction. Chapter 7 evaluates it offline on the rail task one-handed and with a handover, and on natural failure windows from the two-hand loop recording. Chapter 8 tests the same architecture for causal operation, and Chapter 9 discusses the limitations shown by the results. No recording establishes accuracy for general bimanual manipulation.</w:t>
      </w:r>
    </w:p>
    <w:p>
      <w:pPr>
        <w:pStyle w:val="Heading2"/>
      </w:pPr>
      <w:r>
        <w:t>1.4 Organization of the Thesis</w:t>
      </w:r>
    </w:p>
    <w:p>
      <w:r>
        <w:t>The remaining chapters build the system, evaluate it, and discuss the results; the appendices support the chapters with detail.</w:t>
      </w:r>
    </w:p>
    <w:p>
      <w:pPr>
        <w:pStyle w:val="ListBullet"/>
        <w:spacing w:after="80"/>
        <w:ind w:left="360" w:hanging="360"/>
      </w:pPr>
      <w:r>
        <w:t>Chapter 2 builds the measurement layer, Chapter 3 the kinematic model, Chapter 4 the object branch, Chapter 5 the recovery layer and Chapter 6 the Unity integration.</w:t>
      </w:r>
    </w:p>
    <w:p>
      <w:pPr>
        <w:pStyle w:val="ListBullet"/>
        <w:spacing w:after="80"/>
        <w:ind w:left="360" w:hanging="360"/>
      </w:pPr>
      <w:r>
        <w:t>Chapter 7 evaluates the system offline against a physical route not yet registered into the world frame. Chapter 8 tests real-time feasibility as a causal replay, with no live-camera session validated.</w:t>
      </w:r>
    </w:p>
    <w:p>
      <w:pPr>
        <w:pStyle w:val="ListBullet"/>
        <w:spacing w:after="80"/>
        <w:ind w:left="360" w:hanging="360"/>
      </w:pPr>
      <w:r>
        <w:t>Chapter 9 discusses the results and their limitations. Chapter 10 concludes and outlines future work.</w:t>
      </w:r>
    </w:p>
    <w:p>
      <w:pPr>
        <w:pStyle w:val="ListBullet"/>
        <w:spacing w:after="80"/>
        <w:ind w:left="360" w:hanging="360"/>
      </w:pPr>
      <w:r>
        <w:t>Appendix A covers the recording procedure, B the hardware and software platform, C pose landmark detection, D depth sensing, E fiducial marker detection, F candidate filters, G hip depth preparation, and H solver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