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9A9CA" w14:textId="46D59045" w:rsidR="00DB15AC" w:rsidRPr="00DB15AC" w:rsidRDefault="00DB15AC" w:rsidP="00DB15AC">
      <w:pPr>
        <w:jc w:val="center"/>
        <w:rPr>
          <w:rFonts w:ascii="Arial" w:hAnsi="Arial" w:cs="Arial"/>
          <w:sz w:val="36"/>
          <w:szCs w:val="36"/>
        </w:rPr>
      </w:pPr>
      <w:r w:rsidRPr="00DB15AC">
        <w:rPr>
          <w:rFonts w:ascii="Arial" w:hAnsi="Arial" w:cs="Arial"/>
          <w:sz w:val="36"/>
          <w:szCs w:val="36"/>
        </w:rPr>
        <w:t>Roald Medendorp</w:t>
      </w:r>
    </w:p>
    <w:p w14:paraId="1EA87FB6" w14:textId="1E150643" w:rsidR="00DB15AC" w:rsidRPr="00DB15AC" w:rsidRDefault="00DB15AC" w:rsidP="00DB15AC">
      <w:pPr>
        <w:jc w:val="center"/>
        <w:rPr>
          <w:rFonts w:ascii="Arial" w:hAnsi="Arial" w:cs="Arial"/>
          <w:sz w:val="36"/>
          <w:szCs w:val="36"/>
        </w:rPr>
      </w:pPr>
      <w:r w:rsidRPr="00DB15AC">
        <w:rPr>
          <w:rFonts w:ascii="Arial" w:hAnsi="Arial" w:cs="Arial"/>
          <w:sz w:val="36"/>
          <w:szCs w:val="36"/>
        </w:rPr>
        <w:t>CSD 380 Module 12.2 Assignment</w:t>
      </w:r>
    </w:p>
    <w:p w14:paraId="6FF3C807" w14:textId="65BC80D8" w:rsidR="00DB15AC" w:rsidRPr="00DB15AC" w:rsidRDefault="00DB15AC" w:rsidP="00DB15AC">
      <w:pPr>
        <w:jc w:val="center"/>
        <w:rPr>
          <w:rFonts w:ascii="Arial" w:hAnsi="Arial" w:cs="Arial"/>
          <w:sz w:val="36"/>
          <w:szCs w:val="36"/>
        </w:rPr>
      </w:pPr>
      <w:r w:rsidRPr="00DB15AC">
        <w:rPr>
          <w:rFonts w:ascii="Arial" w:hAnsi="Arial" w:cs="Arial"/>
          <w:sz w:val="36"/>
          <w:szCs w:val="36"/>
        </w:rPr>
        <w:t>3/3/2025</w:t>
      </w:r>
    </w:p>
    <w:p w14:paraId="0D31A22C" w14:textId="77777777" w:rsidR="00DB15AC" w:rsidRDefault="00DB15AC" w:rsidP="00DB15AC"/>
    <w:p w14:paraId="2ED1BAA6" w14:textId="77777777" w:rsidR="00DB15AC" w:rsidRDefault="00DB15AC" w:rsidP="00DB15AC"/>
    <w:p w14:paraId="703A9ACB" w14:textId="77777777" w:rsidR="00DB15AC" w:rsidRDefault="00DB15AC" w:rsidP="00DB15AC"/>
    <w:p w14:paraId="30048DB0" w14:textId="77777777" w:rsidR="00DB15AC" w:rsidRDefault="00DB15AC" w:rsidP="00DB15AC"/>
    <w:p w14:paraId="0C8C397A" w14:textId="77777777" w:rsidR="00DB15AC" w:rsidRDefault="00DB15AC" w:rsidP="00DB15AC"/>
    <w:p w14:paraId="79040F70" w14:textId="77777777" w:rsidR="00DB15AC" w:rsidRDefault="00DB15AC" w:rsidP="00DB15AC"/>
    <w:p w14:paraId="13D3F883" w14:textId="77777777" w:rsidR="00DB15AC" w:rsidRDefault="00DB15AC" w:rsidP="00DB15AC"/>
    <w:p w14:paraId="59709CAB" w14:textId="77777777" w:rsidR="00DB15AC" w:rsidRDefault="00DB15AC" w:rsidP="00DB15AC"/>
    <w:p w14:paraId="6DB28BCE" w14:textId="77777777" w:rsidR="00DB15AC" w:rsidRDefault="00DB15AC" w:rsidP="00DB15AC"/>
    <w:p w14:paraId="228AA71B" w14:textId="77777777" w:rsidR="00DB15AC" w:rsidRDefault="00DB15AC" w:rsidP="00DB15AC"/>
    <w:p w14:paraId="03B4ACEB" w14:textId="77777777" w:rsidR="00DB15AC" w:rsidRDefault="00DB15AC" w:rsidP="00DB15AC"/>
    <w:p w14:paraId="3628BB86" w14:textId="77777777" w:rsidR="00DB15AC" w:rsidRDefault="00DB15AC" w:rsidP="00DB15AC"/>
    <w:p w14:paraId="771601BE" w14:textId="77777777" w:rsidR="00DB15AC" w:rsidRDefault="00DB15AC" w:rsidP="00DB15AC"/>
    <w:p w14:paraId="1EF802A1" w14:textId="77777777" w:rsidR="00DB15AC" w:rsidRDefault="00DB15AC" w:rsidP="00DB15AC"/>
    <w:p w14:paraId="5AF7C1C9" w14:textId="77777777" w:rsidR="00DB15AC" w:rsidRDefault="00DB15AC" w:rsidP="00DB15AC"/>
    <w:p w14:paraId="2F330F61" w14:textId="77777777" w:rsidR="00DB15AC" w:rsidRDefault="00DB15AC" w:rsidP="00DB15AC"/>
    <w:p w14:paraId="76AAD143" w14:textId="77777777" w:rsidR="00DB15AC" w:rsidRDefault="00DB15AC" w:rsidP="00DB15AC"/>
    <w:p w14:paraId="14F4666B" w14:textId="77777777" w:rsidR="00DB15AC" w:rsidRDefault="00DB15AC" w:rsidP="00DB15AC"/>
    <w:p w14:paraId="38538B19" w14:textId="77777777" w:rsidR="00DB15AC" w:rsidRDefault="00DB15AC" w:rsidP="00DB15AC"/>
    <w:p w14:paraId="39E87DDE" w14:textId="77777777" w:rsidR="00DB15AC" w:rsidRDefault="00DB15AC" w:rsidP="00DB15AC"/>
    <w:p w14:paraId="603E5567" w14:textId="77777777" w:rsidR="00DB15AC" w:rsidRDefault="00DB15AC" w:rsidP="00DB15AC"/>
    <w:p w14:paraId="5D73C7F3" w14:textId="7C468EFD" w:rsidR="00DB15AC" w:rsidRPr="00DB15AC" w:rsidRDefault="00DB15AC" w:rsidP="00DB15AC">
      <w:pPr>
        <w:spacing w:line="480" w:lineRule="auto"/>
        <w:ind w:firstLine="720"/>
        <w:rPr>
          <w:rFonts w:ascii="Arial" w:hAnsi="Arial" w:cs="Arial"/>
        </w:rPr>
      </w:pPr>
      <w:r w:rsidRPr="00DB15AC">
        <w:rPr>
          <w:rFonts w:ascii="Arial" w:hAnsi="Arial" w:cs="Arial"/>
        </w:rPr>
        <w:lastRenderedPageBreak/>
        <w:t>The case studies “Providing Compliance in Regulated Environments” and “Relying on Production Telemetry for ATM Systems” in Chapter 23 of the textbook offer critical insights into balancing technical agility with regulatory rigor and leveraging data for system reliability. Below, we break down the authors’ key arguments and lessons learned, emphasizing their relevance to modern DevOps, compliance, and operational resilience.</w:t>
      </w:r>
    </w:p>
    <w:p w14:paraId="3DCA9F60" w14:textId="77777777" w:rsidR="00DB15AC" w:rsidRPr="00DB15AC" w:rsidRDefault="00DB15AC" w:rsidP="00DB15AC">
      <w:pPr>
        <w:spacing w:line="480" w:lineRule="auto"/>
        <w:jc w:val="center"/>
        <w:rPr>
          <w:rFonts w:ascii="Arial" w:hAnsi="Arial" w:cs="Arial"/>
          <w:b/>
          <w:bCs/>
        </w:rPr>
      </w:pPr>
      <w:r w:rsidRPr="00DB15AC">
        <w:rPr>
          <w:rFonts w:ascii="Arial" w:hAnsi="Arial" w:cs="Arial"/>
          <w:b/>
          <w:bCs/>
        </w:rPr>
        <w:t>Case Study 1: Providing Compliance in Regulated Environments</w:t>
      </w:r>
    </w:p>
    <w:p w14:paraId="745B732F" w14:textId="1169DD75" w:rsidR="00DB15AC" w:rsidRPr="00DB15AC" w:rsidRDefault="00DB15AC" w:rsidP="00DB15AC">
      <w:pPr>
        <w:spacing w:line="480" w:lineRule="auto"/>
        <w:rPr>
          <w:rFonts w:ascii="Arial" w:hAnsi="Arial" w:cs="Arial"/>
        </w:rPr>
      </w:pPr>
      <w:proofErr w:type="gramStart"/>
      <w:r w:rsidRPr="00DB15AC">
        <w:rPr>
          <w:rFonts w:ascii="Arial" w:hAnsi="Arial" w:cs="Arial"/>
        </w:rPr>
        <w:t>The case</w:t>
      </w:r>
      <w:proofErr w:type="gramEnd"/>
      <w:r w:rsidRPr="00DB15AC">
        <w:rPr>
          <w:rFonts w:ascii="Arial" w:hAnsi="Arial" w:cs="Arial"/>
        </w:rPr>
        <w:t xml:space="preserve"> study examines a financial services company navigating strict regulatory frameworks (e.g., GDPR, SOX) while adopting DevOps practices. The authors highlight three core challenges:</w:t>
      </w:r>
    </w:p>
    <w:p w14:paraId="160F327B" w14:textId="2561989D" w:rsidR="00DB15AC" w:rsidRPr="00DB15AC" w:rsidRDefault="00DB15AC" w:rsidP="00DB15AC">
      <w:pPr>
        <w:spacing w:line="480" w:lineRule="auto"/>
        <w:rPr>
          <w:rFonts w:ascii="Arial" w:hAnsi="Arial" w:cs="Arial"/>
        </w:rPr>
      </w:pPr>
      <w:r w:rsidRPr="00DB15AC">
        <w:rPr>
          <w:rFonts w:ascii="Arial" w:hAnsi="Arial" w:cs="Arial"/>
        </w:rPr>
        <w:t>Speed vs. Compliance: Agile DevOps workflows clashed with lengthy audit processes, creating bottlenecks.</w:t>
      </w:r>
    </w:p>
    <w:p w14:paraId="6B04A10C" w14:textId="2C2880F9" w:rsidR="00DB15AC" w:rsidRPr="00DB15AC" w:rsidRDefault="00DB15AC" w:rsidP="00DB15AC">
      <w:pPr>
        <w:spacing w:line="480" w:lineRule="auto"/>
        <w:rPr>
          <w:rFonts w:ascii="Arial" w:hAnsi="Arial" w:cs="Arial"/>
        </w:rPr>
      </w:pPr>
      <w:r w:rsidRPr="00DB15AC">
        <w:rPr>
          <w:rFonts w:ascii="Arial" w:hAnsi="Arial" w:cs="Arial"/>
        </w:rPr>
        <w:t>Documentation Gaps: Automated pipelines lacked audit trails, making compliance verification difficult.</w:t>
      </w:r>
    </w:p>
    <w:p w14:paraId="3266A9C4" w14:textId="28E8A44E" w:rsidR="00DB15AC" w:rsidRPr="00DB15AC" w:rsidRDefault="00DB15AC" w:rsidP="00DB15AC">
      <w:pPr>
        <w:spacing w:line="480" w:lineRule="auto"/>
        <w:rPr>
          <w:rFonts w:ascii="Arial" w:hAnsi="Arial" w:cs="Arial"/>
        </w:rPr>
      </w:pPr>
      <w:r w:rsidRPr="00DB15AC">
        <w:rPr>
          <w:rFonts w:ascii="Arial" w:hAnsi="Arial" w:cs="Arial"/>
        </w:rPr>
        <w:t>Tooling Fragmentation: Disconnected tools for security, testing, and deployment led to inconsistent policy enforcement.</w:t>
      </w:r>
    </w:p>
    <w:p w14:paraId="32C7B755" w14:textId="7FF401A0" w:rsidR="00DB15AC" w:rsidRPr="00DB15AC" w:rsidRDefault="00DB15AC" w:rsidP="00DB15AC">
      <w:pPr>
        <w:spacing w:line="480" w:lineRule="auto"/>
        <w:rPr>
          <w:rFonts w:ascii="Arial" w:hAnsi="Arial" w:cs="Arial"/>
        </w:rPr>
      </w:pPr>
      <w:r w:rsidRPr="00DB15AC">
        <w:rPr>
          <w:rFonts w:ascii="Arial" w:hAnsi="Arial" w:cs="Arial"/>
        </w:rPr>
        <w:t>To address these, the organization implemented:</w:t>
      </w:r>
    </w:p>
    <w:p w14:paraId="180C43C1" w14:textId="4EEF474B" w:rsidR="00DB15AC" w:rsidRPr="00DB15AC" w:rsidRDefault="00DB15AC" w:rsidP="00DB15AC">
      <w:pPr>
        <w:spacing w:line="480" w:lineRule="auto"/>
        <w:rPr>
          <w:rFonts w:ascii="Arial" w:hAnsi="Arial" w:cs="Arial"/>
        </w:rPr>
      </w:pPr>
      <w:r w:rsidRPr="00DB15AC">
        <w:rPr>
          <w:rFonts w:ascii="Arial" w:hAnsi="Arial" w:cs="Arial"/>
        </w:rPr>
        <w:t xml:space="preserve">Compliance-as-Code: Embedding regulatory checks directly into CI/CD pipelines using tools like </w:t>
      </w:r>
      <w:proofErr w:type="spellStart"/>
      <w:r w:rsidRPr="00DB15AC">
        <w:rPr>
          <w:rFonts w:ascii="Arial" w:hAnsi="Arial" w:cs="Arial"/>
        </w:rPr>
        <w:t>HashiCorp</w:t>
      </w:r>
      <w:proofErr w:type="spellEnd"/>
      <w:r w:rsidRPr="00DB15AC">
        <w:rPr>
          <w:rFonts w:ascii="Arial" w:hAnsi="Arial" w:cs="Arial"/>
        </w:rPr>
        <w:t xml:space="preserve"> Sentinel and </w:t>
      </w:r>
      <w:proofErr w:type="spellStart"/>
      <w:r w:rsidRPr="00DB15AC">
        <w:rPr>
          <w:rFonts w:ascii="Arial" w:hAnsi="Arial" w:cs="Arial"/>
        </w:rPr>
        <w:t>OpenPolicyAgent</w:t>
      </w:r>
      <w:proofErr w:type="spellEnd"/>
      <w:r w:rsidRPr="00DB15AC">
        <w:rPr>
          <w:rFonts w:ascii="Arial" w:hAnsi="Arial" w:cs="Arial"/>
        </w:rPr>
        <w:t>.</w:t>
      </w:r>
    </w:p>
    <w:p w14:paraId="13BA279B" w14:textId="4C8EDEF0" w:rsidR="00DB15AC" w:rsidRPr="00DB15AC" w:rsidRDefault="00DB15AC" w:rsidP="00DB15AC">
      <w:pPr>
        <w:spacing w:line="480" w:lineRule="auto"/>
        <w:rPr>
          <w:rFonts w:ascii="Arial" w:hAnsi="Arial" w:cs="Arial"/>
        </w:rPr>
      </w:pPr>
      <w:r w:rsidRPr="00DB15AC">
        <w:rPr>
          <w:rFonts w:ascii="Arial" w:hAnsi="Arial" w:cs="Arial"/>
        </w:rPr>
        <w:t>Centralized Audit Logging: Aggregating pipeline activity into a unified system for real-time monitoring and reporting.</w:t>
      </w:r>
    </w:p>
    <w:p w14:paraId="54A9A28A" w14:textId="200B7D19" w:rsidR="00DB15AC" w:rsidRPr="00DB15AC" w:rsidRDefault="00DB15AC" w:rsidP="00DB15AC">
      <w:pPr>
        <w:spacing w:line="480" w:lineRule="auto"/>
        <w:rPr>
          <w:rFonts w:ascii="Arial" w:hAnsi="Arial" w:cs="Arial"/>
        </w:rPr>
      </w:pPr>
      <w:r w:rsidRPr="00DB15AC">
        <w:rPr>
          <w:rFonts w:ascii="Arial" w:hAnsi="Arial" w:cs="Arial"/>
        </w:rPr>
        <w:lastRenderedPageBreak/>
        <w:t>Cross-Functional “Compliance Squads”: Teams combining legal, security, and engineering experts to align requirements with technical execution.</w:t>
      </w:r>
    </w:p>
    <w:p w14:paraId="57E36711" w14:textId="54D0AACB" w:rsidR="00DB15AC" w:rsidRPr="00DB15AC" w:rsidRDefault="00DB15AC" w:rsidP="00DB15AC">
      <w:pPr>
        <w:spacing w:line="480" w:lineRule="auto"/>
        <w:ind w:firstLine="720"/>
        <w:rPr>
          <w:rFonts w:ascii="Arial" w:hAnsi="Arial" w:cs="Arial"/>
        </w:rPr>
      </w:pPr>
      <w:r w:rsidRPr="00DB15AC">
        <w:rPr>
          <w:rFonts w:ascii="Arial" w:hAnsi="Arial" w:cs="Arial"/>
        </w:rPr>
        <w:t>Automation is non-negotiable in regulated industries. Manual compliance checks cannot scale alongside DevOps velocity.</w:t>
      </w:r>
      <w:r>
        <w:rPr>
          <w:rFonts w:ascii="Arial" w:hAnsi="Arial" w:cs="Arial"/>
        </w:rPr>
        <w:t xml:space="preserve"> </w:t>
      </w:r>
      <w:r w:rsidRPr="00DB15AC">
        <w:rPr>
          <w:rFonts w:ascii="Arial" w:hAnsi="Arial" w:cs="Arial"/>
        </w:rPr>
        <w:t>Collaboration breaks silos. Legal and engineering teams must co-design processes to avoid misalignment.</w:t>
      </w:r>
      <w:r>
        <w:rPr>
          <w:rFonts w:ascii="Arial" w:hAnsi="Arial" w:cs="Arial"/>
        </w:rPr>
        <w:t xml:space="preserve"> </w:t>
      </w:r>
      <w:r w:rsidRPr="00DB15AC">
        <w:rPr>
          <w:rFonts w:ascii="Arial" w:hAnsi="Arial" w:cs="Arial"/>
        </w:rPr>
        <w:t xml:space="preserve">Traceability matters. Systems must </w:t>
      </w:r>
      <w:proofErr w:type="gramStart"/>
      <w:r w:rsidRPr="00DB15AC">
        <w:rPr>
          <w:rFonts w:ascii="Arial" w:hAnsi="Arial" w:cs="Arial"/>
        </w:rPr>
        <w:t>log</w:t>
      </w:r>
      <w:proofErr w:type="gramEnd"/>
      <w:r w:rsidRPr="00DB15AC">
        <w:rPr>
          <w:rFonts w:ascii="Arial" w:hAnsi="Arial" w:cs="Arial"/>
        </w:rPr>
        <w:t xml:space="preserve"> every change to satisfy auditors and enable root-cause analysis during breaches.</w:t>
      </w:r>
    </w:p>
    <w:p w14:paraId="45AE70CC" w14:textId="631302FD" w:rsidR="00DB15AC" w:rsidRPr="00DB15AC" w:rsidRDefault="00DB15AC" w:rsidP="00DB15AC">
      <w:pPr>
        <w:spacing w:line="480" w:lineRule="auto"/>
        <w:ind w:firstLine="720"/>
        <w:rPr>
          <w:rFonts w:ascii="Arial" w:hAnsi="Arial" w:cs="Arial"/>
        </w:rPr>
      </w:pPr>
      <w:r w:rsidRPr="00DB15AC">
        <w:rPr>
          <w:rFonts w:ascii="Arial" w:hAnsi="Arial" w:cs="Arial"/>
        </w:rPr>
        <w:t>Regulated industries (finance, healthcare) often resist DevOps adoption due to perceived compliance risks. This case study proves that automation and cultural shifts—not slower workflows—are the solution</w:t>
      </w:r>
      <w:r w:rsidR="00373D2E">
        <w:rPr>
          <w:rFonts w:ascii="Arial" w:hAnsi="Arial" w:cs="Arial"/>
        </w:rPr>
        <w:t xml:space="preserve"> </w:t>
      </w:r>
      <w:sdt>
        <w:sdtPr>
          <w:rPr>
            <w:rFonts w:ascii="Arial" w:hAnsi="Arial" w:cs="Arial"/>
          </w:rPr>
          <w:id w:val="1612476717"/>
          <w:citation/>
        </w:sdtPr>
        <w:sdtContent>
          <w:r w:rsidR="00373D2E">
            <w:rPr>
              <w:rFonts w:ascii="Arial" w:hAnsi="Arial" w:cs="Arial"/>
            </w:rPr>
            <w:fldChar w:fldCharType="begin"/>
          </w:r>
          <w:r w:rsidR="00373D2E">
            <w:rPr>
              <w:rFonts w:ascii="Arial" w:hAnsi="Arial" w:cs="Arial"/>
            </w:rPr>
            <w:instrText xml:space="preserve"> CITATION Gen21 \l 1033 </w:instrText>
          </w:r>
          <w:r w:rsidR="00373D2E">
            <w:rPr>
              <w:rFonts w:ascii="Arial" w:hAnsi="Arial" w:cs="Arial"/>
            </w:rPr>
            <w:fldChar w:fldCharType="separate"/>
          </w:r>
          <w:r w:rsidR="00373D2E" w:rsidRPr="00373D2E">
            <w:rPr>
              <w:rFonts w:ascii="Arial" w:hAnsi="Arial" w:cs="Arial"/>
              <w:noProof/>
            </w:rPr>
            <w:t>(Kim, Humble, Debois, Willis, &amp; Forsgren, 2021)</w:t>
          </w:r>
          <w:r w:rsidR="00373D2E">
            <w:rPr>
              <w:rFonts w:ascii="Arial" w:hAnsi="Arial" w:cs="Arial"/>
            </w:rPr>
            <w:fldChar w:fldCharType="end"/>
          </w:r>
        </w:sdtContent>
      </w:sdt>
      <w:r w:rsidRPr="00DB15AC">
        <w:rPr>
          <w:rFonts w:ascii="Arial" w:hAnsi="Arial" w:cs="Arial"/>
        </w:rPr>
        <w:t>.</w:t>
      </w:r>
    </w:p>
    <w:p w14:paraId="502A1128" w14:textId="77777777" w:rsidR="00DB15AC" w:rsidRPr="00DB15AC" w:rsidRDefault="00DB15AC" w:rsidP="00DB15AC">
      <w:pPr>
        <w:spacing w:line="480" w:lineRule="auto"/>
        <w:jc w:val="center"/>
        <w:rPr>
          <w:rFonts w:ascii="Arial" w:hAnsi="Arial" w:cs="Arial"/>
          <w:b/>
          <w:bCs/>
        </w:rPr>
      </w:pPr>
      <w:r w:rsidRPr="00DB15AC">
        <w:rPr>
          <w:rFonts w:ascii="Arial" w:hAnsi="Arial" w:cs="Arial"/>
          <w:b/>
          <w:bCs/>
        </w:rPr>
        <w:t>Case Study 2: Relying on Production Telemetry for ATM Systems</w:t>
      </w:r>
    </w:p>
    <w:p w14:paraId="5F318239" w14:textId="05A23ED3" w:rsidR="00DB15AC" w:rsidRPr="00DB15AC" w:rsidRDefault="00DB15AC" w:rsidP="00DB15AC">
      <w:pPr>
        <w:spacing w:line="480" w:lineRule="auto"/>
        <w:rPr>
          <w:rFonts w:ascii="Arial" w:hAnsi="Arial" w:cs="Arial"/>
        </w:rPr>
      </w:pPr>
      <w:r w:rsidRPr="00DB15AC">
        <w:rPr>
          <w:rFonts w:ascii="Arial" w:hAnsi="Arial" w:cs="Arial"/>
        </w:rPr>
        <w:t>This case study analyzes a global bank’s ATM network, where real-time telemetry data became critical to maintaining uptime and customer trust. Key challenges included:</w:t>
      </w:r>
    </w:p>
    <w:p w14:paraId="67CBF034" w14:textId="3C50E7A4" w:rsidR="00DB15AC" w:rsidRPr="00DB15AC" w:rsidRDefault="00DB15AC" w:rsidP="00DB15AC">
      <w:pPr>
        <w:spacing w:line="480" w:lineRule="auto"/>
        <w:rPr>
          <w:rFonts w:ascii="Arial" w:hAnsi="Arial" w:cs="Arial"/>
        </w:rPr>
      </w:pPr>
      <w:r w:rsidRPr="00DB15AC">
        <w:rPr>
          <w:rFonts w:ascii="Arial" w:hAnsi="Arial" w:cs="Arial"/>
        </w:rPr>
        <w:t>Hardware Failures: Aging ATM hardware led to unpredictable outages.</w:t>
      </w:r>
    </w:p>
    <w:p w14:paraId="21A057FD" w14:textId="06D357E3" w:rsidR="00DB15AC" w:rsidRPr="00DB15AC" w:rsidRDefault="00DB15AC" w:rsidP="00DB15AC">
      <w:pPr>
        <w:spacing w:line="480" w:lineRule="auto"/>
        <w:rPr>
          <w:rFonts w:ascii="Arial" w:hAnsi="Arial" w:cs="Arial"/>
        </w:rPr>
      </w:pPr>
      <w:r w:rsidRPr="00DB15AC">
        <w:rPr>
          <w:rFonts w:ascii="Arial" w:hAnsi="Arial" w:cs="Arial"/>
        </w:rPr>
        <w:t>Latency Blind Spots: Transaction delays caused customer complaints but were hard to diagnose retroactively.</w:t>
      </w:r>
    </w:p>
    <w:p w14:paraId="2FCF40EE" w14:textId="74DF576F" w:rsidR="00DB15AC" w:rsidRPr="00DB15AC" w:rsidRDefault="00DB15AC" w:rsidP="00DB15AC">
      <w:pPr>
        <w:spacing w:line="480" w:lineRule="auto"/>
        <w:rPr>
          <w:rFonts w:ascii="Arial" w:hAnsi="Arial" w:cs="Arial"/>
        </w:rPr>
      </w:pPr>
      <w:r w:rsidRPr="00DB15AC">
        <w:rPr>
          <w:rFonts w:ascii="Arial" w:hAnsi="Arial" w:cs="Arial"/>
        </w:rPr>
        <w:t>Security Risks: Fraudulent transactions required immediate detection to minimize losses.</w:t>
      </w:r>
    </w:p>
    <w:p w14:paraId="7BA58B81" w14:textId="372A3177" w:rsidR="00DB15AC" w:rsidRPr="00DB15AC" w:rsidRDefault="00DB15AC" w:rsidP="00DB15AC">
      <w:pPr>
        <w:spacing w:line="480" w:lineRule="auto"/>
        <w:rPr>
          <w:rFonts w:ascii="Arial" w:hAnsi="Arial" w:cs="Arial"/>
        </w:rPr>
      </w:pPr>
      <w:r w:rsidRPr="00DB15AC">
        <w:rPr>
          <w:rFonts w:ascii="Arial" w:hAnsi="Arial" w:cs="Arial"/>
        </w:rPr>
        <w:t>The bank overhauled its monitoring strategy by:</w:t>
      </w:r>
    </w:p>
    <w:p w14:paraId="41703FAB" w14:textId="68B86AAF" w:rsidR="00DB15AC" w:rsidRPr="00DB15AC" w:rsidRDefault="00DB15AC" w:rsidP="00DB15AC">
      <w:pPr>
        <w:spacing w:line="480" w:lineRule="auto"/>
        <w:rPr>
          <w:rFonts w:ascii="Arial" w:hAnsi="Arial" w:cs="Arial"/>
        </w:rPr>
      </w:pPr>
      <w:r w:rsidRPr="00DB15AC">
        <w:rPr>
          <w:rFonts w:ascii="Arial" w:hAnsi="Arial" w:cs="Arial"/>
        </w:rPr>
        <w:t>Instrumenting ATMs with IoT Sensors: Collecting real-time data on hardware health (e.g., cash dispenser motor temperature, network latency).</w:t>
      </w:r>
    </w:p>
    <w:p w14:paraId="6E11032F" w14:textId="05E1AE38" w:rsidR="00DB15AC" w:rsidRPr="00DB15AC" w:rsidRDefault="00DB15AC" w:rsidP="00DB15AC">
      <w:pPr>
        <w:spacing w:line="480" w:lineRule="auto"/>
        <w:rPr>
          <w:rFonts w:ascii="Arial" w:hAnsi="Arial" w:cs="Arial"/>
        </w:rPr>
      </w:pPr>
      <w:r w:rsidRPr="00DB15AC">
        <w:rPr>
          <w:rFonts w:ascii="Arial" w:hAnsi="Arial" w:cs="Arial"/>
        </w:rPr>
        <w:lastRenderedPageBreak/>
        <w:t>AI-Driven Anomaly Detection: Using machine learning to flag unusual transaction patterns or hardware behavior.</w:t>
      </w:r>
    </w:p>
    <w:p w14:paraId="212C7FC8" w14:textId="654E674F" w:rsidR="00DB15AC" w:rsidRPr="00DB15AC" w:rsidRDefault="00DB15AC" w:rsidP="00DB15AC">
      <w:pPr>
        <w:spacing w:line="480" w:lineRule="auto"/>
        <w:rPr>
          <w:rFonts w:ascii="Arial" w:hAnsi="Arial" w:cs="Arial"/>
        </w:rPr>
      </w:pPr>
      <w:r w:rsidRPr="00DB15AC">
        <w:rPr>
          <w:rFonts w:ascii="Arial" w:hAnsi="Arial" w:cs="Arial"/>
        </w:rPr>
        <w:t>Predictive Maintenance: Analyzing telemetry to replace parts before failures occurred, reducing downtime by 40%.</w:t>
      </w:r>
    </w:p>
    <w:p w14:paraId="46EE260D" w14:textId="3936AD12" w:rsidR="00DB15AC" w:rsidRDefault="00DB15AC" w:rsidP="00DB15AC">
      <w:pPr>
        <w:spacing w:line="480" w:lineRule="auto"/>
        <w:rPr>
          <w:rFonts w:ascii="Arial" w:hAnsi="Arial" w:cs="Arial"/>
        </w:rPr>
      </w:pPr>
      <w:r w:rsidRPr="00DB15AC">
        <w:rPr>
          <w:rFonts w:ascii="Arial" w:hAnsi="Arial" w:cs="Arial"/>
        </w:rPr>
        <w:t>Telemetry is a lifeline for legacy systems. Real-time data bridges the gap between aging infrastructure and modern reliability expectations</w:t>
      </w:r>
      <w:r>
        <w:rPr>
          <w:rFonts w:ascii="Arial" w:hAnsi="Arial" w:cs="Arial"/>
        </w:rPr>
        <w:t>.</w:t>
      </w:r>
    </w:p>
    <w:p w14:paraId="324CF727" w14:textId="61319A02" w:rsidR="00DB15AC" w:rsidRPr="00DB15AC" w:rsidRDefault="00DB15AC" w:rsidP="00DB15AC">
      <w:pPr>
        <w:spacing w:line="480" w:lineRule="auto"/>
        <w:rPr>
          <w:rFonts w:ascii="Arial" w:hAnsi="Arial" w:cs="Arial"/>
        </w:rPr>
      </w:pPr>
      <w:r w:rsidRPr="00DB15AC">
        <w:rPr>
          <w:rFonts w:ascii="Arial" w:hAnsi="Arial" w:cs="Arial"/>
        </w:rPr>
        <w:t>Proactive &gt; Reactive. Predicting failures saves costs and preserves user trust compared to “break-fix” approaches.</w:t>
      </w:r>
    </w:p>
    <w:p w14:paraId="4F212D83" w14:textId="424EC344" w:rsidR="00DB15AC" w:rsidRPr="00DB15AC" w:rsidRDefault="00DB15AC" w:rsidP="00DB15AC">
      <w:pPr>
        <w:spacing w:line="480" w:lineRule="auto"/>
        <w:rPr>
          <w:rFonts w:ascii="Arial" w:hAnsi="Arial" w:cs="Arial"/>
        </w:rPr>
      </w:pPr>
      <w:r w:rsidRPr="00DB15AC">
        <w:rPr>
          <w:rFonts w:ascii="Arial" w:hAnsi="Arial" w:cs="Arial"/>
        </w:rPr>
        <w:t>Data quality is foundational. Inaccurate sensors or incomplete logs render even advanced analytics useless.</w:t>
      </w:r>
    </w:p>
    <w:p w14:paraId="3CAB3F3C" w14:textId="62A5D973" w:rsidR="00DB15AC" w:rsidRDefault="00DB15AC" w:rsidP="00DB15AC">
      <w:pPr>
        <w:spacing w:line="480" w:lineRule="auto"/>
        <w:ind w:firstLine="720"/>
        <w:rPr>
          <w:rFonts w:ascii="Arial" w:hAnsi="Arial" w:cs="Arial"/>
        </w:rPr>
      </w:pPr>
      <w:r w:rsidRPr="00DB15AC">
        <w:rPr>
          <w:rFonts w:ascii="Arial" w:hAnsi="Arial" w:cs="Arial"/>
        </w:rPr>
        <w:t>Physical systems like ATMs demand the same operational rigor as cloud-native applications. Telemetry transforms passive infrastructure into observable, actionable assets.</w:t>
      </w:r>
    </w:p>
    <w:p w14:paraId="193062EF" w14:textId="29DF1385" w:rsidR="00DB15AC" w:rsidRPr="00DB15AC" w:rsidRDefault="00DB15AC" w:rsidP="00DB15AC">
      <w:pPr>
        <w:spacing w:line="480" w:lineRule="auto"/>
        <w:jc w:val="center"/>
        <w:rPr>
          <w:rFonts w:ascii="Arial" w:hAnsi="Arial" w:cs="Arial"/>
          <w:b/>
          <w:bCs/>
        </w:rPr>
      </w:pPr>
      <w:r w:rsidRPr="00DB15AC">
        <w:rPr>
          <w:rFonts w:ascii="Arial" w:hAnsi="Arial" w:cs="Arial"/>
          <w:b/>
          <w:bCs/>
        </w:rPr>
        <w:t>Cross-Case Insights</w:t>
      </w:r>
    </w:p>
    <w:p w14:paraId="78BE3AB7" w14:textId="0F93F123" w:rsidR="00DB15AC" w:rsidRPr="00DB15AC" w:rsidRDefault="00DB15AC" w:rsidP="00DB15AC">
      <w:pPr>
        <w:spacing w:line="480" w:lineRule="auto"/>
        <w:rPr>
          <w:rFonts w:ascii="Arial" w:hAnsi="Arial" w:cs="Arial"/>
        </w:rPr>
      </w:pPr>
      <w:r w:rsidRPr="00DB15AC">
        <w:rPr>
          <w:rFonts w:ascii="Arial" w:hAnsi="Arial" w:cs="Arial"/>
        </w:rPr>
        <w:t>Both case studies underscore the importance of visibility and proactivity in complex systems:</w:t>
      </w:r>
    </w:p>
    <w:p w14:paraId="7DBB295B" w14:textId="399695D2" w:rsidR="00DB15AC" w:rsidRPr="00DB15AC" w:rsidRDefault="00DB15AC" w:rsidP="00DB15AC">
      <w:pPr>
        <w:spacing w:line="480" w:lineRule="auto"/>
        <w:rPr>
          <w:rFonts w:ascii="Arial" w:hAnsi="Arial" w:cs="Arial"/>
        </w:rPr>
      </w:pPr>
      <w:r w:rsidRPr="00DB15AC">
        <w:rPr>
          <w:rFonts w:ascii="Arial" w:hAnsi="Arial" w:cs="Arial"/>
        </w:rPr>
        <w:t>Compliance-as-Code and Telemetry are two sides of the same coin: one ensures regulatory visibility, the other ensures operational visibility.</w:t>
      </w:r>
    </w:p>
    <w:p w14:paraId="60EF8989" w14:textId="60FE656A" w:rsidR="00DB15AC" w:rsidRPr="00DB15AC" w:rsidRDefault="00DB15AC" w:rsidP="00DB15AC">
      <w:pPr>
        <w:spacing w:line="480" w:lineRule="auto"/>
        <w:rPr>
          <w:rFonts w:ascii="Arial" w:hAnsi="Arial" w:cs="Arial"/>
        </w:rPr>
      </w:pPr>
      <w:r w:rsidRPr="00DB15AC">
        <w:rPr>
          <w:rFonts w:ascii="Arial" w:hAnsi="Arial" w:cs="Arial"/>
        </w:rPr>
        <w:t>Automation and AI are force multipliers. They mitigate human error in compliance audits and enable predictive maintenance in hardware systems.</w:t>
      </w:r>
    </w:p>
    <w:p w14:paraId="18298618" w14:textId="1A858254" w:rsidR="00DB15AC" w:rsidRPr="00DB15AC" w:rsidRDefault="00DB15AC" w:rsidP="00DB15AC">
      <w:pPr>
        <w:spacing w:line="480" w:lineRule="auto"/>
        <w:rPr>
          <w:rFonts w:ascii="Arial" w:hAnsi="Arial" w:cs="Arial"/>
        </w:rPr>
      </w:pPr>
      <w:r w:rsidRPr="00DB15AC">
        <w:rPr>
          <w:rFonts w:ascii="Arial" w:hAnsi="Arial" w:cs="Arial"/>
        </w:rPr>
        <w:lastRenderedPageBreak/>
        <w:t>Cultural alignment is critical. Success in regulated or legacy environments requires breaking down silos between technical, legal, and operational teams.</w:t>
      </w:r>
    </w:p>
    <w:p w14:paraId="76DB75CE" w14:textId="0EE59CCC" w:rsidR="00DB15AC" w:rsidRPr="00DB15AC" w:rsidRDefault="00DB15AC" w:rsidP="00DB15AC">
      <w:pPr>
        <w:spacing w:line="480" w:lineRule="auto"/>
        <w:rPr>
          <w:rFonts w:ascii="Arial" w:hAnsi="Arial" w:cs="Arial"/>
        </w:rPr>
      </w:pPr>
      <w:r w:rsidRPr="00DB15AC">
        <w:rPr>
          <w:rFonts w:ascii="Arial" w:hAnsi="Arial" w:cs="Arial"/>
        </w:rPr>
        <w:t>Forecast for Practice:</w:t>
      </w:r>
    </w:p>
    <w:p w14:paraId="1FC55196" w14:textId="19BCEE24" w:rsidR="00DB15AC" w:rsidRPr="00DB15AC" w:rsidRDefault="00DB15AC" w:rsidP="00DB15AC">
      <w:pPr>
        <w:spacing w:line="480" w:lineRule="auto"/>
        <w:rPr>
          <w:rFonts w:ascii="Arial" w:hAnsi="Arial" w:cs="Arial"/>
        </w:rPr>
      </w:pPr>
      <w:r w:rsidRPr="00DB15AC">
        <w:rPr>
          <w:rFonts w:ascii="Arial" w:hAnsi="Arial" w:cs="Arial"/>
        </w:rPr>
        <w:t>Regulatory-Tech (</w:t>
      </w:r>
      <w:proofErr w:type="spellStart"/>
      <w:r w:rsidRPr="00DB15AC">
        <w:rPr>
          <w:rFonts w:ascii="Arial" w:hAnsi="Arial" w:cs="Arial"/>
        </w:rPr>
        <w:t>RegTech</w:t>
      </w:r>
      <w:proofErr w:type="spellEnd"/>
      <w:r w:rsidRPr="00DB15AC">
        <w:rPr>
          <w:rFonts w:ascii="Arial" w:hAnsi="Arial" w:cs="Arial"/>
        </w:rPr>
        <w:t>) tools will proliferate, blending compliance automation with DevOps pipelines.</w:t>
      </w:r>
    </w:p>
    <w:p w14:paraId="40046F60" w14:textId="00089F1E" w:rsidR="00DB15AC" w:rsidRPr="00DB15AC" w:rsidRDefault="00DB15AC" w:rsidP="00DB15AC">
      <w:pPr>
        <w:spacing w:line="480" w:lineRule="auto"/>
        <w:rPr>
          <w:rFonts w:ascii="Arial" w:hAnsi="Arial" w:cs="Arial"/>
        </w:rPr>
      </w:pPr>
      <w:r w:rsidRPr="00DB15AC">
        <w:rPr>
          <w:rFonts w:ascii="Arial" w:hAnsi="Arial" w:cs="Arial"/>
        </w:rPr>
        <w:t>Telemetry adoption will expand beyond software to IoT, medical devices, and industrial equipment.</w:t>
      </w:r>
    </w:p>
    <w:p w14:paraId="57ED81F7" w14:textId="3DE54A60" w:rsidR="00DB15AC" w:rsidRPr="00DB15AC" w:rsidRDefault="00DB15AC" w:rsidP="00DB15AC">
      <w:pPr>
        <w:spacing w:line="480" w:lineRule="auto"/>
        <w:rPr>
          <w:rFonts w:ascii="Arial" w:hAnsi="Arial" w:cs="Arial"/>
        </w:rPr>
      </w:pPr>
      <w:r w:rsidRPr="00DB15AC">
        <w:rPr>
          <w:rFonts w:ascii="Arial" w:hAnsi="Arial" w:cs="Arial"/>
        </w:rPr>
        <w:t>Organizations that silo compliance or operations teams will struggle to retain market share against agile competitors.</w:t>
      </w:r>
    </w:p>
    <w:p w14:paraId="4D9FB8C5" w14:textId="77777777" w:rsidR="00DB15AC" w:rsidRPr="00DB15AC" w:rsidRDefault="00DB15AC" w:rsidP="00DB15AC">
      <w:pPr>
        <w:spacing w:line="480" w:lineRule="auto"/>
        <w:jc w:val="center"/>
        <w:rPr>
          <w:rFonts w:ascii="Arial" w:hAnsi="Arial" w:cs="Arial"/>
          <w:b/>
          <w:bCs/>
        </w:rPr>
      </w:pPr>
      <w:r w:rsidRPr="00DB15AC">
        <w:rPr>
          <w:rFonts w:ascii="Arial" w:hAnsi="Arial" w:cs="Arial"/>
          <w:b/>
          <w:bCs/>
        </w:rPr>
        <w:t>Conclusion</w:t>
      </w:r>
    </w:p>
    <w:p w14:paraId="4DA607C1" w14:textId="038047D2" w:rsidR="00DB15AC" w:rsidRDefault="00DB15AC" w:rsidP="00DB15AC">
      <w:pPr>
        <w:spacing w:line="480" w:lineRule="auto"/>
        <w:ind w:firstLine="720"/>
        <w:rPr>
          <w:rFonts w:ascii="Arial" w:hAnsi="Arial" w:cs="Arial"/>
        </w:rPr>
      </w:pPr>
      <w:r w:rsidRPr="00DB15AC">
        <w:rPr>
          <w:rFonts w:ascii="Arial" w:hAnsi="Arial" w:cs="Arial"/>
        </w:rPr>
        <w:t>These case studies demonstrate that compliance and reliability are not constraints but catalysts for innovation. By embedding governance into workflows and harnessing telemetry for proactive insights, organizations can achieve both agility and resilience. The lesson is clear: in regulated or legacy environments, visibility and automation are the keys to unlocking sustainable progress.</w:t>
      </w:r>
    </w:p>
    <w:sdt>
      <w:sdtPr>
        <w:id w:val="-535730557"/>
        <w:docPartObj>
          <w:docPartGallery w:val="Bibliographies"/>
          <w:docPartUnique/>
        </w:docPartObj>
      </w:sdtPr>
      <w:sdtEndPr>
        <w:rPr>
          <w:rFonts w:asciiTheme="minorHAnsi" w:eastAsiaTheme="minorHAnsi" w:hAnsiTheme="minorHAnsi" w:cstheme="minorBidi"/>
          <w:color w:val="auto"/>
          <w:sz w:val="24"/>
          <w:szCs w:val="24"/>
        </w:rPr>
      </w:sdtEndPr>
      <w:sdtContent>
        <w:p w14:paraId="581A5688" w14:textId="267A8D47" w:rsidR="00DB15AC" w:rsidRDefault="00DB15AC">
          <w:pPr>
            <w:pStyle w:val="Heading1"/>
          </w:pPr>
          <w:r>
            <w:t>References</w:t>
          </w:r>
        </w:p>
        <w:sdt>
          <w:sdtPr>
            <w:id w:val="-573587230"/>
            <w:bibliography/>
          </w:sdtPr>
          <w:sdtContent>
            <w:p w14:paraId="236E0ECD" w14:textId="77777777" w:rsidR="00DB15AC" w:rsidRDefault="00DB15AC" w:rsidP="00DB15AC">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Kim, G., Humble, J., Debois, P., Willis, J., &amp; Forsgren, N. (2021). </w:t>
              </w:r>
              <w:r>
                <w:rPr>
                  <w:i/>
                  <w:iCs/>
                  <w:noProof/>
                </w:rPr>
                <w:t>The DevOps Handbook.</w:t>
              </w:r>
              <w:r>
                <w:rPr>
                  <w:noProof/>
                </w:rPr>
                <w:t xml:space="preserve"> Portland: IT Revolution Press.</w:t>
              </w:r>
            </w:p>
            <w:p w14:paraId="05767760" w14:textId="61EB99DD" w:rsidR="00DB15AC" w:rsidRDefault="00DB15AC" w:rsidP="00DB15AC">
              <w:r>
                <w:rPr>
                  <w:b/>
                  <w:bCs/>
                  <w:noProof/>
                </w:rPr>
                <w:fldChar w:fldCharType="end"/>
              </w:r>
            </w:p>
          </w:sdtContent>
        </w:sdt>
      </w:sdtContent>
    </w:sdt>
    <w:p w14:paraId="38D95591" w14:textId="77777777" w:rsidR="00DB15AC" w:rsidRPr="00DB15AC" w:rsidRDefault="00DB15AC" w:rsidP="00DB15AC">
      <w:pPr>
        <w:spacing w:line="480" w:lineRule="auto"/>
        <w:ind w:firstLine="720"/>
        <w:rPr>
          <w:rFonts w:ascii="Arial" w:hAnsi="Arial" w:cs="Arial"/>
        </w:rPr>
      </w:pPr>
    </w:p>
    <w:sectPr w:rsidR="00DB15AC" w:rsidRPr="00DB1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82EE4"/>
    <w:multiLevelType w:val="multilevel"/>
    <w:tmpl w:val="5CB6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C22F2"/>
    <w:multiLevelType w:val="multilevel"/>
    <w:tmpl w:val="9118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B2710"/>
    <w:multiLevelType w:val="multilevel"/>
    <w:tmpl w:val="A568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E6173"/>
    <w:multiLevelType w:val="multilevel"/>
    <w:tmpl w:val="9DF0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E0A5A"/>
    <w:multiLevelType w:val="multilevel"/>
    <w:tmpl w:val="9A7A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34DD2"/>
    <w:multiLevelType w:val="multilevel"/>
    <w:tmpl w:val="58AE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4C77"/>
    <w:multiLevelType w:val="multilevel"/>
    <w:tmpl w:val="7180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438C1"/>
    <w:multiLevelType w:val="multilevel"/>
    <w:tmpl w:val="1C007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139370">
    <w:abstractNumId w:val="0"/>
  </w:num>
  <w:num w:numId="2" w16cid:durableId="1272513054">
    <w:abstractNumId w:val="5"/>
  </w:num>
  <w:num w:numId="3" w16cid:durableId="1809591011">
    <w:abstractNumId w:val="6"/>
  </w:num>
  <w:num w:numId="4" w16cid:durableId="1148398649">
    <w:abstractNumId w:val="7"/>
  </w:num>
  <w:num w:numId="5" w16cid:durableId="534970815">
    <w:abstractNumId w:val="2"/>
  </w:num>
  <w:num w:numId="6" w16cid:durableId="1630933548">
    <w:abstractNumId w:val="1"/>
  </w:num>
  <w:num w:numId="7" w16cid:durableId="1327242590">
    <w:abstractNumId w:val="3"/>
  </w:num>
  <w:num w:numId="8" w16cid:durableId="1573395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AC"/>
    <w:rsid w:val="00373D2E"/>
    <w:rsid w:val="00AF1EAA"/>
    <w:rsid w:val="00DB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6C9D"/>
  <w15:chartTrackingRefBased/>
  <w15:docId w15:val="{31CAF5FD-AB91-4EFA-A3E8-AA8CF527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5AC"/>
    <w:rPr>
      <w:rFonts w:eastAsiaTheme="majorEastAsia" w:cstheme="majorBidi"/>
      <w:color w:val="272727" w:themeColor="text1" w:themeTint="D8"/>
    </w:rPr>
  </w:style>
  <w:style w:type="paragraph" w:styleId="Title">
    <w:name w:val="Title"/>
    <w:basedOn w:val="Normal"/>
    <w:next w:val="Normal"/>
    <w:link w:val="TitleChar"/>
    <w:uiPriority w:val="10"/>
    <w:qFormat/>
    <w:rsid w:val="00DB1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5AC"/>
    <w:pPr>
      <w:spacing w:before="160"/>
      <w:jc w:val="center"/>
    </w:pPr>
    <w:rPr>
      <w:i/>
      <w:iCs/>
      <w:color w:val="404040" w:themeColor="text1" w:themeTint="BF"/>
    </w:rPr>
  </w:style>
  <w:style w:type="character" w:customStyle="1" w:styleId="QuoteChar">
    <w:name w:val="Quote Char"/>
    <w:basedOn w:val="DefaultParagraphFont"/>
    <w:link w:val="Quote"/>
    <w:uiPriority w:val="29"/>
    <w:rsid w:val="00DB15AC"/>
    <w:rPr>
      <w:i/>
      <w:iCs/>
      <w:color w:val="404040" w:themeColor="text1" w:themeTint="BF"/>
    </w:rPr>
  </w:style>
  <w:style w:type="paragraph" w:styleId="ListParagraph">
    <w:name w:val="List Paragraph"/>
    <w:basedOn w:val="Normal"/>
    <w:uiPriority w:val="34"/>
    <w:qFormat/>
    <w:rsid w:val="00DB15AC"/>
    <w:pPr>
      <w:ind w:left="720"/>
      <w:contextualSpacing/>
    </w:pPr>
  </w:style>
  <w:style w:type="character" w:styleId="IntenseEmphasis">
    <w:name w:val="Intense Emphasis"/>
    <w:basedOn w:val="DefaultParagraphFont"/>
    <w:uiPriority w:val="21"/>
    <w:qFormat/>
    <w:rsid w:val="00DB15AC"/>
    <w:rPr>
      <w:i/>
      <w:iCs/>
      <w:color w:val="0F4761" w:themeColor="accent1" w:themeShade="BF"/>
    </w:rPr>
  </w:style>
  <w:style w:type="paragraph" w:styleId="IntenseQuote">
    <w:name w:val="Intense Quote"/>
    <w:basedOn w:val="Normal"/>
    <w:next w:val="Normal"/>
    <w:link w:val="IntenseQuoteChar"/>
    <w:uiPriority w:val="30"/>
    <w:qFormat/>
    <w:rsid w:val="00DB1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5AC"/>
    <w:rPr>
      <w:i/>
      <w:iCs/>
      <w:color w:val="0F4761" w:themeColor="accent1" w:themeShade="BF"/>
    </w:rPr>
  </w:style>
  <w:style w:type="character" w:styleId="IntenseReference">
    <w:name w:val="Intense Reference"/>
    <w:basedOn w:val="DefaultParagraphFont"/>
    <w:uiPriority w:val="32"/>
    <w:qFormat/>
    <w:rsid w:val="00DB15AC"/>
    <w:rPr>
      <w:b/>
      <w:bCs/>
      <w:smallCaps/>
      <w:color w:val="0F4761" w:themeColor="accent1" w:themeShade="BF"/>
      <w:spacing w:val="5"/>
    </w:rPr>
  </w:style>
  <w:style w:type="paragraph" w:styleId="Bibliography">
    <w:name w:val="Bibliography"/>
    <w:basedOn w:val="Normal"/>
    <w:next w:val="Normal"/>
    <w:uiPriority w:val="37"/>
    <w:unhideWhenUsed/>
    <w:rsid w:val="00DB1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5124">
      <w:bodyDiv w:val="1"/>
      <w:marLeft w:val="0"/>
      <w:marRight w:val="0"/>
      <w:marTop w:val="0"/>
      <w:marBottom w:val="0"/>
      <w:divBdr>
        <w:top w:val="none" w:sz="0" w:space="0" w:color="auto"/>
        <w:left w:val="none" w:sz="0" w:space="0" w:color="auto"/>
        <w:bottom w:val="none" w:sz="0" w:space="0" w:color="auto"/>
        <w:right w:val="none" w:sz="0" w:space="0" w:color="auto"/>
      </w:divBdr>
    </w:div>
    <w:div w:id="391663002">
      <w:bodyDiv w:val="1"/>
      <w:marLeft w:val="0"/>
      <w:marRight w:val="0"/>
      <w:marTop w:val="0"/>
      <w:marBottom w:val="0"/>
      <w:divBdr>
        <w:top w:val="none" w:sz="0" w:space="0" w:color="auto"/>
        <w:left w:val="none" w:sz="0" w:space="0" w:color="auto"/>
        <w:bottom w:val="none" w:sz="0" w:space="0" w:color="auto"/>
        <w:right w:val="none" w:sz="0" w:space="0" w:color="auto"/>
      </w:divBdr>
    </w:div>
    <w:div w:id="1000308057">
      <w:bodyDiv w:val="1"/>
      <w:marLeft w:val="0"/>
      <w:marRight w:val="0"/>
      <w:marTop w:val="0"/>
      <w:marBottom w:val="0"/>
      <w:divBdr>
        <w:top w:val="none" w:sz="0" w:space="0" w:color="auto"/>
        <w:left w:val="none" w:sz="0" w:space="0" w:color="auto"/>
        <w:bottom w:val="none" w:sz="0" w:space="0" w:color="auto"/>
        <w:right w:val="none" w:sz="0" w:space="0" w:color="auto"/>
      </w:divBdr>
    </w:div>
    <w:div w:id="1498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Gen21</b:Tag>
    <b:SourceType>Book</b:SourceType>
    <b:Guid>{CCD99089-EA14-4E87-B58E-C043D6139035}</b:Guid>
    <b:Title>The DevOps Handbook</b:Title>
    <b:Year>2021</b:Year>
    <b:Author>
      <b:Author>
        <b:NameList>
          <b:Person>
            <b:Last>Kim</b:Last>
            <b:First>Gene</b:First>
          </b:Person>
          <b:Person>
            <b:Last>Humble</b:Last>
            <b:First>Jez</b:First>
          </b:Person>
          <b:Person>
            <b:Last>Debois</b:Last>
            <b:First>Patrick</b:First>
          </b:Person>
          <b:Person>
            <b:Last>Willis</b:Last>
            <b:First>John</b:First>
          </b:Person>
          <b:Person>
            <b:Last>Forsgren</b:Last>
            <b:First>Nicole</b:First>
          </b:Person>
        </b:NameList>
      </b:Author>
    </b:Author>
    <b:City>Portland</b:City>
    <b:Publisher>IT Revolution Press</b:Publisher>
    <b:RefOrder>1</b:RefOrder>
  </b:Source>
</b:Sources>
</file>

<file path=customXml/itemProps1.xml><?xml version="1.0" encoding="utf-8"?>
<ds:datastoreItem xmlns:ds="http://schemas.openxmlformats.org/officeDocument/2006/customXml" ds:itemID="{DCEBD1EC-14BD-435E-BCEA-111D9575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Niels Medendorp</dc:creator>
  <cp:keywords/>
  <dc:description/>
  <cp:lastModifiedBy>Roald Niels Medendorp</cp:lastModifiedBy>
  <cp:revision>2</cp:revision>
  <dcterms:created xsi:type="dcterms:W3CDTF">2025-03-03T14:13:00Z</dcterms:created>
  <dcterms:modified xsi:type="dcterms:W3CDTF">2025-03-03T14:13:00Z</dcterms:modified>
</cp:coreProperties>
</file>