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2675" w14:textId="4BD7C481" w:rsidR="00DB3D62" w:rsidRDefault="003337D6" w:rsidP="00F17EAF">
      <w:pPr>
        <w:pStyle w:val="Title"/>
      </w:pPr>
      <w:r>
        <w:t xml:space="preserve">Master Data Management. </w:t>
      </w:r>
      <w:r w:rsidR="00F17EAF">
        <w:t xml:space="preserve">Focused Demonstration Requirements </w:t>
      </w:r>
    </w:p>
    <w:p w14:paraId="275C75F6" w14:textId="7F727EAC" w:rsidR="00145F3E" w:rsidRDefault="00145F3E"/>
    <w:p w14:paraId="66727D66" w14:textId="7C0BAF8D" w:rsidR="00F17EAF" w:rsidRDefault="00F17EAF" w:rsidP="00F17EAF">
      <w:pPr>
        <w:pStyle w:val="Heading1"/>
      </w:pPr>
      <w:r>
        <w:t>introduction</w:t>
      </w:r>
    </w:p>
    <w:p w14:paraId="61F861CB" w14:textId="4A43513D" w:rsidR="00145F3E" w:rsidRDefault="00145F3E">
      <w:r>
        <w:t xml:space="preserve">Brit requires a modern RDM/MDM platform to meet </w:t>
      </w:r>
      <w:r w:rsidR="004E025A">
        <w:t>current and emerging</w:t>
      </w:r>
      <w:r>
        <w:t xml:space="preserve"> business goals</w:t>
      </w:r>
      <w:r w:rsidR="004E025A">
        <w:t>:</w:t>
      </w:r>
    </w:p>
    <w:p w14:paraId="5495D621" w14:textId="63B53EE0" w:rsidR="00145F3E" w:rsidRDefault="00145F3E" w:rsidP="00145F3E">
      <w:pPr>
        <w:pStyle w:val="ListParagraph"/>
        <w:numPr>
          <w:ilvl w:val="0"/>
          <w:numId w:val="1"/>
        </w:numPr>
      </w:pPr>
      <w:r>
        <w:t>Move away from a legacy implementation of MDS with hundreds of versions of dozens of models</w:t>
      </w:r>
      <w:r w:rsidR="004E025A">
        <w:t xml:space="preserve">. </w:t>
      </w:r>
      <w:r w:rsidR="00532AA1">
        <w:t xml:space="preserve">Used mainly </w:t>
      </w:r>
      <w:r>
        <w:t xml:space="preserve">to store Reference Data which is manually entered and consumed by data warehouses and </w:t>
      </w:r>
      <w:r w:rsidR="79D1D36B">
        <w:t>several</w:t>
      </w:r>
      <w:r>
        <w:t xml:space="preserve"> other systems via a cache database.</w:t>
      </w:r>
    </w:p>
    <w:p w14:paraId="57A2CBAC" w14:textId="4C1AEE82" w:rsidR="00DB08F2" w:rsidRDefault="00532AA1" w:rsidP="00145F3E">
      <w:pPr>
        <w:pStyle w:val="ListParagraph"/>
        <w:numPr>
          <w:ilvl w:val="0"/>
          <w:numId w:val="1"/>
        </w:numPr>
      </w:pPr>
      <w:r>
        <w:t xml:space="preserve">Meet </w:t>
      </w:r>
      <w:r w:rsidR="13380D42">
        <w:t>Reference</w:t>
      </w:r>
      <w:r>
        <w:t xml:space="preserve"> and </w:t>
      </w:r>
      <w:r w:rsidR="00E1551B">
        <w:t xml:space="preserve">Party Master </w:t>
      </w:r>
      <w:r w:rsidR="04385325">
        <w:t xml:space="preserve">Data </w:t>
      </w:r>
      <w:r w:rsidR="00E1551B">
        <w:t>requirements of a modern D</w:t>
      </w:r>
      <w:r w:rsidR="00490A6B">
        <w:t>ata platform architected in Azure</w:t>
      </w:r>
      <w:r w:rsidR="00917D3F">
        <w:t xml:space="preserve"> as they are identified and prioritised.</w:t>
      </w:r>
    </w:p>
    <w:p w14:paraId="65F3BD3B" w14:textId="00243DC7" w:rsidR="00145F3E" w:rsidRDefault="00145F3E" w:rsidP="00145F3E">
      <w:pPr>
        <w:pStyle w:val="ListParagraph"/>
        <w:numPr>
          <w:ilvl w:val="0"/>
          <w:numId w:val="1"/>
        </w:numPr>
      </w:pPr>
      <w:r>
        <w:t>Introduce a domain-based reference and Party data model</w:t>
      </w:r>
    </w:p>
    <w:p w14:paraId="09629A78" w14:textId="2A08804D" w:rsidR="00145F3E" w:rsidRDefault="00145F3E" w:rsidP="00145F3E">
      <w:pPr>
        <w:pStyle w:val="ListParagraph"/>
        <w:numPr>
          <w:ilvl w:val="1"/>
          <w:numId w:val="1"/>
        </w:numPr>
      </w:pPr>
      <w:r>
        <w:t>Some Reference Data will be sourced externally for example, data exposed to the London Insurance Market via the Lloyd’s Insights Hub API</w:t>
      </w:r>
    </w:p>
    <w:p w14:paraId="232EDFC5" w14:textId="16CDFF4F" w:rsidR="00145F3E" w:rsidRDefault="00145F3E" w:rsidP="00145F3E">
      <w:pPr>
        <w:pStyle w:val="ListParagraph"/>
        <w:numPr>
          <w:ilvl w:val="1"/>
          <w:numId w:val="1"/>
        </w:numPr>
      </w:pPr>
      <w:r>
        <w:t xml:space="preserve">Party data will be enriched via verification against third party </w:t>
      </w:r>
      <w:r w:rsidR="00F124D6">
        <w:t>providers such as Dun and Bradstreet</w:t>
      </w:r>
    </w:p>
    <w:p w14:paraId="3DC20C5F" w14:textId="2A721170" w:rsidR="00145F3E" w:rsidRDefault="00145F3E" w:rsidP="00145F3E">
      <w:pPr>
        <w:pStyle w:val="ListParagraph"/>
        <w:numPr>
          <w:ilvl w:val="0"/>
          <w:numId w:val="1"/>
        </w:numPr>
      </w:pPr>
      <w:r>
        <w:t>Facilitate strong data governance, data stewardship and data ownership, this will include integration with a Data Governance platform</w:t>
      </w:r>
      <w:r w:rsidR="00F3349F">
        <w:t>.</w:t>
      </w:r>
    </w:p>
    <w:p w14:paraId="7513B1C7" w14:textId="25EC0235" w:rsidR="00F3349F" w:rsidRDefault="00F3349F" w:rsidP="00F3349F">
      <w:pPr>
        <w:pStyle w:val="ListParagraph"/>
        <w:numPr>
          <w:ilvl w:val="0"/>
          <w:numId w:val="1"/>
        </w:numPr>
      </w:pPr>
      <w:r>
        <w:t>Automate as many processes as possible</w:t>
      </w:r>
    </w:p>
    <w:p w14:paraId="55A50714" w14:textId="27B67CB6" w:rsidR="00F124D6" w:rsidRDefault="00145F3E" w:rsidP="00F124D6">
      <w:pPr>
        <w:pStyle w:val="ListParagraph"/>
        <w:numPr>
          <w:ilvl w:val="0"/>
          <w:numId w:val="1"/>
        </w:numPr>
      </w:pPr>
      <w:r>
        <w:t>Enable Brit resources to develop optimal data model and user experience</w:t>
      </w:r>
      <w:r w:rsidR="00D47E86">
        <w:t>.</w:t>
      </w:r>
    </w:p>
    <w:p w14:paraId="42CC3DBF" w14:textId="5FEC7693" w:rsidR="00F3349F" w:rsidRDefault="00F3349F" w:rsidP="00F3349F">
      <w:pPr>
        <w:pStyle w:val="ListParagraph"/>
        <w:numPr>
          <w:ilvl w:val="1"/>
          <w:numId w:val="1"/>
        </w:numPr>
      </w:pPr>
      <w:r>
        <w:t>Brit will be guided on the creation of optimal data models and user experience based upon the vendor / implementation partners knowledge of the platform and its requirements</w:t>
      </w:r>
      <w:r w:rsidR="031AE8A8">
        <w:t xml:space="preserve"> and capabilities</w:t>
      </w:r>
      <w:r>
        <w:t>.</w:t>
      </w:r>
    </w:p>
    <w:p w14:paraId="2FC5C52B" w14:textId="19E0C1AC" w:rsidR="00F124D6" w:rsidRDefault="005D4CF5" w:rsidP="00F124D6">
      <w:r>
        <w:t>There</w:t>
      </w:r>
      <w:r w:rsidR="00F124D6">
        <w:t xml:space="preserve"> is a drive to have the MDM / RDM capability ready for initial use cases for the modern data platform so as not to incur technical debt caused by tactical solutions.</w:t>
      </w:r>
    </w:p>
    <w:p w14:paraId="0AE8B2BC" w14:textId="53460154" w:rsidR="00C06BC2" w:rsidRDefault="00C06BC2" w:rsidP="00C06BC2">
      <w:pPr>
        <w:pStyle w:val="ListParagraph"/>
        <w:numPr>
          <w:ilvl w:val="0"/>
          <w:numId w:val="2"/>
        </w:numPr>
      </w:pPr>
      <w:r>
        <w:t>Data will be added based on prioritised use cases, although seed data will be extracted from the current MDS environment, there will not be a wholesale migration of data from MDS to the strategic MDM platform.</w:t>
      </w:r>
    </w:p>
    <w:p w14:paraId="3FADE21C" w14:textId="5DC7F797" w:rsidR="00C06BC2" w:rsidRDefault="00C06BC2" w:rsidP="00C06BC2">
      <w:pPr>
        <w:pStyle w:val="ListParagraph"/>
        <w:numPr>
          <w:ilvl w:val="0"/>
          <w:numId w:val="2"/>
        </w:numPr>
      </w:pPr>
      <w:r>
        <w:t>We will consider the structure and quality of data in the current data model and make any improvements required to optimise it in the new data model.</w:t>
      </w:r>
    </w:p>
    <w:p w14:paraId="23162C9C" w14:textId="1BBA18E6" w:rsidR="00C06BC2" w:rsidRDefault="00C06BC2" w:rsidP="00C06BC2"/>
    <w:p w14:paraId="580CFEA3" w14:textId="0DEF04F7" w:rsidR="00332DD5" w:rsidRDefault="00C06BC2" w:rsidP="00C06BC2">
      <w:r>
        <w:t xml:space="preserve">Initial use cases for RDM/MDM development </w:t>
      </w:r>
      <w:r w:rsidR="00950AF0">
        <w:t xml:space="preserve">to support the modern data platform </w:t>
      </w:r>
      <w:r>
        <w:t xml:space="preserve">are still being developed, however, we predict that the early requirements will not be </w:t>
      </w:r>
      <w:r w:rsidR="000E2AFC">
        <w:t>highly</w:t>
      </w:r>
      <w:r>
        <w:t xml:space="preserve"> complex</w:t>
      </w:r>
      <w:r w:rsidR="00E37EFE">
        <w:t xml:space="preserve">, </w:t>
      </w:r>
      <w:r w:rsidR="001A62A0">
        <w:t>initially implement</w:t>
      </w:r>
      <w:r w:rsidR="009946E3">
        <w:t xml:space="preserve">ing a consolidated implementation style which will rapidly move into a </w:t>
      </w:r>
      <w:r w:rsidR="001B4939">
        <w:t>coexistence style.</w:t>
      </w:r>
    </w:p>
    <w:p w14:paraId="3CA65AB5" w14:textId="54F29736" w:rsidR="00332DD5" w:rsidRDefault="00332DD5" w:rsidP="00C06BC2"/>
    <w:p w14:paraId="799FDB10" w14:textId="04A3FCF6" w:rsidR="00332DD5" w:rsidRDefault="00332DD5" w:rsidP="00C06BC2"/>
    <w:p w14:paraId="222C1E7E" w14:textId="119A994C" w:rsidR="00332DD5" w:rsidRDefault="00332DD5" w:rsidP="00C06BC2"/>
    <w:p w14:paraId="72F7C40F" w14:textId="77777777" w:rsidR="00332DD5" w:rsidRDefault="00332DD5" w:rsidP="00C06BC2"/>
    <w:p w14:paraId="2ED89D68" w14:textId="29879440" w:rsidR="008E671C" w:rsidRDefault="008E671C" w:rsidP="00C06BC2"/>
    <w:p w14:paraId="667B1921" w14:textId="77777777" w:rsidR="009755D7" w:rsidRDefault="009755D7" w:rsidP="00C06BC2">
      <w:pPr>
        <w:sectPr w:rsidR="009755D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151"/>
        <w:gridCol w:w="1981"/>
        <w:gridCol w:w="4663"/>
        <w:gridCol w:w="5713"/>
      </w:tblGrid>
      <w:tr w:rsidR="00F17EAF" w14:paraId="3B6E446A" w14:textId="77777777" w:rsidTr="00F17EAF">
        <w:trPr>
          <w:trHeight w:val="547"/>
        </w:trPr>
        <w:tc>
          <w:tcPr>
            <w:tcW w:w="13948" w:type="dxa"/>
            <w:gridSpan w:val="5"/>
            <w:shd w:val="clear" w:color="auto" w:fill="FFFFFF" w:themeFill="background1"/>
          </w:tcPr>
          <w:p w14:paraId="1B0B0EF9" w14:textId="5FE4DD78" w:rsidR="00F17EAF" w:rsidRDefault="00C721A8" w:rsidP="00C721A8">
            <w:pPr>
              <w:pStyle w:val="Heading1"/>
              <w:outlineLvl w:val="0"/>
            </w:pPr>
            <w:r w:rsidRPr="00C721A8">
              <w:lastRenderedPageBreak/>
              <w:t>Platform Capability Requirements</w:t>
            </w:r>
            <w:r w:rsidR="00DE2732">
              <w:t xml:space="preserve"> to be demonstrated</w:t>
            </w:r>
          </w:p>
          <w:p w14:paraId="4448E461" w14:textId="6E8FBB23" w:rsidR="00C721A8" w:rsidRPr="00C721A8" w:rsidRDefault="00C721A8" w:rsidP="00C721A8"/>
        </w:tc>
      </w:tr>
      <w:tr w:rsidR="00757114" w14:paraId="3869EF1A" w14:textId="77777777" w:rsidTr="00F17EAF">
        <w:tc>
          <w:tcPr>
            <w:tcW w:w="440" w:type="dxa"/>
            <w:shd w:val="clear" w:color="auto" w:fill="7030A0"/>
          </w:tcPr>
          <w:p w14:paraId="6ADF8DA2" w14:textId="77777777" w:rsidR="00757114" w:rsidRPr="00F17EAF" w:rsidRDefault="00757114" w:rsidP="00C06BC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shd w:val="clear" w:color="auto" w:fill="7030A0"/>
          </w:tcPr>
          <w:p w14:paraId="5ACC9F5D" w14:textId="19B9705B" w:rsidR="00757114" w:rsidRPr="00F17EAF" w:rsidRDefault="00757114" w:rsidP="00C06BC2">
            <w:pPr>
              <w:rPr>
                <w:b/>
                <w:bCs/>
                <w:color w:val="FFFFFF" w:themeColor="background1"/>
              </w:rPr>
            </w:pPr>
            <w:r w:rsidRPr="00F17EAF">
              <w:rPr>
                <w:b/>
                <w:bCs/>
                <w:color w:val="FFFFFF" w:themeColor="background1"/>
              </w:rPr>
              <w:t>Critical</w:t>
            </w:r>
            <w:r w:rsidR="00AE2761" w:rsidRPr="00F17EAF">
              <w:rPr>
                <w:b/>
                <w:bCs/>
                <w:color w:val="FFFFFF" w:themeColor="background1"/>
              </w:rPr>
              <w:t xml:space="preserve"> / </w:t>
            </w:r>
            <w:r w:rsidR="009D7ECF" w:rsidRPr="00F17EAF">
              <w:rPr>
                <w:b/>
                <w:bCs/>
                <w:color w:val="FFFFFF" w:themeColor="background1"/>
              </w:rPr>
              <w:t>D</w:t>
            </w:r>
            <w:r w:rsidR="00AE2761" w:rsidRPr="00F17EAF">
              <w:rPr>
                <w:b/>
                <w:bCs/>
                <w:color w:val="FFFFFF" w:themeColor="background1"/>
              </w:rPr>
              <w:t>esirable</w:t>
            </w:r>
          </w:p>
        </w:tc>
        <w:tc>
          <w:tcPr>
            <w:tcW w:w="1981" w:type="dxa"/>
            <w:shd w:val="clear" w:color="auto" w:fill="7030A0"/>
          </w:tcPr>
          <w:p w14:paraId="1D497B56" w14:textId="5793C3D5" w:rsidR="00757114" w:rsidRPr="00F17EAF" w:rsidRDefault="00757114" w:rsidP="00C06BC2">
            <w:pPr>
              <w:rPr>
                <w:b/>
                <w:bCs/>
                <w:color w:val="FFFFFF" w:themeColor="background1"/>
              </w:rPr>
            </w:pPr>
            <w:r w:rsidRPr="00F17EAF">
              <w:rPr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4663" w:type="dxa"/>
            <w:shd w:val="clear" w:color="auto" w:fill="7030A0"/>
          </w:tcPr>
          <w:p w14:paraId="270D52E8" w14:textId="143E9A85" w:rsidR="00757114" w:rsidRPr="00F17EAF" w:rsidRDefault="00757114" w:rsidP="00C06BC2">
            <w:pPr>
              <w:rPr>
                <w:b/>
                <w:bCs/>
                <w:color w:val="FFFFFF" w:themeColor="background1"/>
              </w:rPr>
            </w:pPr>
            <w:r w:rsidRPr="00F17EAF">
              <w:rPr>
                <w:b/>
                <w:bCs/>
                <w:color w:val="FFFFFF" w:themeColor="background1"/>
              </w:rPr>
              <w:t>Capability</w:t>
            </w:r>
          </w:p>
        </w:tc>
        <w:tc>
          <w:tcPr>
            <w:tcW w:w="5713" w:type="dxa"/>
            <w:shd w:val="clear" w:color="auto" w:fill="7030A0"/>
          </w:tcPr>
          <w:p w14:paraId="45325EC1" w14:textId="2662B59A" w:rsidR="00757114" w:rsidRPr="00F17EAF" w:rsidRDefault="00757114" w:rsidP="00C06BC2">
            <w:pPr>
              <w:rPr>
                <w:b/>
                <w:bCs/>
                <w:color w:val="FFFFFF" w:themeColor="background1"/>
              </w:rPr>
            </w:pPr>
            <w:r w:rsidRPr="00F17EAF">
              <w:rPr>
                <w:b/>
                <w:bCs/>
                <w:color w:val="FFFFFF" w:themeColor="background1"/>
              </w:rPr>
              <w:t>Outcome</w:t>
            </w:r>
          </w:p>
        </w:tc>
      </w:tr>
      <w:tr w:rsidR="00757114" w14:paraId="283F8E4A" w14:textId="77777777" w:rsidTr="00F17EAF">
        <w:tc>
          <w:tcPr>
            <w:tcW w:w="440" w:type="dxa"/>
          </w:tcPr>
          <w:p w14:paraId="4D0F6A52" w14:textId="3F6D2C0C" w:rsidR="00757114" w:rsidRDefault="00757114" w:rsidP="00C06BC2">
            <w:r>
              <w:t>1</w:t>
            </w:r>
          </w:p>
        </w:tc>
        <w:tc>
          <w:tcPr>
            <w:tcW w:w="1151" w:type="dxa"/>
          </w:tcPr>
          <w:p w14:paraId="0DA095DD" w14:textId="330286A4" w:rsidR="00757114" w:rsidRDefault="00AE2761" w:rsidP="00C06BC2">
            <w:r>
              <w:t>Critical</w:t>
            </w:r>
          </w:p>
        </w:tc>
        <w:tc>
          <w:tcPr>
            <w:tcW w:w="1981" w:type="dxa"/>
          </w:tcPr>
          <w:p w14:paraId="636E9943" w14:textId="62E53149" w:rsidR="00757114" w:rsidRDefault="00757114" w:rsidP="00C06BC2">
            <w:r>
              <w:t>Azure - Integration</w:t>
            </w:r>
          </w:p>
        </w:tc>
        <w:tc>
          <w:tcPr>
            <w:tcW w:w="4663" w:type="dxa"/>
          </w:tcPr>
          <w:p w14:paraId="24FA9880" w14:textId="041DD7A2" w:rsidR="00757114" w:rsidRDefault="00757114" w:rsidP="00C06BC2">
            <w:r>
              <w:t>Demonstrate full integration with Azure Data Factory</w:t>
            </w:r>
          </w:p>
        </w:tc>
        <w:tc>
          <w:tcPr>
            <w:tcW w:w="5713" w:type="dxa"/>
          </w:tcPr>
          <w:p w14:paraId="5E708A02" w14:textId="77777777" w:rsidR="00757114" w:rsidRDefault="003C1767" w:rsidP="00C06BC2">
            <w:r>
              <w:t>Demonstrate data integration in real-time and batch processes</w:t>
            </w:r>
            <w:r w:rsidR="00782D16">
              <w:t xml:space="preserve">, ingestion </w:t>
            </w:r>
            <w:r w:rsidR="00A21EF0">
              <w:t xml:space="preserve">from and provision to Azure </w:t>
            </w:r>
            <w:r w:rsidR="00A44833">
              <w:t>Data Lake</w:t>
            </w:r>
            <w:r w:rsidR="008720C3">
              <w:t>.</w:t>
            </w:r>
          </w:p>
          <w:p w14:paraId="3CB93553" w14:textId="37CB19AF" w:rsidR="008720C3" w:rsidRDefault="008720C3" w:rsidP="00C06BC2">
            <w:r>
              <w:t>Brit is exploring the use of Gra</w:t>
            </w:r>
            <w:r w:rsidR="005D5926">
              <w:t xml:space="preserve">phQL for the consumption of data, demonstrate the platform’s capabilities </w:t>
            </w:r>
            <w:r w:rsidR="00EA7B79">
              <w:t>with this technology.</w:t>
            </w:r>
          </w:p>
        </w:tc>
      </w:tr>
      <w:tr w:rsidR="00757114" w14:paraId="3279AA0A" w14:textId="77777777" w:rsidTr="00F17EAF">
        <w:tc>
          <w:tcPr>
            <w:tcW w:w="440" w:type="dxa"/>
          </w:tcPr>
          <w:p w14:paraId="29427E42" w14:textId="3E0361A2" w:rsidR="00757114" w:rsidRDefault="00A23988" w:rsidP="00C06BC2">
            <w:r>
              <w:t>2</w:t>
            </w:r>
          </w:p>
        </w:tc>
        <w:tc>
          <w:tcPr>
            <w:tcW w:w="1151" w:type="dxa"/>
          </w:tcPr>
          <w:p w14:paraId="1245116E" w14:textId="0C642E73" w:rsidR="00757114" w:rsidRDefault="00AE2761" w:rsidP="00C06BC2">
            <w:r>
              <w:t>Critical</w:t>
            </w:r>
          </w:p>
        </w:tc>
        <w:tc>
          <w:tcPr>
            <w:tcW w:w="1981" w:type="dxa"/>
          </w:tcPr>
          <w:p w14:paraId="76F2677D" w14:textId="5112BE7D" w:rsidR="00757114" w:rsidRDefault="006973CD" w:rsidP="00C06BC2">
            <w:r>
              <w:t>Integration -</w:t>
            </w:r>
            <w:r w:rsidR="00774327">
              <w:t xml:space="preserve"> Reporting</w:t>
            </w:r>
          </w:p>
        </w:tc>
        <w:tc>
          <w:tcPr>
            <w:tcW w:w="4663" w:type="dxa"/>
          </w:tcPr>
          <w:p w14:paraId="4C792B7B" w14:textId="46A56517" w:rsidR="00757114" w:rsidRDefault="00D40076" w:rsidP="00C06BC2">
            <w:r>
              <w:t>Integration with Power BI</w:t>
            </w:r>
          </w:p>
        </w:tc>
        <w:tc>
          <w:tcPr>
            <w:tcW w:w="5713" w:type="dxa"/>
          </w:tcPr>
          <w:p w14:paraId="5F85FE4D" w14:textId="1F1846DC" w:rsidR="00757114" w:rsidRDefault="00D40076" w:rsidP="00C06BC2">
            <w:r>
              <w:t>Brits strategic BI tool is Power BI, the solution must integrate seamlessly</w:t>
            </w:r>
          </w:p>
        </w:tc>
      </w:tr>
      <w:tr w:rsidR="00757114" w14:paraId="06FD7F81" w14:textId="77777777" w:rsidTr="00F17EAF">
        <w:tc>
          <w:tcPr>
            <w:tcW w:w="440" w:type="dxa"/>
          </w:tcPr>
          <w:p w14:paraId="007D01DA" w14:textId="22C55932" w:rsidR="00757114" w:rsidRDefault="00A23988" w:rsidP="00C06BC2">
            <w:r>
              <w:t>3</w:t>
            </w:r>
          </w:p>
        </w:tc>
        <w:tc>
          <w:tcPr>
            <w:tcW w:w="1151" w:type="dxa"/>
          </w:tcPr>
          <w:p w14:paraId="5B7C8132" w14:textId="3A0316BD" w:rsidR="00757114" w:rsidRDefault="00AE2761" w:rsidP="00C06BC2">
            <w:r>
              <w:t>critical</w:t>
            </w:r>
          </w:p>
        </w:tc>
        <w:tc>
          <w:tcPr>
            <w:tcW w:w="1981" w:type="dxa"/>
          </w:tcPr>
          <w:p w14:paraId="56BCAEDB" w14:textId="13987992" w:rsidR="00757114" w:rsidRDefault="00757114" w:rsidP="00C06BC2">
            <w:r>
              <w:t>Integration – Data Governance Tool</w:t>
            </w:r>
          </w:p>
        </w:tc>
        <w:tc>
          <w:tcPr>
            <w:tcW w:w="4663" w:type="dxa"/>
          </w:tcPr>
          <w:p w14:paraId="1F8CFD46" w14:textId="4F803FD6" w:rsidR="00757114" w:rsidRDefault="00737F0B" w:rsidP="00C06BC2">
            <w:r>
              <w:t>The tool must integrate with a Data Governance tool</w:t>
            </w:r>
          </w:p>
        </w:tc>
        <w:tc>
          <w:tcPr>
            <w:tcW w:w="5713" w:type="dxa"/>
          </w:tcPr>
          <w:p w14:paraId="58B3A99C" w14:textId="7CF45F86" w:rsidR="00757114" w:rsidRDefault="00737F0B" w:rsidP="00C06BC2">
            <w:r>
              <w:t xml:space="preserve">Brit’s Data Governance tool of choice is yet to be determined however a </w:t>
            </w:r>
            <w:r w:rsidR="00820204">
              <w:t xml:space="preserve">test instance of Purview will likely be available during the </w:t>
            </w:r>
            <w:r w:rsidR="46A4FA74">
              <w:t>initial</w:t>
            </w:r>
            <w:r w:rsidR="00820204">
              <w:t xml:space="preserve"> stages of the programme at least</w:t>
            </w:r>
            <w:r w:rsidR="00C0726C">
              <w:t xml:space="preserve">. </w:t>
            </w:r>
          </w:p>
          <w:p w14:paraId="7EDD3314" w14:textId="1829CE6E" w:rsidR="00C0726C" w:rsidRDefault="00C0726C" w:rsidP="00C06BC2">
            <w:r>
              <w:t>The solution must be able to link to a Data Governance tool and consume/provide meta data such as definitions, ownership information, lineage</w:t>
            </w:r>
            <w:r w:rsidR="5562C33D">
              <w:t>,</w:t>
            </w:r>
            <w:r>
              <w:t xml:space="preserve"> </w:t>
            </w:r>
            <w:r w:rsidR="00977417">
              <w:t>and any other relevant information</w:t>
            </w:r>
          </w:p>
        </w:tc>
      </w:tr>
      <w:tr w:rsidR="00757114" w14:paraId="227CF28A" w14:textId="77777777" w:rsidTr="00F17EAF">
        <w:tc>
          <w:tcPr>
            <w:tcW w:w="440" w:type="dxa"/>
          </w:tcPr>
          <w:p w14:paraId="46112771" w14:textId="07FBA8BC" w:rsidR="00757114" w:rsidRDefault="00A23988" w:rsidP="00C06BC2">
            <w:r>
              <w:t>4</w:t>
            </w:r>
          </w:p>
        </w:tc>
        <w:tc>
          <w:tcPr>
            <w:tcW w:w="1151" w:type="dxa"/>
          </w:tcPr>
          <w:p w14:paraId="5F174D94" w14:textId="0FD64010" w:rsidR="00757114" w:rsidRDefault="00AE2761" w:rsidP="00C06BC2">
            <w:r>
              <w:t>Critical</w:t>
            </w:r>
          </w:p>
        </w:tc>
        <w:tc>
          <w:tcPr>
            <w:tcW w:w="1981" w:type="dxa"/>
          </w:tcPr>
          <w:p w14:paraId="1B230101" w14:textId="04C044AD" w:rsidR="00757114" w:rsidRDefault="00757114" w:rsidP="00C06BC2">
            <w:r>
              <w:t>Security – User Access</w:t>
            </w:r>
          </w:p>
        </w:tc>
        <w:tc>
          <w:tcPr>
            <w:tcW w:w="4663" w:type="dxa"/>
          </w:tcPr>
          <w:p w14:paraId="28EA4CDF" w14:textId="75AE6FB6" w:rsidR="00757114" w:rsidRDefault="007C4BFB" w:rsidP="00C06BC2">
            <w:r>
              <w:t>Active Directory / Azure Active Directory</w:t>
            </w:r>
          </w:p>
        </w:tc>
        <w:tc>
          <w:tcPr>
            <w:tcW w:w="5713" w:type="dxa"/>
          </w:tcPr>
          <w:p w14:paraId="2C7F4225" w14:textId="476DFA39" w:rsidR="00757114" w:rsidRDefault="0007501A" w:rsidP="00C06BC2">
            <w:r>
              <w:t xml:space="preserve">Demonstrate roll-based access to the </w:t>
            </w:r>
            <w:r w:rsidR="00106178">
              <w:t xml:space="preserve">solution down to attribute granularity </w:t>
            </w:r>
            <w:r w:rsidR="00B95FFF">
              <w:t>using</w:t>
            </w:r>
            <w:r w:rsidR="00106178">
              <w:t xml:space="preserve"> Active Directory</w:t>
            </w:r>
            <w:r w:rsidR="00B95FFF">
              <w:t xml:space="preserve"> / Azure Active </w:t>
            </w:r>
            <w:r w:rsidR="006973CD">
              <w:t>Directory.</w:t>
            </w:r>
          </w:p>
          <w:p w14:paraId="3F93C1C1" w14:textId="2A4B1823" w:rsidR="008342A0" w:rsidRDefault="008342A0" w:rsidP="00C06BC2">
            <w:r>
              <w:t>Support for single sign on</w:t>
            </w:r>
          </w:p>
        </w:tc>
      </w:tr>
      <w:tr w:rsidR="00757114" w14:paraId="0A939D70" w14:textId="77777777" w:rsidTr="00F17EAF">
        <w:tc>
          <w:tcPr>
            <w:tcW w:w="440" w:type="dxa"/>
          </w:tcPr>
          <w:p w14:paraId="2E71616A" w14:textId="5C84F868" w:rsidR="00757114" w:rsidRDefault="00A23988" w:rsidP="00C06BC2">
            <w:r>
              <w:t>5</w:t>
            </w:r>
          </w:p>
        </w:tc>
        <w:tc>
          <w:tcPr>
            <w:tcW w:w="1151" w:type="dxa"/>
          </w:tcPr>
          <w:p w14:paraId="4CA1D466" w14:textId="1C6B0F18" w:rsidR="00757114" w:rsidRDefault="00AE2761" w:rsidP="00C06BC2">
            <w:r>
              <w:t>Critical</w:t>
            </w:r>
          </w:p>
        </w:tc>
        <w:tc>
          <w:tcPr>
            <w:tcW w:w="1981" w:type="dxa"/>
          </w:tcPr>
          <w:p w14:paraId="4EB2EBB6" w14:textId="271786F9" w:rsidR="00757114" w:rsidRDefault="00757114" w:rsidP="00C06BC2">
            <w:r>
              <w:t>Source Data Load</w:t>
            </w:r>
          </w:p>
        </w:tc>
        <w:tc>
          <w:tcPr>
            <w:tcW w:w="4663" w:type="dxa"/>
          </w:tcPr>
          <w:p w14:paraId="4109748B" w14:textId="70085240" w:rsidR="00757114" w:rsidRDefault="00757114" w:rsidP="00C06BC2">
            <w:r>
              <w:t>Loading data from multiple business applications</w:t>
            </w:r>
          </w:p>
        </w:tc>
        <w:tc>
          <w:tcPr>
            <w:tcW w:w="5713" w:type="dxa"/>
          </w:tcPr>
          <w:p w14:paraId="22C8C0A7" w14:textId="4AAF30F8" w:rsidR="00757114" w:rsidRDefault="00757114" w:rsidP="00C06BC2">
            <w:r>
              <w:t>Load data as-is with lineage information</w:t>
            </w:r>
            <w:r w:rsidR="00766287">
              <w:t xml:space="preserve"> in both batch and real-time</w:t>
            </w:r>
          </w:p>
        </w:tc>
      </w:tr>
      <w:tr w:rsidR="00757114" w14:paraId="13E24E32" w14:textId="77777777" w:rsidTr="00F17EAF">
        <w:tc>
          <w:tcPr>
            <w:tcW w:w="440" w:type="dxa"/>
          </w:tcPr>
          <w:p w14:paraId="5C0B9233" w14:textId="743A8BE3" w:rsidR="00757114" w:rsidRDefault="00A23988" w:rsidP="00C06BC2">
            <w:r>
              <w:t>6</w:t>
            </w:r>
          </w:p>
        </w:tc>
        <w:tc>
          <w:tcPr>
            <w:tcW w:w="1151" w:type="dxa"/>
          </w:tcPr>
          <w:p w14:paraId="45539981" w14:textId="29B36478" w:rsidR="00757114" w:rsidRDefault="002E65A7" w:rsidP="00C06BC2">
            <w:r>
              <w:t>Critical</w:t>
            </w:r>
          </w:p>
        </w:tc>
        <w:tc>
          <w:tcPr>
            <w:tcW w:w="1981" w:type="dxa"/>
          </w:tcPr>
          <w:p w14:paraId="42F4976D" w14:textId="71758A9D" w:rsidR="00757114" w:rsidRDefault="00757114" w:rsidP="00C06BC2">
            <w:r>
              <w:t>Automated processing</w:t>
            </w:r>
          </w:p>
        </w:tc>
        <w:tc>
          <w:tcPr>
            <w:tcW w:w="4663" w:type="dxa"/>
          </w:tcPr>
          <w:p w14:paraId="69723E59" w14:textId="77777777" w:rsidR="00757114" w:rsidRDefault="00757114" w:rsidP="00C06BC2">
            <w:r>
              <w:t>Use of automated processes to standardise, verify and enrich data.</w:t>
            </w:r>
          </w:p>
          <w:p w14:paraId="0655FDEA" w14:textId="07DE95F5" w:rsidR="00757114" w:rsidRDefault="00757114" w:rsidP="00C06BC2">
            <w:r>
              <w:t>Identify data issues such as empty or malformed fields or duplication.</w:t>
            </w:r>
          </w:p>
          <w:p w14:paraId="3C6215D4" w14:textId="5E198381" w:rsidR="00757114" w:rsidRDefault="00757114" w:rsidP="00C06BC2">
            <w:r>
              <w:t>Generation of ‘Golden’ records</w:t>
            </w:r>
          </w:p>
        </w:tc>
        <w:tc>
          <w:tcPr>
            <w:tcW w:w="5713" w:type="dxa"/>
          </w:tcPr>
          <w:p w14:paraId="19EC28B4" w14:textId="2FC01FB6" w:rsidR="00757114" w:rsidRDefault="00757114" w:rsidP="00C06BC2">
            <w:r>
              <w:t>User interaction / manual processing to be kept to a minimum</w:t>
            </w:r>
          </w:p>
        </w:tc>
      </w:tr>
      <w:tr w:rsidR="00757114" w14:paraId="36C8AECC" w14:textId="77777777" w:rsidTr="00F17EAF">
        <w:tc>
          <w:tcPr>
            <w:tcW w:w="440" w:type="dxa"/>
          </w:tcPr>
          <w:p w14:paraId="6BDE8E9B" w14:textId="05158911" w:rsidR="00757114" w:rsidRDefault="00A23988" w:rsidP="00C06BC2">
            <w:r>
              <w:t>7</w:t>
            </w:r>
          </w:p>
        </w:tc>
        <w:tc>
          <w:tcPr>
            <w:tcW w:w="1151" w:type="dxa"/>
          </w:tcPr>
          <w:p w14:paraId="7434A936" w14:textId="1B9663C4" w:rsidR="00757114" w:rsidRDefault="002E65A7" w:rsidP="00C06BC2">
            <w:r>
              <w:t>Critical</w:t>
            </w:r>
          </w:p>
        </w:tc>
        <w:tc>
          <w:tcPr>
            <w:tcW w:w="1981" w:type="dxa"/>
          </w:tcPr>
          <w:p w14:paraId="5411C439" w14:textId="1FFAD11B" w:rsidR="00757114" w:rsidRDefault="00757114" w:rsidP="00C06BC2">
            <w:r>
              <w:t>Data Stewardship</w:t>
            </w:r>
          </w:p>
        </w:tc>
        <w:tc>
          <w:tcPr>
            <w:tcW w:w="4663" w:type="dxa"/>
          </w:tcPr>
          <w:p w14:paraId="7C7E3D69" w14:textId="77777777" w:rsidR="00757114" w:rsidRDefault="00757114" w:rsidP="00C06BC2">
            <w:r>
              <w:t>Review of matched record groups, creation and management of records and relationships.</w:t>
            </w:r>
          </w:p>
          <w:p w14:paraId="48A1988C" w14:textId="0764FE6F" w:rsidR="00757114" w:rsidRDefault="00757114" w:rsidP="00C06BC2"/>
        </w:tc>
        <w:tc>
          <w:tcPr>
            <w:tcW w:w="5713" w:type="dxa"/>
          </w:tcPr>
          <w:p w14:paraId="793F2494" w14:textId="77777777" w:rsidR="00757114" w:rsidRDefault="00D3745C" w:rsidP="00C06BC2">
            <w:r>
              <w:lastRenderedPageBreak/>
              <w:t xml:space="preserve">There will always be a requirement for users to </w:t>
            </w:r>
            <w:r w:rsidR="005A2ACA">
              <w:t xml:space="preserve">review matching and creation of records. </w:t>
            </w:r>
          </w:p>
          <w:p w14:paraId="7A660487" w14:textId="2D36C314" w:rsidR="005A2ACA" w:rsidRDefault="005A2ACA" w:rsidP="00C06BC2">
            <w:r>
              <w:lastRenderedPageBreak/>
              <w:t>The User Interface for all Data Stewardship operations must be cle</w:t>
            </w:r>
            <w:r w:rsidR="004243C8">
              <w:t xml:space="preserve">an and intuitive </w:t>
            </w:r>
          </w:p>
        </w:tc>
      </w:tr>
      <w:tr w:rsidR="00AE0EF0" w14:paraId="502C8668" w14:textId="77777777" w:rsidTr="00F17EAF">
        <w:tc>
          <w:tcPr>
            <w:tcW w:w="440" w:type="dxa"/>
          </w:tcPr>
          <w:p w14:paraId="2DA52DC9" w14:textId="2637FF8F" w:rsidR="00AE0EF0" w:rsidRDefault="00A23988" w:rsidP="00C06BC2">
            <w:r>
              <w:lastRenderedPageBreak/>
              <w:t>8</w:t>
            </w:r>
          </w:p>
        </w:tc>
        <w:tc>
          <w:tcPr>
            <w:tcW w:w="1151" w:type="dxa"/>
          </w:tcPr>
          <w:p w14:paraId="34DA4A5E" w14:textId="33547893" w:rsidR="00AE0EF0" w:rsidRDefault="00C57FC2" w:rsidP="00C06BC2">
            <w:r>
              <w:t>Desirable</w:t>
            </w:r>
          </w:p>
        </w:tc>
        <w:tc>
          <w:tcPr>
            <w:tcW w:w="1981" w:type="dxa"/>
          </w:tcPr>
          <w:p w14:paraId="3563C387" w14:textId="0FB5F558" w:rsidR="00AE0EF0" w:rsidRDefault="00913E09" w:rsidP="00C06BC2">
            <w:r>
              <w:t>Data Stewardship</w:t>
            </w:r>
          </w:p>
        </w:tc>
        <w:tc>
          <w:tcPr>
            <w:tcW w:w="4663" w:type="dxa"/>
          </w:tcPr>
          <w:p w14:paraId="4F50E18B" w14:textId="45959D8C" w:rsidR="00AE0EF0" w:rsidRDefault="00913E09" w:rsidP="00C06BC2">
            <w:r>
              <w:t>Visualisation and analysis</w:t>
            </w:r>
          </w:p>
        </w:tc>
        <w:tc>
          <w:tcPr>
            <w:tcW w:w="5713" w:type="dxa"/>
          </w:tcPr>
          <w:p w14:paraId="6CE9609E" w14:textId="38519D4E" w:rsidR="00AE0EF0" w:rsidRDefault="006306A8" w:rsidP="00C06BC2">
            <w:r>
              <w:t xml:space="preserve">Data Stewards, Data Owners and </w:t>
            </w:r>
            <w:r w:rsidR="006913A3">
              <w:t xml:space="preserve">solution administrators should have access to </w:t>
            </w:r>
            <w:r w:rsidR="00C57FC2">
              <w:t>visual metrics on data quality, data volumes and data audit.</w:t>
            </w:r>
          </w:p>
        </w:tc>
      </w:tr>
      <w:tr w:rsidR="00913E09" w14:paraId="7A1B156E" w14:textId="77777777" w:rsidTr="00F17EAF">
        <w:tc>
          <w:tcPr>
            <w:tcW w:w="440" w:type="dxa"/>
          </w:tcPr>
          <w:p w14:paraId="0B209A42" w14:textId="4D53D522" w:rsidR="00913E09" w:rsidRDefault="00A23988" w:rsidP="00913E09">
            <w:r>
              <w:t>9</w:t>
            </w:r>
          </w:p>
        </w:tc>
        <w:tc>
          <w:tcPr>
            <w:tcW w:w="1151" w:type="dxa"/>
          </w:tcPr>
          <w:p w14:paraId="7CCA88C6" w14:textId="3A013219" w:rsidR="00913E09" w:rsidRDefault="00913E09" w:rsidP="00913E09">
            <w:r>
              <w:t>Desirable</w:t>
            </w:r>
          </w:p>
        </w:tc>
        <w:tc>
          <w:tcPr>
            <w:tcW w:w="1981" w:type="dxa"/>
          </w:tcPr>
          <w:p w14:paraId="00EE19FB" w14:textId="5AEBAE17" w:rsidR="00913E09" w:rsidRDefault="00913E09" w:rsidP="00913E09">
            <w:r>
              <w:t>Data Stewardship</w:t>
            </w:r>
          </w:p>
        </w:tc>
        <w:tc>
          <w:tcPr>
            <w:tcW w:w="4663" w:type="dxa"/>
          </w:tcPr>
          <w:p w14:paraId="49676403" w14:textId="1E828D5C" w:rsidR="00913E09" w:rsidRDefault="00913E09" w:rsidP="00913E09">
            <w:r>
              <w:t>Alternate hierarchical roll ups</w:t>
            </w:r>
          </w:p>
        </w:tc>
        <w:tc>
          <w:tcPr>
            <w:tcW w:w="5713" w:type="dxa"/>
          </w:tcPr>
          <w:p w14:paraId="1E7498EA" w14:textId="0F237EC9" w:rsidR="00913E09" w:rsidRDefault="00913E09" w:rsidP="00913E09">
            <w:r>
              <w:t xml:space="preserve">Aggregate, roll-up or summarise nodes in a hierarchy that differs from the primary hierarchy, preserving the parent </w:t>
            </w:r>
            <w:r w:rsidR="00C51660">
              <w:t>hierarchies’</w:t>
            </w:r>
            <w:r>
              <w:t xml:space="preserve"> parent-child relationships</w:t>
            </w:r>
          </w:p>
        </w:tc>
      </w:tr>
      <w:tr w:rsidR="00913E09" w14:paraId="4E4371CA" w14:textId="77777777" w:rsidTr="00F17EAF">
        <w:tc>
          <w:tcPr>
            <w:tcW w:w="440" w:type="dxa"/>
          </w:tcPr>
          <w:p w14:paraId="25F1A25E" w14:textId="22477D13" w:rsidR="00913E09" w:rsidRDefault="00A23988" w:rsidP="00913E09">
            <w:r>
              <w:t>10</w:t>
            </w:r>
          </w:p>
        </w:tc>
        <w:tc>
          <w:tcPr>
            <w:tcW w:w="1151" w:type="dxa"/>
          </w:tcPr>
          <w:p w14:paraId="41EEA99E" w14:textId="6338930E" w:rsidR="00913E09" w:rsidRDefault="00D85161" w:rsidP="00913E09">
            <w:r>
              <w:t>Critical</w:t>
            </w:r>
          </w:p>
        </w:tc>
        <w:tc>
          <w:tcPr>
            <w:tcW w:w="1981" w:type="dxa"/>
          </w:tcPr>
          <w:p w14:paraId="7BEDF873" w14:textId="39032BEE" w:rsidR="00913E09" w:rsidRDefault="00D85161" w:rsidP="00913E09">
            <w:r>
              <w:t>Data Stewardship</w:t>
            </w:r>
          </w:p>
        </w:tc>
        <w:tc>
          <w:tcPr>
            <w:tcW w:w="4663" w:type="dxa"/>
          </w:tcPr>
          <w:p w14:paraId="73613CC0" w14:textId="2FD81BF3" w:rsidR="00913E09" w:rsidRDefault="00D85161" w:rsidP="00913E09">
            <w:r>
              <w:t>Workflow</w:t>
            </w:r>
          </w:p>
        </w:tc>
        <w:tc>
          <w:tcPr>
            <w:tcW w:w="5713" w:type="dxa"/>
          </w:tcPr>
          <w:p w14:paraId="74647E05" w14:textId="6F812E25" w:rsidR="00913E09" w:rsidRDefault="0059599B" w:rsidP="00913E09">
            <w:r>
              <w:t xml:space="preserve">Demonstrate workflow(s) that inform stakeholders of change and </w:t>
            </w:r>
            <w:r w:rsidR="00724C1A">
              <w:t>request</w:t>
            </w:r>
            <w:r w:rsidR="00327BF7">
              <w:t xml:space="preserve"> approval for change fro</w:t>
            </w:r>
            <w:r w:rsidR="00724C1A">
              <w:t>m</w:t>
            </w:r>
            <w:r w:rsidR="00327BF7">
              <w:t xml:space="preserve"> a Data Owner – or Owners</w:t>
            </w:r>
          </w:p>
        </w:tc>
      </w:tr>
      <w:tr w:rsidR="00913E09" w14:paraId="5F4A6085" w14:textId="77777777" w:rsidTr="00F17EAF">
        <w:tc>
          <w:tcPr>
            <w:tcW w:w="440" w:type="dxa"/>
          </w:tcPr>
          <w:p w14:paraId="30B231FB" w14:textId="37FB21F9" w:rsidR="00913E09" w:rsidRDefault="00A23988" w:rsidP="00913E09">
            <w:r>
              <w:t>11</w:t>
            </w:r>
          </w:p>
        </w:tc>
        <w:tc>
          <w:tcPr>
            <w:tcW w:w="1151" w:type="dxa"/>
          </w:tcPr>
          <w:p w14:paraId="3F3425C1" w14:textId="70615137" w:rsidR="00913E09" w:rsidRDefault="008122A3" w:rsidP="00913E09">
            <w:r>
              <w:t>Critical</w:t>
            </w:r>
          </w:p>
        </w:tc>
        <w:tc>
          <w:tcPr>
            <w:tcW w:w="1981" w:type="dxa"/>
          </w:tcPr>
          <w:p w14:paraId="4E992019" w14:textId="29A21F06" w:rsidR="00913E09" w:rsidRDefault="008122A3" w:rsidP="00913E09">
            <w:r>
              <w:t>Data Model</w:t>
            </w:r>
          </w:p>
        </w:tc>
        <w:tc>
          <w:tcPr>
            <w:tcW w:w="4663" w:type="dxa"/>
          </w:tcPr>
          <w:p w14:paraId="637147C1" w14:textId="63350542" w:rsidR="00913E09" w:rsidRDefault="008122A3" w:rsidP="00913E09">
            <w:r>
              <w:t>Histori</w:t>
            </w:r>
            <w:r w:rsidR="00880E41">
              <w:t xml:space="preserve">sation / Versioning </w:t>
            </w:r>
          </w:p>
        </w:tc>
        <w:tc>
          <w:tcPr>
            <w:tcW w:w="5713" w:type="dxa"/>
          </w:tcPr>
          <w:p w14:paraId="4E910A63" w14:textId="77777777" w:rsidR="00913E09" w:rsidRDefault="00880E41" w:rsidP="00913E09">
            <w:r>
              <w:t xml:space="preserve">‘Versions’ are heavily used in the current legacy MDS </w:t>
            </w:r>
            <w:r w:rsidR="00AA4E70">
              <w:t>implementation.</w:t>
            </w:r>
          </w:p>
          <w:p w14:paraId="179839C1" w14:textId="77777777" w:rsidR="0029720B" w:rsidRDefault="00AA4E70" w:rsidP="00913E09">
            <w:r>
              <w:t xml:space="preserve">Demonstrate the platforms capabilities to </w:t>
            </w:r>
            <w:r w:rsidR="004C4073">
              <w:t>maintain an auditable record of changes over time</w:t>
            </w:r>
            <w:r w:rsidR="0029720B">
              <w:t>.</w:t>
            </w:r>
          </w:p>
          <w:p w14:paraId="0BDAADCE" w14:textId="0610D70B" w:rsidR="00AA4E70" w:rsidRDefault="0029720B" w:rsidP="00913E09">
            <w:r>
              <w:t>Alternatives to</w:t>
            </w:r>
            <w:r w:rsidR="007B55CC">
              <w:t xml:space="preserve"> MDS</w:t>
            </w:r>
            <w:r>
              <w:t xml:space="preserve"> open, closed and committed versions of </w:t>
            </w:r>
            <w:r w:rsidR="006B7F50">
              <w:t>data model</w:t>
            </w:r>
            <w:r w:rsidR="0056728A">
              <w:t xml:space="preserve">                                          </w:t>
            </w:r>
          </w:p>
        </w:tc>
      </w:tr>
      <w:tr w:rsidR="00642C9F" w14:paraId="5BDD2B8F" w14:textId="77777777" w:rsidTr="00F17EAF">
        <w:tc>
          <w:tcPr>
            <w:tcW w:w="440" w:type="dxa"/>
          </w:tcPr>
          <w:p w14:paraId="675E750C" w14:textId="0CD09693" w:rsidR="00642C9F" w:rsidRDefault="00642C9F" w:rsidP="00913E09">
            <w:r>
              <w:t>12</w:t>
            </w:r>
          </w:p>
        </w:tc>
        <w:tc>
          <w:tcPr>
            <w:tcW w:w="1151" w:type="dxa"/>
          </w:tcPr>
          <w:p w14:paraId="2DBD4B64" w14:textId="7A3974D9" w:rsidR="00642C9F" w:rsidRDefault="00642C9F" w:rsidP="00913E09">
            <w:r>
              <w:t>Critical</w:t>
            </w:r>
          </w:p>
        </w:tc>
        <w:tc>
          <w:tcPr>
            <w:tcW w:w="1981" w:type="dxa"/>
          </w:tcPr>
          <w:p w14:paraId="520202BC" w14:textId="16B5F11B" w:rsidR="00642C9F" w:rsidRDefault="00642C9F" w:rsidP="00913E09">
            <w:r>
              <w:t>Data Model</w:t>
            </w:r>
          </w:p>
        </w:tc>
        <w:tc>
          <w:tcPr>
            <w:tcW w:w="4663" w:type="dxa"/>
          </w:tcPr>
          <w:p w14:paraId="322FC41C" w14:textId="054BBBEA" w:rsidR="00642C9F" w:rsidRDefault="00642C9F" w:rsidP="00913E09">
            <w:r>
              <w:t>Use of data across d</w:t>
            </w:r>
            <w:r w:rsidR="004321C2">
              <w:t>o</w:t>
            </w:r>
            <w:r>
              <w:t>mains</w:t>
            </w:r>
          </w:p>
        </w:tc>
        <w:tc>
          <w:tcPr>
            <w:tcW w:w="5713" w:type="dxa"/>
          </w:tcPr>
          <w:p w14:paraId="6D832988" w14:textId="5467EDF4" w:rsidR="00642C9F" w:rsidRDefault="00444008" w:rsidP="00913E09">
            <w:r>
              <w:t>Data in one domain may have an association to data in another domai</w:t>
            </w:r>
            <w:r w:rsidR="00620D78">
              <w:t xml:space="preserve">n for example an entity in the Party Data Model will have an address in a </w:t>
            </w:r>
            <w:r w:rsidR="00A447FB">
              <w:t>Region / Country / Sub-country entity in the Reference Data Domain.</w:t>
            </w:r>
          </w:p>
        </w:tc>
      </w:tr>
      <w:tr w:rsidR="008E4823" w14:paraId="79052816" w14:textId="77777777" w:rsidTr="00F17EAF">
        <w:tc>
          <w:tcPr>
            <w:tcW w:w="440" w:type="dxa"/>
          </w:tcPr>
          <w:p w14:paraId="2B82D05E" w14:textId="05EADEC7" w:rsidR="008E4823" w:rsidRDefault="008E4823" w:rsidP="00913E09">
            <w:r>
              <w:t>13</w:t>
            </w:r>
          </w:p>
        </w:tc>
        <w:tc>
          <w:tcPr>
            <w:tcW w:w="1151" w:type="dxa"/>
          </w:tcPr>
          <w:p w14:paraId="54806457" w14:textId="2DDD2933" w:rsidR="008E4823" w:rsidRDefault="008E4823" w:rsidP="00913E09">
            <w:r>
              <w:t>Critical</w:t>
            </w:r>
          </w:p>
        </w:tc>
        <w:tc>
          <w:tcPr>
            <w:tcW w:w="1981" w:type="dxa"/>
          </w:tcPr>
          <w:p w14:paraId="5C962E4D" w14:textId="1BDDA3AD" w:rsidR="008E4823" w:rsidRDefault="008E4823" w:rsidP="00913E09">
            <w:r>
              <w:t>Data Model</w:t>
            </w:r>
          </w:p>
        </w:tc>
        <w:tc>
          <w:tcPr>
            <w:tcW w:w="4663" w:type="dxa"/>
          </w:tcPr>
          <w:p w14:paraId="087B31DE" w14:textId="568829BA" w:rsidR="008E4823" w:rsidRDefault="008E4823" w:rsidP="00913E09">
            <w:r>
              <w:t>Data Lifecycle</w:t>
            </w:r>
          </w:p>
        </w:tc>
        <w:tc>
          <w:tcPr>
            <w:tcW w:w="5713" w:type="dxa"/>
          </w:tcPr>
          <w:p w14:paraId="7934C8B8" w14:textId="6416EE09" w:rsidR="008E4823" w:rsidRDefault="004A05EA" w:rsidP="00913E09">
            <w:r>
              <w:t xml:space="preserve">Data may have any number of constraints on the amount of time </w:t>
            </w:r>
            <w:r w:rsidR="00353A9D">
              <w:t xml:space="preserve">it can be retained.  Demonstrate any rules that can be implemented to remove data </w:t>
            </w:r>
            <w:r w:rsidR="00616DF6">
              <w:t>if it reaches a defined end of life.</w:t>
            </w:r>
          </w:p>
        </w:tc>
      </w:tr>
    </w:tbl>
    <w:p w14:paraId="514F2760" w14:textId="454E435D" w:rsidR="001B4939" w:rsidRDefault="001B4939" w:rsidP="00C06BC2"/>
    <w:p w14:paraId="620A84F0" w14:textId="489AE7F1" w:rsidR="001B4939" w:rsidRDefault="001B4939" w:rsidP="00C06BC2"/>
    <w:p w14:paraId="79C0F2F2" w14:textId="7A352B6A" w:rsidR="001B4939" w:rsidRDefault="001B4939" w:rsidP="00C06BC2"/>
    <w:p w14:paraId="2E9C5205" w14:textId="6545DEE8" w:rsidR="00A23988" w:rsidRDefault="00A23988" w:rsidP="00C06BC2">
      <w:pPr>
        <w:sectPr w:rsidR="00A23988" w:rsidSect="0039254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8F912F6" w14:textId="4425D2A9" w:rsidR="001B4939" w:rsidRDefault="001B4939" w:rsidP="00C06BC2"/>
    <w:p w14:paraId="0A27346B" w14:textId="033A2CC5" w:rsidR="001B4939" w:rsidRDefault="001B4939" w:rsidP="00C06BC2"/>
    <w:p w14:paraId="70763AC1" w14:textId="2DD5F7A8" w:rsidR="00C06BC2" w:rsidRDefault="00C06BC2" w:rsidP="002954B3">
      <w:pPr>
        <w:pStyle w:val="Heading2"/>
      </w:pPr>
      <w:r>
        <w:t xml:space="preserve">Focused demonstration </w:t>
      </w:r>
      <w:r w:rsidR="000E2D8A">
        <w:t>data</w:t>
      </w:r>
      <w:r>
        <w:t>:</w:t>
      </w:r>
    </w:p>
    <w:p w14:paraId="170345EA" w14:textId="3D13EA8F" w:rsidR="002954B3" w:rsidRDefault="00C06BC2" w:rsidP="002954B3">
      <w:pPr>
        <w:spacing w:after="0"/>
      </w:pPr>
      <w:r w:rsidRPr="002954B3">
        <w:rPr>
          <w:rStyle w:val="Heading3Char"/>
        </w:rPr>
        <w:t>Internal Reference Data.</w:t>
      </w:r>
      <w:r w:rsidRPr="48890CBE">
        <w:rPr>
          <w:rStyle w:val="Heading3Char"/>
        </w:rPr>
        <w:t xml:space="preserve"> </w:t>
      </w:r>
    </w:p>
    <w:p w14:paraId="7886E3D0" w14:textId="0465444F" w:rsidR="00C06BC2" w:rsidRDefault="00C56AB7" w:rsidP="002954B3">
      <w:pPr>
        <w:spacing w:after="0"/>
      </w:pPr>
      <w:r>
        <w:t>To ensure no confidential data is shared prematurely</w:t>
      </w:r>
      <w:r w:rsidR="00AA093B">
        <w:t xml:space="preserve"> an extract of the publicly available</w:t>
      </w:r>
      <w:r w:rsidR="00BF7A12">
        <w:t xml:space="preserve"> </w:t>
      </w:r>
      <w:r w:rsidR="00504509">
        <w:t>Lloyd’s Risk</w:t>
      </w:r>
      <w:r w:rsidR="00AA093B">
        <w:t xml:space="preserve"> Code </w:t>
      </w:r>
      <w:r w:rsidR="00970923">
        <w:t>dataset will be made available</w:t>
      </w:r>
      <w:r w:rsidR="00AA093B">
        <w:t xml:space="preserve"> </w:t>
      </w:r>
      <w:r w:rsidR="0023016B">
        <w:t xml:space="preserve">which can be treated as an internal </w:t>
      </w:r>
      <w:r w:rsidR="00A0046F">
        <w:t>reference data set for the purposes of demonstration.</w:t>
      </w:r>
    </w:p>
    <w:p w14:paraId="171C1F4E" w14:textId="1D4C82C0" w:rsidR="0056272E" w:rsidRDefault="0056272E" w:rsidP="002954B3">
      <w:pPr>
        <w:spacing w:after="0"/>
      </w:pPr>
      <w:r>
        <w:t xml:space="preserve">Source file name: </w:t>
      </w:r>
      <w:r w:rsidR="00370B06" w:rsidRPr="00B65F51">
        <w:rPr>
          <w:color w:val="4472C4" w:themeColor="accent1"/>
        </w:rPr>
        <w:t>Risk code - Lloyds mappings and descriptions July 2021</w:t>
      </w:r>
      <w:r w:rsidR="00B65F51">
        <w:rPr>
          <w:color w:val="4472C4" w:themeColor="accent1"/>
        </w:rPr>
        <w:t>.xlsx</w:t>
      </w:r>
    </w:p>
    <w:p w14:paraId="5191BD53" w14:textId="77777777" w:rsidR="00504509" w:rsidRDefault="00504509" w:rsidP="002954B3">
      <w:pPr>
        <w:spacing w:after="0"/>
      </w:pPr>
    </w:p>
    <w:p w14:paraId="0D727715" w14:textId="3367AF56" w:rsidR="002954B3" w:rsidRDefault="00C06BC2" w:rsidP="002954B3">
      <w:pPr>
        <w:pStyle w:val="Heading3"/>
      </w:pPr>
      <w:r>
        <w:t>External Reference Data</w:t>
      </w:r>
      <w:r w:rsidR="002954B3">
        <w:t xml:space="preserve">. </w:t>
      </w:r>
    </w:p>
    <w:p w14:paraId="596E64D0" w14:textId="055B7BD7" w:rsidR="002954B3" w:rsidRDefault="002954B3" w:rsidP="00163B54">
      <w:pPr>
        <w:spacing w:after="0"/>
      </w:pPr>
      <w:r w:rsidRPr="002954B3">
        <w:t>Data from external sources is currently largely entered into MDS manually</w:t>
      </w:r>
      <w:r>
        <w:t xml:space="preserve">, where available via API from external sources such as the </w:t>
      </w:r>
      <w:r w:rsidR="00C56AB7">
        <w:t>Lloyd’s Insights</w:t>
      </w:r>
      <w:r>
        <w:t xml:space="preserve"> hub API we will aim to consume directly with no or minimal manual intervention</w:t>
      </w:r>
      <w:r w:rsidR="00314265">
        <w:t>. We recognise that to obtain API from the Insights Hub</w:t>
      </w:r>
      <w:r w:rsidR="00B65F51">
        <w:t xml:space="preserve"> or the LIMOSS Market Business Glossary</w:t>
      </w:r>
      <w:r w:rsidR="00992015">
        <w:t>,</w:t>
      </w:r>
      <w:r w:rsidR="00314265">
        <w:t xml:space="preserve"> an account</w:t>
      </w:r>
      <w:r w:rsidR="00FD55E2">
        <w:t xml:space="preserve"> </w:t>
      </w:r>
      <w:r w:rsidR="00314265">
        <w:t>is needed with LIMOSS that will not be available to a vendor, but an example of data being ingested from external source</w:t>
      </w:r>
      <w:r w:rsidR="005316D3">
        <w:t xml:space="preserve"> such as country or currency</w:t>
      </w:r>
      <w:r w:rsidR="00314265">
        <w:t xml:space="preserve"> would be extremely beneficial</w:t>
      </w:r>
      <w:r w:rsidR="0046155B">
        <w:t>.</w:t>
      </w:r>
    </w:p>
    <w:p w14:paraId="3955F34F" w14:textId="0A3B6B93" w:rsidR="00163B54" w:rsidRDefault="00163B54" w:rsidP="00163B54">
      <w:pPr>
        <w:spacing w:after="0"/>
      </w:pPr>
      <w:r>
        <w:t xml:space="preserve">An example of Country data available from the LIMOSS Market Business Glossary is </w:t>
      </w:r>
      <w:r w:rsidR="00522E2C">
        <w:t>provided: -</w:t>
      </w:r>
    </w:p>
    <w:p w14:paraId="77D3904F" w14:textId="565CFF6F" w:rsidR="009E7A43" w:rsidRDefault="009E7A43" w:rsidP="00163B54">
      <w:pPr>
        <w:spacing w:after="0"/>
      </w:pPr>
      <w:r>
        <w:t>Source file name</w:t>
      </w:r>
      <w:r w:rsidR="00522E2C">
        <w:t>:</w:t>
      </w:r>
      <w:r>
        <w:t xml:space="preserve"> </w:t>
      </w:r>
      <w:r w:rsidR="00522E2C" w:rsidRPr="00522E2C">
        <w:rPr>
          <w:color w:val="4472C4" w:themeColor="accent1"/>
        </w:rPr>
        <w:t>Country - ISO 3166-1_2013 - via LIMOSS MBG</w:t>
      </w:r>
    </w:p>
    <w:p w14:paraId="4C33018C" w14:textId="77777777" w:rsidR="00163B54" w:rsidRPr="002954B3" w:rsidRDefault="00163B54" w:rsidP="002954B3"/>
    <w:p w14:paraId="004DCE7D" w14:textId="74FD2B46" w:rsidR="00C06BC2" w:rsidRDefault="00C06BC2" w:rsidP="00314265">
      <w:pPr>
        <w:pStyle w:val="Heading3"/>
      </w:pPr>
      <w:r>
        <w:t>Party Data</w:t>
      </w:r>
    </w:p>
    <w:p w14:paraId="6ECAC6C6" w14:textId="777806DC" w:rsidR="00F02C95" w:rsidRDefault="00314265" w:rsidP="00C06BC2">
      <w:r>
        <w:t>Party Data is an increasingly likely requirement for implementation sooner rather than late</w:t>
      </w:r>
      <w:r w:rsidR="00F02C95">
        <w:t>r, there are likely to be several party types implemented eventually including</w:t>
      </w:r>
      <w:r w:rsidR="0019757F">
        <w:t>:</w:t>
      </w:r>
    </w:p>
    <w:p w14:paraId="76C178DF" w14:textId="143AE31C" w:rsidR="0019757F" w:rsidRDefault="0019757F" w:rsidP="0019757F">
      <w:pPr>
        <w:pStyle w:val="ListParagraph"/>
        <w:numPr>
          <w:ilvl w:val="0"/>
          <w:numId w:val="3"/>
        </w:numPr>
      </w:pPr>
      <w:r>
        <w:t>Broker</w:t>
      </w:r>
    </w:p>
    <w:p w14:paraId="3227639E" w14:textId="2983418A" w:rsidR="0019757F" w:rsidRDefault="0019757F" w:rsidP="0019757F">
      <w:pPr>
        <w:pStyle w:val="ListParagraph"/>
        <w:numPr>
          <w:ilvl w:val="0"/>
          <w:numId w:val="3"/>
        </w:numPr>
      </w:pPr>
      <w:r>
        <w:t>Reassured</w:t>
      </w:r>
    </w:p>
    <w:p w14:paraId="7509920F" w14:textId="2B76031B" w:rsidR="0019757F" w:rsidRDefault="0019757F" w:rsidP="0019757F">
      <w:pPr>
        <w:pStyle w:val="ListParagraph"/>
        <w:numPr>
          <w:ilvl w:val="0"/>
          <w:numId w:val="3"/>
        </w:numPr>
      </w:pPr>
      <w:r>
        <w:t xml:space="preserve">Reinsured </w:t>
      </w:r>
    </w:p>
    <w:p w14:paraId="6961F095" w14:textId="0AF557A6" w:rsidR="0019757F" w:rsidRDefault="0019757F" w:rsidP="0019757F">
      <w:pPr>
        <w:pStyle w:val="ListParagraph"/>
        <w:numPr>
          <w:ilvl w:val="0"/>
          <w:numId w:val="3"/>
        </w:numPr>
      </w:pPr>
      <w:r>
        <w:t>Cover</w:t>
      </w:r>
      <w:r w:rsidR="009A1766">
        <w:t>holder</w:t>
      </w:r>
    </w:p>
    <w:p w14:paraId="01302738" w14:textId="66525CEA" w:rsidR="001A4378" w:rsidRDefault="005E3029" w:rsidP="002E1871">
      <w:pPr>
        <w:spacing w:after="0"/>
      </w:pPr>
      <w:r>
        <w:t>Two Broker lists will be provided, one from the Lloyd’s insights Hub and the other from the LIMOSS Market Business Glossary</w:t>
      </w:r>
      <w:r w:rsidR="008D649E">
        <w:t xml:space="preserve"> to be treated as data sources</w:t>
      </w:r>
      <w:r w:rsidR="00F61E4C">
        <w:t xml:space="preserve">, these list share common data but also </w:t>
      </w:r>
      <w:r w:rsidR="008D649E">
        <w:t>have differences in the information they contain</w:t>
      </w:r>
      <w:r w:rsidR="00DE2732">
        <w:t>.</w:t>
      </w:r>
    </w:p>
    <w:p w14:paraId="75F597F1" w14:textId="6F2578C3" w:rsidR="0019757F" w:rsidRDefault="000A53D3" w:rsidP="002E1871">
      <w:pPr>
        <w:spacing w:after="0"/>
      </w:pPr>
      <w:r>
        <w:t>LIMOSS MBG source file</w:t>
      </w:r>
      <w:r w:rsidR="005754AD">
        <w:t xml:space="preserve"> name</w:t>
      </w:r>
      <w:r>
        <w:t xml:space="preserve">: </w:t>
      </w:r>
      <w:r w:rsidR="005754AD" w:rsidRPr="005754AD">
        <w:t xml:space="preserve">Broker - </w:t>
      </w:r>
      <w:r w:rsidR="005754AD" w:rsidRPr="002E1871">
        <w:rPr>
          <w:color w:val="4472C4" w:themeColor="accent1"/>
        </w:rPr>
        <w:t>Xchanging Data via LIMOSS MBG</w:t>
      </w:r>
    </w:p>
    <w:p w14:paraId="311584D1" w14:textId="66B83726" w:rsidR="005754AD" w:rsidRDefault="005754AD" w:rsidP="002E1871">
      <w:pPr>
        <w:spacing w:after="0"/>
      </w:pPr>
      <w:r>
        <w:t xml:space="preserve">Lloyd’s Insights Hub source file name: </w:t>
      </w:r>
      <w:r w:rsidR="002E1871" w:rsidRPr="002E1871">
        <w:rPr>
          <w:color w:val="4472C4" w:themeColor="accent1"/>
        </w:rPr>
        <w:t>Broker - Lloyds Insights Hub</w:t>
      </w:r>
    </w:p>
    <w:p w14:paraId="49745AF5" w14:textId="28C85B5F" w:rsidR="00F02C95" w:rsidRDefault="00F02C95" w:rsidP="00C06BC2"/>
    <w:p w14:paraId="6BAC66E1" w14:textId="14461FAE" w:rsidR="00F124D6" w:rsidRDefault="00F124D6" w:rsidP="00F124D6"/>
    <w:p w14:paraId="53AED24A" w14:textId="34881AA5" w:rsidR="00145F3E" w:rsidRDefault="00145F3E" w:rsidP="00145F3E">
      <w:pPr>
        <w:pStyle w:val="ListParagraph"/>
      </w:pPr>
    </w:p>
    <w:sectPr w:rsidR="00145F3E" w:rsidSect="00A2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68D2" w14:textId="77777777" w:rsidR="00E431F3" w:rsidRDefault="00E431F3" w:rsidP="00145F3E">
      <w:pPr>
        <w:spacing w:after="0" w:line="240" w:lineRule="auto"/>
      </w:pPr>
      <w:r>
        <w:separator/>
      </w:r>
    </w:p>
  </w:endnote>
  <w:endnote w:type="continuationSeparator" w:id="0">
    <w:p w14:paraId="7EA117A7" w14:textId="77777777" w:rsidR="00E431F3" w:rsidRDefault="00E431F3" w:rsidP="00145F3E">
      <w:pPr>
        <w:spacing w:after="0" w:line="240" w:lineRule="auto"/>
      </w:pPr>
      <w:r>
        <w:continuationSeparator/>
      </w:r>
    </w:p>
  </w:endnote>
  <w:endnote w:type="continuationNotice" w:id="1">
    <w:p w14:paraId="20BA4C4B" w14:textId="77777777" w:rsidR="00E431F3" w:rsidRDefault="00E431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C0F7" w14:textId="77777777" w:rsidR="00324A29" w:rsidRDefault="00324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8D18" w14:textId="77777777" w:rsidR="00324A29" w:rsidRDefault="00324A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4FB1" w14:textId="77777777" w:rsidR="00324A29" w:rsidRDefault="00324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F648" w14:textId="77777777" w:rsidR="00E431F3" w:rsidRDefault="00E431F3" w:rsidP="00145F3E">
      <w:pPr>
        <w:spacing w:after="0" w:line="240" w:lineRule="auto"/>
      </w:pPr>
      <w:r>
        <w:separator/>
      </w:r>
    </w:p>
  </w:footnote>
  <w:footnote w:type="continuationSeparator" w:id="0">
    <w:p w14:paraId="595D71C7" w14:textId="77777777" w:rsidR="00E431F3" w:rsidRDefault="00E431F3" w:rsidP="00145F3E">
      <w:pPr>
        <w:spacing w:after="0" w:line="240" w:lineRule="auto"/>
      </w:pPr>
      <w:r>
        <w:continuationSeparator/>
      </w:r>
    </w:p>
  </w:footnote>
  <w:footnote w:type="continuationNotice" w:id="1">
    <w:p w14:paraId="494ECC33" w14:textId="77777777" w:rsidR="00E431F3" w:rsidRDefault="00E431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0EAA6" w14:textId="77777777" w:rsidR="00324A29" w:rsidRDefault="00324A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D2F0" w14:textId="1E3192A0" w:rsidR="00145F3E" w:rsidRDefault="00145F3E">
    <w:pPr>
      <w:pStyle w:val="Header"/>
    </w:pPr>
    <w:r w:rsidRPr="00417820">
      <w:rPr>
        <w:noProof/>
        <w:lang w:eastAsia="en-GB"/>
      </w:rPr>
      <w:drawing>
        <wp:inline distT="0" distB="0" distL="0" distR="0" wp14:anchorId="6ED2B354" wp14:editId="243687FE">
          <wp:extent cx="750158" cy="295275"/>
          <wp:effectExtent l="19050" t="0" r="0" b="0"/>
          <wp:docPr id="3" name="Picture 10" descr="Brit_Global_PMS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rit_Global_PMS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158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A64F" w14:textId="77777777" w:rsidR="00324A29" w:rsidRDefault="00324A29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hkp2yRIj4thmq" int2:id="13IB9VTt">
      <int2:state int2:type="AugLoop_Text_Critique" int2:value="Rejected"/>
    </int2:textHash>
    <int2:textHash int2:hashCode="e+4TkP98baWXbe" int2:id="eUuQEMVT">
      <int2:state int2:type="AugLoop_Text_Critique" int2:value="Rejected"/>
    </int2:textHash>
    <int2:textHash int2:hashCode="ELo6nIvOO+xfgg" int2:id="Hk2rRRRq">
      <int2:state int2:type="AugLoop_Acronyms_AcronymsCritique" int2:value="Rejected"/>
    </int2:textHash>
    <int2:textHash int2:hashCode="mZFtQh4B/9g62W" int2:id="kIIW1IwV">
      <int2:state int2:type="AugLoop_Text_Critique" int2:value="Rejected"/>
    </int2:textHash>
    <int2:textHash int2:hashCode="I7JCaeiUFv7Kzk" int2:id="2k78tcKl">
      <int2:state int2:type="AugLoop_Acronyms_AcronymsCritique" int2:value="Rejected"/>
    </int2:textHash>
    <int2:textHash int2:hashCode="oNkN3WPrkXIWYr" int2:id="UH6kijkI">
      <int2:state int2:type="AugLoop_Acronyms_AcronymsCritique" int2:value="Rejected"/>
    </int2:textHash>
    <int2:textHash int2:hashCode="13E661l0t7/tNH" int2:id="vS3lUAUB">
      <int2:state int2:type="AugLoop_Acronyms_AcronymsCritique" int2:value="Rejected"/>
    </int2:textHash>
    <int2:textHash int2:hashCode="stJQyhGymwmDsd" int2:id="1xbvGxyb">
      <int2:state int2:type="LegacyProofing" int2:value="Rejected"/>
    </int2:textHash>
    <int2:textHash int2:hashCode="kD3cIFhB1sh2KZ" int2:id="0Iu80r6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884"/>
    <w:multiLevelType w:val="hybridMultilevel"/>
    <w:tmpl w:val="5D98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32E1"/>
    <w:multiLevelType w:val="hybridMultilevel"/>
    <w:tmpl w:val="5EE88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4225"/>
    <w:multiLevelType w:val="hybridMultilevel"/>
    <w:tmpl w:val="A080C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3E"/>
    <w:rsid w:val="00066E4F"/>
    <w:rsid w:val="00066E84"/>
    <w:rsid w:val="0007501A"/>
    <w:rsid w:val="000A53D3"/>
    <w:rsid w:val="000E2AFC"/>
    <w:rsid w:val="000E2D8A"/>
    <w:rsid w:val="00106178"/>
    <w:rsid w:val="0012794D"/>
    <w:rsid w:val="00145F3E"/>
    <w:rsid w:val="00154EE2"/>
    <w:rsid w:val="00163B54"/>
    <w:rsid w:val="0019757F"/>
    <w:rsid w:val="001A4378"/>
    <w:rsid w:val="001A62A0"/>
    <w:rsid w:val="001B4939"/>
    <w:rsid w:val="001F5AD7"/>
    <w:rsid w:val="0023016B"/>
    <w:rsid w:val="00256A61"/>
    <w:rsid w:val="002954B3"/>
    <w:rsid w:val="0029720B"/>
    <w:rsid w:val="002A490C"/>
    <w:rsid w:val="002E1871"/>
    <w:rsid w:val="002E65A7"/>
    <w:rsid w:val="00302034"/>
    <w:rsid w:val="00314265"/>
    <w:rsid w:val="00324A29"/>
    <w:rsid w:val="00327BF7"/>
    <w:rsid w:val="00332DD5"/>
    <w:rsid w:val="003337D6"/>
    <w:rsid w:val="00353A9D"/>
    <w:rsid w:val="00370B06"/>
    <w:rsid w:val="0037493B"/>
    <w:rsid w:val="0039254F"/>
    <w:rsid w:val="003A0E49"/>
    <w:rsid w:val="003C1767"/>
    <w:rsid w:val="004243C8"/>
    <w:rsid w:val="004321C2"/>
    <w:rsid w:val="00444008"/>
    <w:rsid w:val="0046155B"/>
    <w:rsid w:val="00480EC9"/>
    <w:rsid w:val="00490A6B"/>
    <w:rsid w:val="004917E3"/>
    <w:rsid w:val="004A05EA"/>
    <w:rsid w:val="004C4073"/>
    <w:rsid w:val="004E025A"/>
    <w:rsid w:val="004E03FA"/>
    <w:rsid w:val="00504509"/>
    <w:rsid w:val="00522E2C"/>
    <w:rsid w:val="005316D3"/>
    <w:rsid w:val="00532AA1"/>
    <w:rsid w:val="0056272E"/>
    <w:rsid w:val="0056728A"/>
    <w:rsid w:val="005754AD"/>
    <w:rsid w:val="005815FA"/>
    <w:rsid w:val="00583010"/>
    <w:rsid w:val="00586680"/>
    <w:rsid w:val="0059599B"/>
    <w:rsid w:val="005A2ACA"/>
    <w:rsid w:val="005D4CF5"/>
    <w:rsid w:val="005D5926"/>
    <w:rsid w:val="005D7602"/>
    <w:rsid w:val="005E3029"/>
    <w:rsid w:val="005F415F"/>
    <w:rsid w:val="00616DF6"/>
    <w:rsid w:val="00620D78"/>
    <w:rsid w:val="006306A8"/>
    <w:rsid w:val="00642C9F"/>
    <w:rsid w:val="00644CC9"/>
    <w:rsid w:val="006913A3"/>
    <w:rsid w:val="006973CD"/>
    <w:rsid w:val="006B7F50"/>
    <w:rsid w:val="006F2A5E"/>
    <w:rsid w:val="00722C29"/>
    <w:rsid w:val="00724C1A"/>
    <w:rsid w:val="00737F0B"/>
    <w:rsid w:val="00757114"/>
    <w:rsid w:val="00766287"/>
    <w:rsid w:val="00774327"/>
    <w:rsid w:val="00782D16"/>
    <w:rsid w:val="007B36FD"/>
    <w:rsid w:val="007B55CC"/>
    <w:rsid w:val="007C4BFB"/>
    <w:rsid w:val="00805B58"/>
    <w:rsid w:val="008122A3"/>
    <w:rsid w:val="00820204"/>
    <w:rsid w:val="008342A0"/>
    <w:rsid w:val="008427BB"/>
    <w:rsid w:val="008720C3"/>
    <w:rsid w:val="00880E41"/>
    <w:rsid w:val="008924BC"/>
    <w:rsid w:val="008928CD"/>
    <w:rsid w:val="008D649E"/>
    <w:rsid w:val="008E4823"/>
    <w:rsid w:val="008E671C"/>
    <w:rsid w:val="00913E09"/>
    <w:rsid w:val="00917D3F"/>
    <w:rsid w:val="00950AF0"/>
    <w:rsid w:val="00970923"/>
    <w:rsid w:val="009755D7"/>
    <w:rsid w:val="00977417"/>
    <w:rsid w:val="00992015"/>
    <w:rsid w:val="009946E3"/>
    <w:rsid w:val="009A1766"/>
    <w:rsid w:val="009B5873"/>
    <w:rsid w:val="009B7406"/>
    <w:rsid w:val="009C65E1"/>
    <w:rsid w:val="009D7ECF"/>
    <w:rsid w:val="009E7A43"/>
    <w:rsid w:val="00A0046F"/>
    <w:rsid w:val="00A21EF0"/>
    <w:rsid w:val="00A23988"/>
    <w:rsid w:val="00A447FB"/>
    <w:rsid w:val="00A44833"/>
    <w:rsid w:val="00A526F4"/>
    <w:rsid w:val="00A8398A"/>
    <w:rsid w:val="00AA093B"/>
    <w:rsid w:val="00AA4E70"/>
    <w:rsid w:val="00AE0EF0"/>
    <w:rsid w:val="00AE2761"/>
    <w:rsid w:val="00B40476"/>
    <w:rsid w:val="00B65F51"/>
    <w:rsid w:val="00B95FFF"/>
    <w:rsid w:val="00BC57E0"/>
    <w:rsid w:val="00BD6C70"/>
    <w:rsid w:val="00BE2FBB"/>
    <w:rsid w:val="00BF7A12"/>
    <w:rsid w:val="00C06BC2"/>
    <w:rsid w:val="00C0726C"/>
    <w:rsid w:val="00C477C4"/>
    <w:rsid w:val="00C51660"/>
    <w:rsid w:val="00C55FB3"/>
    <w:rsid w:val="00C56AB7"/>
    <w:rsid w:val="00C57FC2"/>
    <w:rsid w:val="00C721A8"/>
    <w:rsid w:val="00D36AF2"/>
    <w:rsid w:val="00D3745C"/>
    <w:rsid w:val="00D40076"/>
    <w:rsid w:val="00D47E86"/>
    <w:rsid w:val="00D7078C"/>
    <w:rsid w:val="00D742C7"/>
    <w:rsid w:val="00D85161"/>
    <w:rsid w:val="00DB08F2"/>
    <w:rsid w:val="00DB3D62"/>
    <w:rsid w:val="00DD714B"/>
    <w:rsid w:val="00DE2732"/>
    <w:rsid w:val="00E1551B"/>
    <w:rsid w:val="00E37EFE"/>
    <w:rsid w:val="00E431F3"/>
    <w:rsid w:val="00E44798"/>
    <w:rsid w:val="00E864A4"/>
    <w:rsid w:val="00EA7B79"/>
    <w:rsid w:val="00F02C95"/>
    <w:rsid w:val="00F124D6"/>
    <w:rsid w:val="00F17EAF"/>
    <w:rsid w:val="00F3349F"/>
    <w:rsid w:val="00F61E4C"/>
    <w:rsid w:val="00F743E4"/>
    <w:rsid w:val="00FB7764"/>
    <w:rsid w:val="00FD47CD"/>
    <w:rsid w:val="00FD55E2"/>
    <w:rsid w:val="00FE2A07"/>
    <w:rsid w:val="031AE8A8"/>
    <w:rsid w:val="04385325"/>
    <w:rsid w:val="06CC8D5C"/>
    <w:rsid w:val="090780C4"/>
    <w:rsid w:val="13380D42"/>
    <w:rsid w:val="1AD88EB0"/>
    <w:rsid w:val="1F05F13B"/>
    <w:rsid w:val="27091C11"/>
    <w:rsid w:val="2ABE5DE2"/>
    <w:rsid w:val="2C31E2E8"/>
    <w:rsid w:val="3203BFA2"/>
    <w:rsid w:val="32ABD46F"/>
    <w:rsid w:val="3912ACA3"/>
    <w:rsid w:val="3ADC6F32"/>
    <w:rsid w:val="3B861C17"/>
    <w:rsid w:val="3B8AD594"/>
    <w:rsid w:val="3C783F93"/>
    <w:rsid w:val="458D9E6A"/>
    <w:rsid w:val="46A4FA74"/>
    <w:rsid w:val="48890CBE"/>
    <w:rsid w:val="4C6B838D"/>
    <w:rsid w:val="5546A8BA"/>
    <w:rsid w:val="5562C33D"/>
    <w:rsid w:val="755F546C"/>
    <w:rsid w:val="79D1D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730AEF"/>
  <w15:chartTrackingRefBased/>
  <w15:docId w15:val="{19FB65CC-7F68-4D1D-B555-DC61899F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F3E"/>
  </w:style>
  <w:style w:type="paragraph" w:styleId="Footer">
    <w:name w:val="footer"/>
    <w:basedOn w:val="Normal"/>
    <w:link w:val="FooterChar"/>
    <w:uiPriority w:val="99"/>
    <w:unhideWhenUsed/>
    <w:rsid w:val="00145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F3E"/>
  </w:style>
  <w:style w:type="paragraph" w:styleId="ListParagraph">
    <w:name w:val="List Paragraph"/>
    <w:basedOn w:val="Normal"/>
    <w:uiPriority w:val="34"/>
    <w:qFormat/>
    <w:rsid w:val="00145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4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7E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EAF"/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18ea41f02368417f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10A9382DA034B814293E30C0A48CB" ma:contentTypeVersion="15" ma:contentTypeDescription="Create a new document." ma:contentTypeScope="" ma:versionID="cf0c0d71fe820677744d3b0afbe80721">
  <xsd:schema xmlns:xsd="http://www.w3.org/2001/XMLSchema" xmlns:xs="http://www.w3.org/2001/XMLSchema" xmlns:p="http://schemas.microsoft.com/office/2006/metadata/properties" xmlns:ns2="29b12596-f190-47a5-b754-dcff87e95c7e" xmlns:ns3="938fa3cf-7409-46dd-9a30-23889f86d2a5" targetNamespace="http://schemas.microsoft.com/office/2006/metadata/properties" ma:root="true" ma:fieldsID="345ca53111d72c0c0902af4836820387" ns2:_="" ns3:_="">
    <xsd:import namespace="29b12596-f190-47a5-b754-dcff87e95c7e"/>
    <xsd:import namespace="938fa3cf-7409-46dd-9a30-23889f86d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12596-f190-47a5-b754-dcff87e95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6ef1128-5f7c-4e4c-87e6-f55ed5636b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fa3cf-7409-46dd-9a30-23889f86d2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8474f9e-57c6-4c26-ac55-4e903c394084}" ma:internalName="TaxCatchAll" ma:showField="CatchAllData" ma:web="938fa3cf-7409-46dd-9a30-23889f86d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b12596-f190-47a5-b754-dcff87e95c7e">
      <Terms xmlns="http://schemas.microsoft.com/office/infopath/2007/PartnerControls"/>
    </lcf76f155ced4ddcb4097134ff3c332f>
    <TaxCatchAll xmlns="938fa3cf-7409-46dd-9a30-23889f86d2a5" xsi:nil="true"/>
    <SharedWithUsers xmlns="938fa3cf-7409-46dd-9a30-23889f86d2a5">
      <UserInfo>
        <DisplayName>Appikatla, Roselyne</DisplayName>
        <AccountId>135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52F91B6-27D6-4564-8317-0EE9F8516B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65039A-7765-464E-B0A7-81C490B736DB}"/>
</file>

<file path=customXml/itemProps3.xml><?xml version="1.0" encoding="utf-8"?>
<ds:datastoreItem xmlns:ds="http://schemas.openxmlformats.org/officeDocument/2006/customXml" ds:itemID="{72AD9591-9364-4A99-BABF-327D8278046B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89ed3dbe-e177-459c-bb2e-64c59dc7c158"/>
    <ds:schemaRef ds:uri="http://schemas.microsoft.com/office/infopath/2007/PartnerControls"/>
    <ds:schemaRef ds:uri="e7e5cbc8-81fc-4497-8044-c04b33eeace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Gately, Paul</dc:creator>
  <cp:keywords/>
  <dc:description/>
  <cp:lastModifiedBy>Gately, Paul</cp:lastModifiedBy>
  <cp:revision>2</cp:revision>
  <dcterms:created xsi:type="dcterms:W3CDTF">2022-06-10T12:55:00Z</dcterms:created>
  <dcterms:modified xsi:type="dcterms:W3CDTF">2022-06-10T12:55:00Z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0x0101009D310A9382DA034B814293E30C0A48CB</vt:lpwstr>
  </property>
  <property fmtid="{D5CDD505-2E9C-101B-9397-08002B2CF9AE}" pid="3" name="MediaServiceImageTags">
    <vt:lpwstr/>
  </property>
</Properties>
</file>