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100"/>
        <w:jc w:val="center"/>
      </w:pPr>
      <w:r>
        <w:rPr>
          <w:rFonts w:ascii="Arial" w:cs="Arial" w:eastAsia="Arial" w:hAnsi="Arial"/>
          <w:b/>
          <w:bCs/>
          <w:color w:val="C4612A"/>
          <w:sz w:val="48"/>
          <w:szCs w:val="48"/>
        </w:rPr>
        <w:t xml:space="preserve">LEGAL LAUNCH CHECKLIST</w:t>
      </w:r>
    </w:p>
    <w:p>
      <w:pPr>
        <w:spacing w:after="400"/>
        <w:jc w:val="center"/>
      </w:pPr>
      <w:r>
        <w:rPr>
          <w:rFonts w:ascii="Arial" w:cs="Arial" w:eastAsia="Arial" w:hAnsi="Arial"/>
          <w:b/>
          <w:bCs/>
          <w:color w:val="5C7A4E"/>
          <w:sz w:val="26"/>
          <w:szCs w:val="26"/>
        </w:rPr>
        <w:t xml:space="preserve">Your Complete Roadmap to Opening a Coffee Shop Legally</w:t>
      </w:r>
    </w:p>
    <w:p>
      <w:pPr>
        <w:spacing w:after="600"/>
        <w:jc w:val="center"/>
      </w:pPr>
      <w:r>
        <w:rPr>
          <w:rFonts w:ascii="Arial" w:cs="Arial" w:eastAsia="Arial" w:hAnsi="Arial"/>
          <w:color w:val="1C1209"/>
          <w:sz w:val="22"/>
          <w:szCs w:val="22"/>
        </w:rPr>
        <w:t xml:space="preserve">Accelerator Program 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12A" w:sz="12"/>
              <w:left w:val="single" w:color="C4612A" w:sz="12"/>
              <w:bottom w:val="single" w:color="C4612A" w:sz="12"/>
              <w:right w:val="single" w:color="C4612A" w:sz="12"/>
            </w:tcBorders>
            <w:shd w:fill="F5F1EB" w:val="clear"/>
            <w:tcMar>
              <w:top w:type="dxa" w:w="120"/>
              <w:left w:type="dxa" w:w="120"/>
              <w:bottom w:type="dxa" w:w="120"/>
              <w:right w:type="dxa" w:w="120"/>
            </w:tcMar>
          </w:tcPr>
          <w:p>
            <w:pPr>
              <w:spacing w:after="100"/>
            </w:pPr>
            <w:r>
              <w:rPr>
                <w:rFonts w:ascii="Arial" w:cs="Arial" w:eastAsia="Arial" w:hAnsi="Arial"/>
                <w:b/>
                <w:bCs/>
                <w:color w:val="C4612A"/>
                <w:sz w:val="26"/>
                <w:szCs w:val="26"/>
              </w:rPr>
              <w:t xml:space="preserve">IMPORTANT DISCLAIMER</w:t>
            </w:r>
          </w:p>
          <w:p>
            <w:pPr>
              <w:spacing w:line="240" w:lineRule="auto"/>
            </w:pPr>
            <w:r>
              <w:rPr>
                <w:rFonts w:ascii="Arial" w:cs="Arial" w:eastAsia="Arial" w:hAnsi="Arial"/>
                <w:color w:val="1C1209"/>
                <w:sz w:val="20"/>
                <w:szCs w:val="20"/>
              </w:rPr>
              <w:t xml:space="preserve">This checklist is provided as an educational planning tool only and does not constitute legal, tax, or professional advice. Laws, regulations, and requirements vary significantly by state, county, and municipality. You should consult with a licensed attorney, accountant, and/or business advisor in your jurisdiction before making any legal or business decisions. Roast Launch LLC is not responsible for any actions taken based on this checklist. This document was last updated March 2026 and regulations may have changed since publication.</w:t>
            </w:r>
          </w:p>
        </w:tc>
      </w:tr>
    </w:tbl>
    <w:p>
      <w:pPr>
        <w:spacing w:after="400"/>
      </w:pPr>
      <w:r>
        <w:t xml:space="preserve"/>
      </w:r>
    </w:p>
    <w:p>
      <w:pPr>
        <w:pStyle w:val="Heading1"/>
        <w:spacing w:after="120" w:before="240"/>
        <w:outlineLvl w:val="0"/>
      </w:pPr>
      <w:r>
        <w:rPr>
          <w:rFonts w:ascii="Arial" w:cs="Arial" w:eastAsia="Arial" w:hAnsi="Arial"/>
          <w:b/>
          <w:bCs/>
          <w:color w:val="C4612A"/>
          <w:sz w:val="32"/>
          <w:szCs w:val="32"/>
        </w:rPr>
        <w:t xml:space="preserve">Your Legal Launch in 3 Phases</w:t>
      </w:r>
    </w:p>
    <w:p>
      <w:pPr>
        <w:spacing w:after="200" w:line="240" w:lineRule="auto"/>
      </w:pPr>
      <w:r>
        <w:rPr>
          <w:rFonts w:ascii="Arial" w:cs="Arial" w:eastAsia="Arial" w:hAnsi="Arial"/>
          <w:color w:val="1C1209"/>
          <w:sz w:val="22"/>
          <w:szCs w:val="22"/>
        </w:rPr>
        <w:t xml:space="preserve">Launching a coffee shop involves coordinated legal, compliance, and operational steps. This 20-week roadmap breaks down the process into three manageable phases.</w:t>
      </w:r>
    </w:p>
    <w:p>
      <w:pPr>
        <w:pStyle w:val="Heading2"/>
        <w:spacing w:after="100" w:before="180"/>
        <w:outlineLvl w:val="1"/>
      </w:pPr>
      <w:r>
        <w:rPr>
          <w:rFonts w:ascii="Arial" w:cs="Arial" w:eastAsia="Arial" w:hAnsi="Arial"/>
          <w:b/>
          <w:bCs/>
          <w:color w:val="5C7A4E"/>
          <w:sz w:val="28"/>
          <w:szCs w:val="28"/>
        </w:rPr>
        <w:t xml:space="preserve">Phase 1: Business Formation &amp; Planning (Weeks 1–4)</w:t>
      </w:r>
    </w:p>
    <w:p>
      <w:pPr>
        <w:spacing w:after="100" w:line="240" w:lineRule="auto"/>
      </w:pPr>
      <w:r>
        <w:rPr>
          <w:rFonts w:ascii="Arial" w:cs="Arial" w:eastAsia="Arial" w:hAnsi="Arial"/>
          <w:color w:val="1C1209"/>
          <w:sz w:val="22"/>
          <w:szCs w:val="22"/>
        </w:rPr>
        <w:t xml:space="preserve">Establish your legal business structure, secure your EIN, and register with state authorities. This phase is critical because many subsequent registrations depend on having formal business entity status.</w:t>
      </w:r>
    </w:p>
    <w:p>
      <w:pPr>
        <w:spacing w:after="80" w:line="240" w:lineRule="auto"/>
      </w:pPr>
      <w:r>
        <w:rPr>
          <w:rFonts w:ascii="Arial" w:cs="Arial" w:eastAsia="Arial" w:hAnsi="Arial"/>
          <w:color w:val="1C1209"/>
          <w:sz w:val="22"/>
          <w:szCs w:val="22"/>
        </w:rPr>
        <w:t xml:space="preserve">Choose business structure (LLC, S-Corp, or C-Corp)</w:t>
      </w:r>
    </w:p>
    <w:p>
      <w:pPr>
        <w:spacing w:after="80" w:line="240" w:lineRule="auto"/>
      </w:pPr>
      <w:r>
        <w:rPr>
          <w:rFonts w:ascii="Arial" w:cs="Arial" w:eastAsia="Arial" w:hAnsi="Arial"/>
          <w:color w:val="1C1209"/>
          <w:sz w:val="22"/>
          <w:szCs w:val="22"/>
        </w:rPr>
        <w:t xml:space="preserve">Register with Secretary of State</w:t>
      </w:r>
    </w:p>
    <w:p>
      <w:pPr>
        <w:spacing w:after="80" w:line="240" w:lineRule="auto"/>
      </w:pPr>
      <w:r>
        <w:rPr>
          <w:rFonts w:ascii="Arial" w:cs="Arial" w:eastAsia="Arial" w:hAnsi="Arial"/>
          <w:color w:val="1C1209"/>
          <w:sz w:val="22"/>
          <w:szCs w:val="22"/>
        </w:rPr>
        <w:t xml:space="preserve">Obtain EIN from IRS</w:t>
      </w:r>
    </w:p>
    <w:p>
      <w:pPr>
        <w:spacing w:after="80" w:line="240" w:lineRule="auto"/>
      </w:pPr>
      <w:r>
        <w:rPr>
          <w:rFonts w:ascii="Arial" w:cs="Arial" w:eastAsia="Arial" w:hAnsi="Arial"/>
          <w:color w:val="1C1209"/>
          <w:sz w:val="22"/>
          <w:szCs w:val="22"/>
        </w:rPr>
        <w:t xml:space="preserve">Open business bank account</w:t>
      </w:r>
    </w:p>
    <w:p>
      <w:pPr>
        <w:spacing w:after="80" w:line="240" w:lineRule="auto"/>
      </w:pPr>
      <w:r>
        <w:rPr>
          <w:rFonts w:ascii="Arial" w:cs="Arial" w:eastAsia="Arial" w:hAnsi="Arial"/>
          <w:color w:val="1C1209"/>
          <w:sz w:val="22"/>
          <w:szCs w:val="22"/>
        </w:rPr>
        <w:t xml:space="preserve">Register for state tax ID</w:t>
      </w:r>
    </w:p>
    <w:p>
      <w:pPr>
        <w:spacing w:after="80" w:line="240" w:lineRule="auto"/>
      </w:pPr>
      <w:r>
        <w:rPr>
          <w:rFonts w:ascii="Arial" w:cs="Arial" w:eastAsia="Arial" w:hAnsi="Arial"/>
          <w:color w:val="1C1209"/>
          <w:sz w:val="22"/>
          <w:szCs w:val="22"/>
        </w:rPr>
        <w:t xml:space="preserve">Register trademarked business name</w:t>
      </w:r>
    </w:p>
    <w:p>
      <w:pPr>
        <w:spacing w:after="80" w:line="240" w:lineRule="auto"/>
      </w:pPr>
      <w:r>
        <w:rPr>
          <w:rFonts w:ascii="Arial" w:cs="Arial" w:eastAsia="Arial" w:hAnsi="Arial"/>
          <w:color w:val="1C1209"/>
          <w:sz w:val="22"/>
          <w:szCs w:val="22"/>
        </w:rPr>
        <w:t xml:space="preserve">Estimated Cost: $500–2,000 | Timeline: 4 weeks</w:t>
      </w:r>
    </w:p>
    <w:p>
      <w:pPr>
        <w:spacing w:after="200"/>
      </w:pPr>
      <w:r>
        <w:t xml:space="preserve"/>
      </w:r>
    </w:p>
    <w:p>
      <w:pPr>
        <w:pStyle w:val="Heading2"/>
        <w:spacing w:after="100" w:before="180"/>
        <w:outlineLvl w:val="1"/>
      </w:pPr>
      <w:r>
        <w:rPr>
          <w:rFonts w:ascii="Arial" w:cs="Arial" w:eastAsia="Arial" w:hAnsi="Arial"/>
          <w:b/>
          <w:bCs/>
          <w:color w:val="5C7A4E"/>
          <w:sz w:val="28"/>
          <w:szCs w:val="28"/>
        </w:rPr>
        <w:t xml:space="preserve">Phase 2: Permits, Licenses &amp; Compliance (Weeks 5–12)</w:t>
      </w:r>
    </w:p>
    <w:p>
      <w:pPr>
        <w:spacing w:after="100" w:line="240" w:lineRule="auto"/>
      </w:pPr>
      <w:r>
        <w:rPr>
          <w:rFonts w:ascii="Arial" w:cs="Arial" w:eastAsia="Arial" w:hAnsi="Arial"/>
          <w:color w:val="1C1209"/>
          <w:sz w:val="22"/>
          <w:szCs w:val="22"/>
        </w:rPr>
        <w:t xml:space="preserve">Apply for all permits and licenses required to legally operate. This phase involves coordinating with multiple government agencies and typically takes 6–8 weeks.</w:t>
      </w:r>
    </w:p>
    <w:p>
      <w:pPr>
        <w:spacing w:after="80" w:line="240" w:lineRule="auto"/>
      </w:pPr>
      <w:r>
        <w:rPr>
          <w:rFonts w:ascii="Arial" w:cs="Arial" w:eastAsia="Arial" w:hAnsi="Arial"/>
          <w:color w:val="1C1209"/>
          <w:sz w:val="22"/>
          <w:szCs w:val="22"/>
        </w:rPr>
        <w:t xml:space="preserve">Food service license and health permits</w:t>
      </w:r>
    </w:p>
    <w:p>
      <w:pPr>
        <w:spacing w:after="80" w:line="240" w:lineRule="auto"/>
      </w:pPr>
      <w:r>
        <w:rPr>
          <w:rFonts w:ascii="Arial" w:cs="Arial" w:eastAsia="Arial" w:hAnsi="Arial"/>
          <w:color w:val="1C1209"/>
          <w:sz w:val="22"/>
          <w:szCs w:val="22"/>
        </w:rPr>
        <w:t xml:space="preserve">Business license (city/county)</w:t>
      </w:r>
    </w:p>
    <w:p>
      <w:pPr>
        <w:spacing w:after="80" w:line="240" w:lineRule="auto"/>
      </w:pPr>
      <w:r>
        <w:rPr>
          <w:rFonts w:ascii="Arial" w:cs="Arial" w:eastAsia="Arial" w:hAnsi="Arial"/>
          <w:color w:val="1C1209"/>
          <w:sz w:val="22"/>
          <w:szCs w:val="22"/>
        </w:rPr>
        <w:t xml:space="preserve">Sales tax permit</w:t>
      </w:r>
    </w:p>
    <w:p>
      <w:pPr>
        <w:spacing w:after="80" w:line="240" w:lineRule="auto"/>
      </w:pPr>
      <w:r>
        <w:rPr>
          <w:rFonts w:ascii="Arial" w:cs="Arial" w:eastAsia="Arial" w:hAnsi="Arial"/>
          <w:color w:val="1C1209"/>
          <w:sz w:val="22"/>
          <w:szCs w:val="22"/>
        </w:rPr>
        <w:t xml:space="preserve">Music licensing (ASCAP/BMI/SESAC)</w:t>
      </w:r>
    </w:p>
    <w:p>
      <w:pPr>
        <w:spacing w:after="80" w:line="240" w:lineRule="auto"/>
      </w:pPr>
      <w:r>
        <w:rPr>
          <w:rFonts w:ascii="Arial" w:cs="Arial" w:eastAsia="Arial" w:hAnsi="Arial"/>
          <w:color w:val="1C1209"/>
          <w:sz w:val="22"/>
          <w:szCs w:val="22"/>
        </w:rPr>
        <w:t xml:space="preserve">Liquor license (if serving alcohol)</w:t>
      </w:r>
    </w:p>
    <w:p>
      <w:pPr>
        <w:spacing w:after="80" w:line="240" w:lineRule="auto"/>
      </w:pPr>
      <w:r>
        <w:rPr>
          <w:rFonts w:ascii="Arial" w:cs="Arial" w:eastAsia="Arial" w:hAnsi="Arial"/>
          <w:color w:val="1C1209"/>
          <w:sz w:val="22"/>
          <w:szCs w:val="22"/>
        </w:rPr>
        <w:t xml:space="preserve">Signage and occupancy permits</w:t>
      </w:r>
    </w:p>
    <w:p>
      <w:pPr>
        <w:spacing w:after="80" w:line="240" w:lineRule="auto"/>
      </w:pPr>
      <w:r>
        <w:rPr>
          <w:rFonts w:ascii="Arial" w:cs="Arial" w:eastAsia="Arial" w:hAnsi="Arial"/>
          <w:color w:val="1C1209"/>
          <w:sz w:val="22"/>
          <w:szCs w:val="22"/>
        </w:rPr>
        <w:t xml:space="preserve">Fire and building inspections</w:t>
      </w:r>
    </w:p>
    <w:p>
      <w:pPr>
        <w:spacing w:after="80" w:line="240" w:lineRule="auto"/>
      </w:pPr>
      <w:r>
        <w:rPr>
          <w:rFonts w:ascii="Arial" w:cs="Arial" w:eastAsia="Arial" w:hAnsi="Arial"/>
          <w:color w:val="1C1209"/>
          <w:sz w:val="22"/>
          <w:szCs w:val="22"/>
        </w:rPr>
        <w:t xml:space="preserve">Estimated Cost: $2,000–10,000 depending on location and alcohol service | Timeline: 8 weeks</w:t>
      </w:r>
    </w:p>
    <w:p>
      <w:pPr>
        <w:spacing w:after="200"/>
      </w:pPr>
      <w:r>
        <w:t xml:space="preserve"/>
      </w:r>
    </w:p>
    <w:p>
      <w:pPr>
        <w:pStyle w:val="Heading2"/>
        <w:spacing w:after="100" w:before="180"/>
        <w:outlineLvl w:val="1"/>
      </w:pPr>
      <w:r>
        <w:rPr>
          <w:rFonts w:ascii="Arial" w:cs="Arial" w:eastAsia="Arial" w:hAnsi="Arial"/>
          <w:b/>
          <w:bCs/>
          <w:color w:val="5C7A4E"/>
          <w:sz w:val="28"/>
          <w:szCs w:val="28"/>
        </w:rPr>
        <w:t xml:space="preserve">Phase 3: Pre-Opening Legal Review (Weeks 13–20)</w:t>
      </w:r>
    </w:p>
    <w:p>
      <w:pPr>
        <w:spacing w:after="100" w:line="240" w:lineRule="auto"/>
      </w:pPr>
      <w:r>
        <w:rPr>
          <w:rFonts w:ascii="Arial" w:cs="Arial" w:eastAsia="Arial" w:hAnsi="Arial"/>
          <w:color w:val="1C1209"/>
          <w:sz w:val="22"/>
          <w:szCs w:val="22"/>
        </w:rPr>
        <w:t xml:space="preserve">Finalize insurance, review your lease, hire and train staff, and conduct final legal and health inspections. This phase ensures you're fully compliant before opening day.</w:t>
      </w:r>
    </w:p>
    <w:p>
      <w:pPr>
        <w:spacing w:after="80" w:line="240" w:lineRule="auto"/>
      </w:pPr>
      <w:r>
        <w:rPr>
          <w:rFonts w:ascii="Arial" w:cs="Arial" w:eastAsia="Arial" w:hAnsi="Arial"/>
          <w:color w:val="1C1209"/>
          <w:sz w:val="22"/>
          <w:szCs w:val="22"/>
        </w:rPr>
        <w:t xml:space="preserve">Secure comprehensive insurance</w:t>
      </w:r>
    </w:p>
    <w:p>
      <w:pPr>
        <w:spacing w:after="80" w:line="240" w:lineRule="auto"/>
      </w:pPr>
      <w:r>
        <w:rPr>
          <w:rFonts w:ascii="Arial" w:cs="Arial" w:eastAsia="Arial" w:hAnsi="Arial"/>
          <w:color w:val="1C1209"/>
          <w:sz w:val="22"/>
          <w:szCs w:val="22"/>
        </w:rPr>
        <w:t xml:space="preserve">Final attorney lease review</w:t>
      </w:r>
    </w:p>
    <w:p>
      <w:pPr>
        <w:spacing w:after="80" w:line="240" w:lineRule="auto"/>
      </w:pPr>
      <w:r>
        <w:rPr>
          <w:rFonts w:ascii="Arial" w:cs="Arial" w:eastAsia="Arial" w:hAnsi="Arial"/>
          <w:color w:val="1C1209"/>
          <w:sz w:val="22"/>
          <w:szCs w:val="22"/>
        </w:rPr>
        <w:t xml:space="preserve">Employee hiring and I-9 verification</w:t>
      </w:r>
    </w:p>
    <w:p>
      <w:pPr>
        <w:spacing w:after="80" w:line="240" w:lineRule="auto"/>
      </w:pPr>
      <w:r>
        <w:rPr>
          <w:rFonts w:ascii="Arial" w:cs="Arial" w:eastAsia="Arial" w:hAnsi="Arial"/>
          <w:color w:val="1C1209"/>
          <w:sz w:val="22"/>
          <w:szCs w:val="22"/>
        </w:rPr>
        <w:t xml:space="preserve">Staff training (food safety, OSHA)</w:t>
      </w:r>
    </w:p>
    <w:p>
      <w:pPr>
        <w:spacing w:after="80" w:line="240" w:lineRule="auto"/>
      </w:pPr>
      <w:r>
        <w:rPr>
          <w:rFonts w:ascii="Arial" w:cs="Arial" w:eastAsia="Arial" w:hAnsi="Arial"/>
          <w:color w:val="1C1209"/>
          <w:sz w:val="22"/>
          <w:szCs w:val="22"/>
        </w:rPr>
        <w:t xml:space="preserve">Final health and fire inspections</w:t>
      </w:r>
    </w:p>
    <w:p>
      <w:pPr>
        <w:spacing w:after="80" w:line="240" w:lineRule="auto"/>
      </w:pPr>
      <w:r>
        <w:rPr>
          <w:rFonts w:ascii="Arial" w:cs="Arial" w:eastAsia="Arial" w:hAnsi="Arial"/>
          <w:color w:val="1C1209"/>
          <w:sz w:val="22"/>
          <w:szCs w:val="22"/>
        </w:rPr>
        <w:t xml:space="preserve">Pre-opening compliance audit</w:t>
      </w:r>
    </w:p>
    <w:p>
      <w:pPr>
        <w:spacing w:after="80" w:line="240" w:lineRule="auto"/>
      </w:pPr>
      <w:r>
        <w:rPr>
          <w:rFonts w:ascii="Arial" w:cs="Arial" w:eastAsia="Arial" w:hAnsi="Arial"/>
          <w:color w:val="1C1209"/>
          <w:sz w:val="22"/>
          <w:szCs w:val="22"/>
        </w:rPr>
        <w:t xml:space="preserve">Estimated Cost: $500–3,000 | Timeline: 8 weeks</w:t>
      </w:r>
    </w:p>
    <w:p>
      <w:pPr>
        <w:spacing w:after="200"/>
      </w:pPr>
      <w:r>
        <w:t xml:space="preserve"/>
      </w:r>
    </w:p>
    <w:p>
      <w:pPr>
        <w:pStyle w:val="Heading3"/>
        <w:spacing w:after="80" w:before="120"/>
        <w:outlineLvl w:val="2"/>
      </w:pPr>
      <w:r>
        <w:rPr>
          <w:rFonts w:ascii="Arial" w:cs="Arial" w:eastAsia="Arial" w:hAnsi="Arial"/>
          <w:b/>
          <w:bCs/>
          <w:color w:val="1C1209"/>
          <w:sz w:val="24"/>
          <w:szCs w:val="24"/>
        </w:rPr>
        <w:t xml:space="preserve">Total 20-Week Investment</w:t>
      </w:r>
    </w:p>
    <w:p>
      <w:pPr>
        <w:spacing w:after="200"/>
      </w:pPr>
      <w:r>
        <w:rPr>
          <w:rFonts w:ascii="Arial" w:cs="Arial" w:eastAsia="Arial" w:hAnsi="Arial"/>
          <w:b/>
          <w:bCs/>
          <w:color w:val="C4612A"/>
          <w:sz w:val="22"/>
          <w:szCs w:val="22"/>
        </w:rPr>
        <w:t xml:space="preserve">Estimated Total Cost: $3,000–15,000 depending on location, state complexity, and alcohol licensing.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7A4E" w:sz="12"/>
              <w:left w:val="single" w:color="5C7A4E" w:sz="12"/>
              <w:bottom w:val="single" w:color="5C7A4E" w:sz="12"/>
              <w:right w:val="single" w:color="5C7A4E" w:sz="12"/>
            </w:tcBorders>
            <w:shd w:fill="F0F5F0" w:val="clear"/>
            <w:tcMar>
              <w:top w:type="dxa" w:w="100"/>
              <w:left w:type="dxa" w:w="100"/>
              <w:bottom w:type="dxa" w:w="100"/>
              <w:right w:type="dxa" w:w="100"/>
            </w:tcMar>
          </w:tcPr>
          <w:p>
            <w:pPr>
              <w:spacing w:after="80"/>
            </w:pPr>
            <w:r>
              <w:rPr>
                <w:rFonts w:ascii="Arial" w:cs="Arial" w:eastAsia="Arial" w:hAnsi="Arial"/>
                <w:b/>
                <w:bCs/>
                <w:color w:val="5C7A4E"/>
                <w:sz w:val="24"/>
                <w:szCs w:val="24"/>
              </w:rPr>
              <w:t xml:space="preserve">CRITICAL: Hire a Licensed Attorney</w:t>
            </w:r>
          </w:p>
          <w:p>
            <w:pPr>
              <w:spacing w:line="240" w:lineRule="auto"/>
            </w:pPr>
            <w:r>
              <w:rPr>
                <w:rFonts w:ascii="Arial" w:cs="Arial" w:eastAsia="Arial" w:hAnsi="Arial"/>
                <w:color w:val="1C1209"/>
                <w:sz w:val="20"/>
                <w:szCs w:val="20"/>
              </w:rPr>
              <w:t xml:space="preserve">While this checklist covers essential items, you must work with a licensed attorney in your state and jurisdiction. Legal requirements vary significantly, and attorney review of your lease, entity formation, and employment policies is non-negotiable. Budget $2,000–5,000 for comprehensive legal support.</w:t>
            </w:r>
          </w:p>
        </w:tc>
      </w:tr>
    </w:tbl>
    <w:p>
      <w:r>
        <w:br w:type="page"/>
      </w:r>
    </w:p>
    <w:p>
      <w:pPr>
        <w:pStyle w:val="Heading1"/>
        <w:spacing w:after="120" w:before="240"/>
        <w:outlineLvl w:val="0"/>
      </w:pPr>
      <w:r>
        <w:rPr>
          <w:rFonts w:ascii="Arial" w:cs="Arial" w:eastAsia="Arial" w:hAnsi="Arial"/>
          <w:b/>
          <w:bCs/>
          <w:color w:val="C4612A"/>
          <w:sz w:val="32"/>
          <w:szCs w:val="32"/>
        </w:rPr>
        <w:t xml:space="preserve">Section 1: Business Entity Formation</w:t>
      </w:r>
    </w:p>
    <w:p>
      <w:pPr>
        <w:spacing w:after="200" w:line="240" w:lineRule="auto"/>
      </w:pPr>
      <w:r>
        <w:rPr>
          <w:rFonts w:ascii="Arial" w:cs="Arial" w:eastAsia="Arial" w:hAnsi="Arial"/>
          <w:color w:val="1C1209"/>
          <w:sz w:val="22"/>
          <w:szCs w:val="22"/>
        </w:rPr>
        <w:t xml:space="preserve">Establishing your business structure is the foundation of your legal setup. This section covers the essential steps to formally register your coffee shop and secure your business identity.</w:t>
      </w:r>
    </w:p>
    <w:p>
      <w:pPr>
        <w:pStyle w:val="Heading2"/>
        <w:spacing w:after="100" w:before="180"/>
        <w:outlineLvl w:val="1"/>
      </w:pPr>
      <w:r>
        <w:rPr>
          <w:rFonts w:ascii="Arial" w:cs="Arial" w:eastAsia="Arial" w:hAnsi="Arial"/>
          <w:b/>
          <w:bCs/>
          <w:color w:val="5C7A4E"/>
          <w:sz w:val="28"/>
          <w:szCs w:val="28"/>
        </w:rPr>
        <w:t xml:space="preserve">Why Business Entity Formation Matters</w:t>
      </w:r>
    </w:p>
    <w:p>
      <w:pPr>
        <w:spacing w:after="80" w:line="240" w:lineRule="auto"/>
      </w:pPr>
      <w:r>
        <w:rPr>
          <w:rFonts w:ascii="Arial" w:cs="Arial" w:eastAsia="Arial" w:hAnsi="Arial"/>
          <w:color w:val="1C1209"/>
          <w:sz w:val="22"/>
          <w:szCs w:val="22"/>
        </w:rPr>
        <w:t xml:space="preserve">Choosing the right business structure protects your personal assets, determines your tax obligations, and affects how you can raise capital. For most coffee shop owners, an LLC offers the best combination of liability protection and tax flexibility.</w:t>
      </w:r>
    </w:p>
    <w:p>
      <w:pPr>
        <w:spacing w:after="200"/>
      </w:pPr>
      <w:r>
        <w:t xml:space="preserve"/>
      </w:r>
    </w:p>
    <w:p>
      <w:pPr>
        <w:pStyle w:val="Heading3"/>
        <w:spacing w:after="80" w:before="120"/>
        <w:outlineLvl w:val="2"/>
      </w:pPr>
      <w:r>
        <w:rPr>
          <w:rFonts w:ascii="Arial" w:cs="Arial" w:eastAsia="Arial" w:hAnsi="Arial"/>
          <w:b/>
          <w:bCs/>
          <w:color w:val="1C1209"/>
          <w:sz w:val="24"/>
          <w:szCs w:val="24"/>
        </w:rPr>
        <w:t xml:space="preserve">Business Structure Comparison for Coffee Shops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1900"/>
        <w:gridCol w:w="1260"/>
      </w:tblGrid>
      <w:tr>
        <w:tc>
          <w:tcPr>
            <w:tcW w:type="dxa" w:w="140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Structure</w:t>
            </w:r>
          </w:p>
        </w:tc>
        <w:tc>
          <w:tcPr>
            <w:tcW w:type="dxa" w:w="190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Liability Protection</w:t>
            </w:r>
          </w:p>
        </w:tc>
        <w:tc>
          <w:tcPr>
            <w:tcW w:type="dxa" w:w="190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Taxes</w:t>
            </w:r>
          </w:p>
        </w:tc>
        <w:tc>
          <w:tcPr>
            <w:tcW w:type="dxa" w:w="190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Complexity</w:t>
            </w:r>
          </w:p>
        </w:tc>
        <w:tc>
          <w:tcPr>
            <w:tcW w:type="dxa" w:w="126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Best For</w:t>
            </w:r>
          </w:p>
        </w:tc>
      </w:tr>
      <w:tr>
        <w:tc>
          <w:tcPr>
            <w:tcW w:type="dxa" w:w="14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LLC (Recommended)</w:t>
            </w:r>
          </w:p>
        </w:tc>
        <w:tc>
          <w:tcPr>
            <w:tcW w:type="dxa" w:w="19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Yes—personal assets protected</w:t>
            </w:r>
          </w:p>
        </w:tc>
        <w:tc>
          <w:tcPr>
            <w:tcW w:type="dxa" w:w="19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Flexible (default or S-Corp election)</w:t>
            </w:r>
          </w:p>
        </w:tc>
        <w:tc>
          <w:tcPr>
            <w:tcW w:type="dxa" w:w="19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Medium</w:t>
            </w:r>
          </w:p>
        </w:tc>
        <w:tc>
          <w:tcPr>
            <w:tcW w:type="dxa" w:w="126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Most coffee shop owners</w:t>
            </w:r>
          </w:p>
        </w:tc>
      </w:tr>
      <w:tr>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S-Corporation</w:t>
            </w:r>
          </w:p>
        </w:tc>
        <w:tc>
          <w:tcPr>
            <w:tcW w:type="dxa" w:w="19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Yes—personal assets protected</w:t>
            </w:r>
          </w:p>
        </w:tc>
        <w:tc>
          <w:tcPr>
            <w:tcW w:type="dxa" w:w="19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Potential tax savings if highly profitable</w:t>
            </w:r>
          </w:p>
        </w:tc>
        <w:tc>
          <w:tcPr>
            <w:tcW w:type="dxa" w:w="19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High</w:t>
            </w:r>
          </w:p>
        </w:tc>
        <w:tc>
          <w:tcPr>
            <w:tcW w:type="dxa" w:w="12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High-profit shops ($150K+)</w:t>
            </w:r>
          </w:p>
        </w:tc>
      </w:tr>
      <w:tr>
        <w:tc>
          <w:tcPr>
            <w:tcW w:type="dxa" w:w="14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C-Corporation</w:t>
            </w:r>
          </w:p>
        </w:tc>
        <w:tc>
          <w:tcPr>
            <w:tcW w:type="dxa" w:w="19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Yes—personal assets protected</w:t>
            </w:r>
          </w:p>
        </w:tc>
        <w:tc>
          <w:tcPr>
            <w:tcW w:type="dxa" w:w="19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Double taxation (corporate + personal)</w:t>
            </w:r>
          </w:p>
        </w:tc>
        <w:tc>
          <w:tcPr>
            <w:tcW w:type="dxa" w:w="19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High</w:t>
            </w:r>
          </w:p>
        </w:tc>
        <w:tc>
          <w:tcPr>
            <w:tcW w:type="dxa" w:w="126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Large operations with investors</w:t>
            </w:r>
          </w:p>
        </w:tc>
      </w:tr>
      <w:tr>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Sole Proprietorship</w:t>
            </w:r>
          </w:p>
        </w:tc>
        <w:tc>
          <w:tcPr>
            <w:tcW w:type="dxa" w:w="19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No—personal liability risk</w:t>
            </w:r>
          </w:p>
        </w:tc>
        <w:tc>
          <w:tcPr>
            <w:tcW w:type="dxa" w:w="19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Simple (Schedule C)</w:t>
            </w:r>
          </w:p>
        </w:tc>
        <w:tc>
          <w:tcPr>
            <w:tcW w:type="dxa" w:w="19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Low</w:t>
            </w:r>
          </w:p>
        </w:tc>
        <w:tc>
          <w:tcPr>
            <w:tcW w:type="dxa" w:w="12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NOT recommended</w:t>
            </w:r>
          </w:p>
        </w:tc>
      </w:tr>
    </w:tbl>
    <w:p>
      <w:pPr>
        <w:spacing w:after="200"/>
      </w:pPr>
      <w:r>
        <w:t xml:space="preserve"/>
      </w:r>
    </w:p>
    <w:p>
      <w:pPr>
        <w:pStyle w:val="Heading2"/>
        <w:spacing w:after="100" w:before="180"/>
        <w:outlineLvl w:val="1"/>
      </w:pPr>
      <w:r>
        <w:rPr>
          <w:rFonts w:ascii="Arial" w:cs="Arial" w:eastAsia="Arial" w:hAnsi="Arial"/>
          <w:b/>
          <w:bCs/>
          <w:color w:val="5C7A4E"/>
          <w:sz w:val="28"/>
          <w:szCs w:val="28"/>
        </w:rPr>
        <w:t xml:space="preserve">Business Formation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400"/>
        <w:gridCol w:w="3600"/>
        <w:gridCol w:w="1000"/>
        <w:gridCol w:w="1000"/>
        <w:gridCol w:w="1060"/>
      </w:tblGrid>
      <w:tr>
        <w:tc>
          <w:tcPr>
            <w:tcW w:type="dxa" w:w="30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
            </w:r>
          </w:p>
        </w:tc>
        <w:tc>
          <w:tcPr>
            <w:tcW w:type="dxa" w:w="140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Task</w:t>
            </w:r>
          </w:p>
        </w:tc>
        <w:tc>
          <w:tcPr>
            <w:tcW w:type="dxa" w:w="360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Description</w:t>
            </w:r>
          </w:p>
        </w:tc>
        <w:tc>
          <w:tcPr>
            <w:tcW w:type="dxa" w:w="100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Est. Cost</w:t>
            </w:r>
          </w:p>
        </w:tc>
        <w:tc>
          <w:tcPr>
            <w:tcW w:type="dxa" w:w="100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Timeline</w:t>
            </w:r>
          </w:p>
        </w:tc>
        <w:tc>
          <w:tcPr>
            <w:tcW w:type="dxa" w:w="106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Status</w:t>
            </w:r>
          </w:p>
        </w:tc>
      </w:tr>
      <w:tr>
        <w:tc>
          <w:tcPr>
            <w:tcW w:type="dxa" w:w="3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
            </w:r>
          </w:p>
        </w:tc>
        <w:tc>
          <w:tcPr>
            <w:tcW w:type="dxa" w:w="14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Choose Business Structure</w:t>
            </w:r>
          </w:p>
        </w:tc>
        <w:tc>
          <w:tcPr>
            <w:tcW w:type="dxa" w:w="36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LLC recommended. Register as S-Corp if profit projection &gt;$150K/yr.</w:t>
            </w:r>
          </w:p>
        </w:tc>
        <w:tc>
          <w:tcPr>
            <w:tcW w:type="dxa" w:w="10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$0–500</w:t>
            </w:r>
          </w:p>
        </w:tc>
        <w:tc>
          <w:tcPr>
            <w:tcW w:type="dxa" w:w="10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1 week</w:t>
            </w:r>
          </w:p>
        </w:tc>
        <w:tc>
          <w:tcPr>
            <w:tcW w:type="dxa" w:w="106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Not Started</w:t>
            </w:r>
          </w:p>
        </w:tc>
      </w:tr>
      <w:tr>
        <w:tc>
          <w:tcPr>
            <w:tcW w:type="dxa" w:w="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Register with Secretary of State</w:t>
            </w:r>
          </w:p>
        </w:tc>
        <w:tc>
          <w:tcPr>
            <w:tcW w:type="dxa" w:w="3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File Articles of Organization (LLC) or Incorporation. Most states online.</w:t>
            </w:r>
          </w:p>
        </w:tc>
        <w:tc>
          <w:tcPr>
            <w:tcW w:type="dxa" w:w="1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$50–300</w:t>
            </w:r>
          </w:p>
        </w:tc>
        <w:tc>
          <w:tcPr>
            <w:tcW w:type="dxa" w:w="1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1–2 weeks</w:t>
            </w:r>
          </w:p>
        </w:tc>
        <w:tc>
          <w:tcPr>
            <w:tcW w:type="dxa" w:w="10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Not Started</w:t>
            </w:r>
          </w:p>
        </w:tc>
      </w:tr>
      <w:tr>
        <w:tc>
          <w:tcPr>
            <w:tcW w:type="dxa" w:w="3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
            </w:r>
          </w:p>
        </w:tc>
        <w:tc>
          <w:tcPr>
            <w:tcW w:type="dxa" w:w="14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Obtain EIN from IRS</w:t>
            </w:r>
          </w:p>
        </w:tc>
        <w:tc>
          <w:tcPr>
            <w:tcW w:type="dxa" w:w="36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Free and usually immediate. Required for employees, bank account, taxes.</w:t>
            </w:r>
          </w:p>
        </w:tc>
        <w:tc>
          <w:tcPr>
            <w:tcW w:type="dxa" w:w="10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Free</w:t>
            </w:r>
          </w:p>
        </w:tc>
        <w:tc>
          <w:tcPr>
            <w:tcW w:type="dxa" w:w="10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1–2 days</w:t>
            </w:r>
          </w:p>
        </w:tc>
        <w:tc>
          <w:tcPr>
            <w:tcW w:type="dxa" w:w="106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Not Started</w:t>
            </w:r>
          </w:p>
        </w:tc>
      </w:tr>
      <w:tr>
        <w:tc>
          <w:tcPr>
            <w:tcW w:type="dxa" w:w="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Open Business Bank Account</w:t>
            </w:r>
          </w:p>
        </w:tc>
        <w:tc>
          <w:tcPr>
            <w:tcW w:type="dxa" w:w="3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Separate business and personal finances. Required: business license, EIN, ID.</w:t>
            </w:r>
          </w:p>
        </w:tc>
        <w:tc>
          <w:tcPr>
            <w:tcW w:type="dxa" w:w="1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$0–100</w:t>
            </w:r>
          </w:p>
        </w:tc>
        <w:tc>
          <w:tcPr>
            <w:tcW w:type="dxa" w:w="1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1 week</w:t>
            </w:r>
          </w:p>
        </w:tc>
        <w:tc>
          <w:tcPr>
            <w:tcW w:type="dxa" w:w="10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Not Started</w:t>
            </w:r>
          </w:p>
        </w:tc>
      </w:tr>
      <w:tr>
        <w:tc>
          <w:tcPr>
            <w:tcW w:type="dxa" w:w="3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
            </w:r>
          </w:p>
        </w:tc>
        <w:tc>
          <w:tcPr>
            <w:tcW w:type="dxa" w:w="14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Register for State Tax ID</w:t>
            </w:r>
          </w:p>
        </w:tc>
        <w:tc>
          <w:tcPr>
            <w:tcW w:type="dxa" w:w="36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Required for state income tax and sales tax returns.</w:t>
            </w:r>
          </w:p>
        </w:tc>
        <w:tc>
          <w:tcPr>
            <w:tcW w:type="dxa" w:w="10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Free</w:t>
            </w:r>
          </w:p>
        </w:tc>
        <w:tc>
          <w:tcPr>
            <w:tcW w:type="dxa" w:w="10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1–2 weeks</w:t>
            </w:r>
          </w:p>
        </w:tc>
        <w:tc>
          <w:tcPr>
            <w:tcW w:type="dxa" w:w="106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Not Started</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7A4E" w:sz="12"/>
              <w:left w:val="single" w:color="5C7A4E" w:sz="12"/>
              <w:bottom w:val="single" w:color="5C7A4E" w:sz="12"/>
              <w:right w:val="single" w:color="5C7A4E" w:sz="12"/>
            </w:tcBorders>
            <w:shd w:fill="F0F5F0" w:val="clear"/>
            <w:tcMar>
              <w:top w:type="dxa" w:w="100"/>
              <w:left w:type="dxa" w:w="100"/>
              <w:bottom w:type="dxa" w:w="100"/>
              <w:right w:type="dxa" w:w="100"/>
            </w:tcMar>
          </w:tcPr>
          <w:p>
            <w:pPr>
              <w:spacing w:after="80"/>
            </w:pPr>
            <w:r>
              <w:rPr>
                <w:rFonts w:ascii="Arial" w:cs="Arial" w:eastAsia="Arial" w:hAnsi="Arial"/>
                <w:b/>
                <w:bCs/>
                <w:color w:val="5C7A4E"/>
                <w:sz w:val="24"/>
                <w:szCs w:val="24"/>
              </w:rPr>
              <w:t xml:space="preserve">Pro Tip</w:t>
            </w:r>
          </w:p>
          <w:p>
            <w:pPr>
              <w:spacing w:line="240" w:lineRule="auto"/>
            </w:pPr>
            <w:r>
              <w:rPr>
                <w:rFonts w:ascii="Arial" w:cs="Arial" w:eastAsia="Arial" w:hAnsi="Arial"/>
                <w:color w:val="1C1209"/>
                <w:sz w:val="20"/>
                <w:szCs w:val="20"/>
              </w:rPr>
              <w:t xml:space="preserve">Complete entity formation within your first 4 weeks. Many subsequent registrations depend on having formal business structure in place.</w:t>
            </w:r>
          </w:p>
        </w:tc>
      </w:tr>
    </w:tbl>
    <w:p>
      <w:r>
        <w:br w:type="page"/>
      </w:r>
    </w:p>
    <w:p>
      <w:pPr>
        <w:pStyle w:val="Heading1"/>
        <w:spacing w:after="120" w:before="240"/>
        <w:outlineLvl w:val="0"/>
      </w:pPr>
      <w:r>
        <w:rPr>
          <w:rFonts w:ascii="Arial" w:cs="Arial" w:eastAsia="Arial" w:hAnsi="Arial"/>
          <w:b/>
          <w:bCs/>
          <w:color w:val="C4612A"/>
          <w:sz w:val="32"/>
          <w:szCs w:val="32"/>
        </w:rPr>
        <w:t xml:space="preserve">Section 2: Licenses &amp; Permits</w:t>
      </w:r>
    </w:p>
    <w:p>
      <w:pPr>
        <w:spacing w:after="200" w:line="240" w:lineRule="auto"/>
      </w:pPr>
      <w:r>
        <w:rPr>
          <w:rFonts w:ascii="Arial" w:cs="Arial" w:eastAsia="Arial" w:hAnsi="Arial"/>
          <w:color w:val="1C1209"/>
          <w:sz w:val="22"/>
          <w:szCs w:val="22"/>
        </w:rPr>
        <w:t xml:space="preserve">Permits and licenses are your legal permission slips to operate. Each jurisdiction has different requirements. This section is coffee-shop specific and accounts for food service, music licensing, and alcohol licensing.</w:t>
      </w:r>
    </w:p>
    <w:p>
      <w:pPr>
        <w:pStyle w:val="Heading2"/>
        <w:spacing w:after="100" w:before="180"/>
        <w:outlineLvl w:val="1"/>
      </w:pPr>
      <w:r>
        <w:rPr>
          <w:rFonts w:ascii="Arial" w:cs="Arial" w:eastAsia="Arial" w:hAnsi="Arial"/>
          <w:b/>
          <w:bCs/>
          <w:color w:val="5C7A4E"/>
          <w:sz w:val="28"/>
          <w:szCs w:val="28"/>
        </w:rPr>
        <w:t xml:space="preserve">Critical Permits &amp; Licenses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400"/>
        <w:gridCol w:w="3600"/>
        <w:gridCol w:w="1000"/>
        <w:gridCol w:w="1000"/>
        <w:gridCol w:w="1060"/>
      </w:tblGrid>
      <w:tr>
        <w:tc>
          <w:tcPr>
            <w:tcW w:type="dxa" w:w="30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
            </w:r>
          </w:p>
        </w:tc>
        <w:tc>
          <w:tcPr>
            <w:tcW w:type="dxa" w:w="140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Permit/License</w:t>
            </w:r>
          </w:p>
        </w:tc>
        <w:tc>
          <w:tcPr>
            <w:tcW w:type="dxa" w:w="360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Description</w:t>
            </w:r>
          </w:p>
        </w:tc>
        <w:tc>
          <w:tcPr>
            <w:tcW w:type="dxa" w:w="100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Est. Cost</w:t>
            </w:r>
          </w:p>
        </w:tc>
        <w:tc>
          <w:tcPr>
            <w:tcW w:type="dxa" w:w="100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Timeline</w:t>
            </w:r>
          </w:p>
        </w:tc>
        <w:tc>
          <w:tcPr>
            <w:tcW w:type="dxa" w:w="106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Renewal</w:t>
            </w:r>
          </w:p>
        </w:tc>
      </w:tr>
      <w:tr>
        <w:tc>
          <w:tcPr>
            <w:tcW w:type="dxa" w:w="3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
            </w:r>
          </w:p>
        </w:tc>
        <w:tc>
          <w:tcPr>
            <w:tcW w:type="dxa" w:w="14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Business License</w:t>
            </w:r>
          </w:p>
        </w:tc>
        <w:tc>
          <w:tcPr>
            <w:tcW w:type="dxa" w:w="36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Operating permit from city/county. Required before opening.</w:t>
            </w:r>
          </w:p>
        </w:tc>
        <w:tc>
          <w:tcPr>
            <w:tcW w:type="dxa" w:w="10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$50–300</w:t>
            </w:r>
          </w:p>
        </w:tc>
        <w:tc>
          <w:tcPr>
            <w:tcW w:type="dxa" w:w="10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1–2 weeks</w:t>
            </w:r>
          </w:p>
        </w:tc>
        <w:tc>
          <w:tcPr>
            <w:tcW w:type="dxa" w:w="106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Annual</w:t>
            </w:r>
          </w:p>
        </w:tc>
      </w:tr>
      <w:tr>
        <w:tc>
          <w:tcPr>
            <w:tcW w:type="dxa" w:w="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Food Service License</w:t>
            </w:r>
          </w:p>
        </w:tc>
        <w:tc>
          <w:tcPr>
            <w:tcW w:type="dxa" w:w="3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Issued by county health department. Required for food/beverage service.</w:t>
            </w:r>
          </w:p>
        </w:tc>
        <w:tc>
          <w:tcPr>
            <w:tcW w:type="dxa" w:w="1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$300–1,500</w:t>
            </w:r>
          </w:p>
        </w:tc>
        <w:tc>
          <w:tcPr>
            <w:tcW w:type="dxa" w:w="1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4–8 weeks</w:t>
            </w:r>
          </w:p>
        </w:tc>
        <w:tc>
          <w:tcPr>
            <w:tcW w:type="dxa" w:w="10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Annual</w:t>
            </w:r>
          </w:p>
        </w:tc>
      </w:tr>
      <w:tr>
        <w:tc>
          <w:tcPr>
            <w:tcW w:type="dxa" w:w="3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
            </w:r>
          </w:p>
        </w:tc>
        <w:tc>
          <w:tcPr>
            <w:tcW w:type="dxa" w:w="14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Food Handler Certifications</w:t>
            </w:r>
          </w:p>
        </w:tc>
        <w:tc>
          <w:tcPr>
            <w:tcW w:type="dxa" w:w="36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Each employee must complete food safety course. $10–30 per person.</w:t>
            </w:r>
          </w:p>
        </w:tc>
        <w:tc>
          <w:tcPr>
            <w:tcW w:type="dxa" w:w="10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$100–300/yr</w:t>
            </w:r>
          </w:p>
        </w:tc>
        <w:tc>
          <w:tcPr>
            <w:tcW w:type="dxa" w:w="10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2–4 hrs</w:t>
            </w:r>
          </w:p>
        </w:tc>
        <w:tc>
          <w:tcPr>
            <w:tcW w:type="dxa" w:w="106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Annual</w:t>
            </w:r>
          </w:p>
        </w:tc>
      </w:tr>
      <w:tr>
        <w:tc>
          <w:tcPr>
            <w:tcW w:type="dxa" w:w="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Sales Tax Permit</w:t>
            </w:r>
          </w:p>
        </w:tc>
        <w:tc>
          <w:tcPr>
            <w:tcW w:type="dxa" w:w="3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State requirement to collect and remit sales tax. Free online.</w:t>
            </w:r>
          </w:p>
        </w:tc>
        <w:tc>
          <w:tcPr>
            <w:tcW w:type="dxa" w:w="1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Free</w:t>
            </w:r>
          </w:p>
        </w:tc>
        <w:tc>
          <w:tcPr>
            <w:tcW w:type="dxa" w:w="1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1–2 weeks</w:t>
            </w:r>
          </w:p>
        </w:tc>
        <w:tc>
          <w:tcPr>
            <w:tcW w:type="dxa" w:w="10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Ongoing</w:t>
            </w:r>
          </w:p>
        </w:tc>
      </w:tr>
      <w:tr>
        <w:tc>
          <w:tcPr>
            <w:tcW w:type="dxa" w:w="3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
            </w:r>
          </w:p>
        </w:tc>
        <w:tc>
          <w:tcPr>
            <w:tcW w:type="dxa" w:w="14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Fire Department Inspection</w:t>
            </w:r>
          </w:p>
        </w:tc>
        <w:tc>
          <w:tcPr>
            <w:tcW w:type="dxa" w:w="36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Safety inspection of electrical, plumbing, sprinklers, fire exits.</w:t>
            </w:r>
          </w:p>
        </w:tc>
        <w:tc>
          <w:tcPr>
            <w:tcW w:type="dxa" w:w="10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$200–500</w:t>
            </w:r>
          </w:p>
        </w:tc>
        <w:tc>
          <w:tcPr>
            <w:tcW w:type="dxa" w:w="10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2–3 weeks</w:t>
            </w:r>
          </w:p>
        </w:tc>
        <w:tc>
          <w:tcPr>
            <w:tcW w:type="dxa" w:w="106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Annual</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7A4E" w:sz="12"/>
              <w:left w:val="single" w:color="5C7A4E" w:sz="12"/>
              <w:bottom w:val="single" w:color="5C7A4E" w:sz="12"/>
              <w:right w:val="single" w:color="5C7A4E" w:sz="12"/>
            </w:tcBorders>
            <w:shd w:fill="F0F5F0" w:val="clear"/>
            <w:tcMar>
              <w:top w:type="dxa" w:w="100"/>
              <w:left w:type="dxa" w:w="100"/>
              <w:bottom w:type="dxa" w:w="100"/>
              <w:right w:type="dxa" w:w="100"/>
            </w:tcMar>
          </w:tcPr>
          <w:p>
            <w:pPr>
              <w:spacing w:after="80"/>
            </w:pPr>
            <w:r>
              <w:rPr>
                <w:rFonts w:ascii="Arial" w:cs="Arial" w:eastAsia="Arial" w:hAnsi="Arial"/>
                <w:b/>
                <w:bCs/>
                <w:color w:val="5C7A4E"/>
                <w:sz w:val="24"/>
                <w:szCs w:val="24"/>
              </w:rPr>
              <w:t xml:space="preserve">Important</w:t>
            </w:r>
          </w:p>
          <w:p>
            <w:pPr>
              <w:spacing w:line="240" w:lineRule="auto"/>
            </w:pPr>
            <w:r>
              <w:rPr>
                <w:rFonts w:ascii="Arial" w:cs="Arial" w:eastAsia="Arial" w:hAnsi="Arial"/>
                <w:color w:val="1C1209"/>
                <w:sz w:val="20"/>
                <w:szCs w:val="20"/>
              </w:rPr>
              <w:t xml:space="preserve">Start permit applications 3–4 months before your planned opening date. Many permits have long lead times.</w:t>
            </w:r>
          </w:p>
        </w:tc>
      </w:tr>
    </w:tbl>
    <w:p>
      <w:r>
        <w:br w:type="page"/>
      </w:r>
    </w:p>
    <w:p>
      <w:pPr>
        <w:pStyle w:val="Heading1"/>
        <w:spacing w:after="120" w:before="240"/>
        <w:outlineLvl w:val="0"/>
      </w:pPr>
      <w:r>
        <w:rPr>
          <w:rFonts w:ascii="Arial" w:cs="Arial" w:eastAsia="Arial" w:hAnsi="Arial"/>
          <w:b/>
          <w:bCs/>
          <w:color w:val="C4612A"/>
          <w:sz w:val="32"/>
          <w:szCs w:val="32"/>
        </w:rPr>
        <w:t xml:space="preserve">Section 3: Health &amp; Food Safety</w:t>
      </w:r>
    </w:p>
    <w:p>
      <w:pPr>
        <w:spacing w:after="200" w:line="240" w:lineRule="auto"/>
      </w:pPr>
      <w:r>
        <w:rPr>
          <w:rFonts w:ascii="Arial" w:cs="Arial" w:eastAsia="Arial" w:hAnsi="Arial"/>
          <w:color w:val="1C1209"/>
          <w:sz w:val="22"/>
          <w:szCs w:val="22"/>
        </w:rPr>
        <w:t xml:space="preserve">Food safety is non-negotiable. These requirements protect your customers and your business from liability. Failure to comply can result in fines, closure, or lawsuits.</w:t>
      </w:r>
    </w:p>
    <w:p>
      <w:pPr>
        <w:pStyle w:val="Heading2"/>
        <w:spacing w:after="100" w:before="180"/>
        <w:outlineLvl w:val="1"/>
      </w:pPr>
      <w:r>
        <w:rPr>
          <w:rFonts w:ascii="Arial" w:cs="Arial" w:eastAsia="Arial" w:hAnsi="Arial"/>
          <w:b/>
          <w:bCs/>
          <w:color w:val="5C7A4E"/>
          <w:sz w:val="28"/>
          <w:szCs w:val="28"/>
        </w:rPr>
        <w:t xml:space="preserve">Food Safety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200"/>
        <w:gridCol w:w="4200"/>
        <w:gridCol w:w="1000"/>
        <w:gridCol w:w="1000"/>
        <w:gridCol w:w="660"/>
      </w:tblGrid>
      <w:tr>
        <w:tc>
          <w:tcPr>
            <w:tcW w:type="dxa" w:w="30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
            </w:r>
          </w:p>
        </w:tc>
        <w:tc>
          <w:tcPr>
            <w:tcW w:type="dxa" w:w="120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Task</w:t>
            </w:r>
          </w:p>
        </w:tc>
        <w:tc>
          <w:tcPr>
            <w:tcW w:type="dxa" w:w="420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Description</w:t>
            </w:r>
          </w:p>
        </w:tc>
        <w:tc>
          <w:tcPr>
            <w:tcW w:type="dxa" w:w="100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Est. Cost</w:t>
            </w:r>
          </w:p>
        </w:tc>
        <w:tc>
          <w:tcPr>
            <w:tcW w:type="dxa" w:w="100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Timeline</w:t>
            </w:r>
          </w:p>
        </w:tc>
        <w:tc>
          <w:tcPr>
            <w:tcW w:type="dxa" w:w="66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Status</w:t>
            </w:r>
          </w:p>
        </w:tc>
      </w:tr>
      <w:tr>
        <w:tc>
          <w:tcPr>
            <w:tcW w:type="dxa" w:w="3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
            </w:r>
          </w:p>
        </w:tc>
        <w:tc>
          <w:tcPr>
            <w:tcW w:type="dxa" w:w="12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ServSafe Manager Cert</w:t>
            </w:r>
          </w:p>
        </w:tc>
        <w:tc>
          <w:tcPr>
            <w:tcW w:type="dxa" w:w="42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One manager completes food safety certification. Valid 3 years.</w:t>
            </w:r>
          </w:p>
        </w:tc>
        <w:tc>
          <w:tcPr>
            <w:tcW w:type="dxa" w:w="10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$150–300</w:t>
            </w:r>
          </w:p>
        </w:tc>
        <w:tc>
          <w:tcPr>
            <w:tcW w:type="dxa" w:w="10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4–8 hours</w:t>
            </w:r>
          </w:p>
        </w:tc>
        <w:tc>
          <w:tcPr>
            <w:tcW w:type="dxa" w:w="66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Not Started</w:t>
            </w:r>
          </w:p>
        </w:tc>
      </w:tr>
      <w:tr>
        <w:tc>
          <w:tcPr>
            <w:tcW w:type="dxa" w:w="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Food Safety Plan (HACCP)</w:t>
            </w:r>
          </w:p>
        </w:tc>
        <w:tc>
          <w:tcPr>
            <w:tcW w:type="dxa" w:w="4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Document critical control points in operation and temperature control.</w:t>
            </w:r>
          </w:p>
        </w:tc>
        <w:tc>
          <w:tcPr>
            <w:tcW w:type="dxa" w:w="1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$0–500</w:t>
            </w:r>
          </w:p>
        </w:tc>
        <w:tc>
          <w:tcPr>
            <w:tcW w:type="dxa" w:w="1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2–3 weeks</w:t>
            </w:r>
          </w:p>
        </w:tc>
        <w:tc>
          <w:tcPr>
            <w:tcW w:type="dxa" w:w="6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Not Started</w:t>
            </w:r>
          </w:p>
        </w:tc>
      </w:tr>
      <w:tr>
        <w:tc>
          <w:tcPr>
            <w:tcW w:type="dxa" w:w="3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
            </w:r>
          </w:p>
        </w:tc>
        <w:tc>
          <w:tcPr>
            <w:tcW w:type="dxa" w:w="12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Health Pre-Inspection</w:t>
            </w:r>
          </w:p>
        </w:tc>
        <w:tc>
          <w:tcPr>
            <w:tcW w:type="dxa" w:w="42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Schedule pre-operational inspection with health department.</w:t>
            </w:r>
          </w:p>
        </w:tc>
        <w:tc>
          <w:tcPr>
            <w:tcW w:type="dxa" w:w="10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Included</w:t>
            </w:r>
          </w:p>
        </w:tc>
        <w:tc>
          <w:tcPr>
            <w:tcW w:type="dxa" w:w="10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2–4 weeks</w:t>
            </w:r>
          </w:p>
        </w:tc>
        <w:tc>
          <w:tcPr>
            <w:tcW w:type="dxa" w:w="66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Not Started</w:t>
            </w:r>
          </w:p>
        </w:tc>
      </w:tr>
      <w:tr>
        <w:tc>
          <w:tcPr>
            <w:tcW w:type="dxa" w:w="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Water Quality Testing</w:t>
            </w:r>
          </w:p>
        </w:tc>
        <w:tc>
          <w:tcPr>
            <w:tcW w:type="dxa" w:w="4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Test water supply for bacteria and contaminants.</w:t>
            </w:r>
          </w:p>
        </w:tc>
        <w:tc>
          <w:tcPr>
            <w:tcW w:type="dxa" w:w="1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$100–300</w:t>
            </w:r>
          </w:p>
        </w:tc>
        <w:tc>
          <w:tcPr>
            <w:tcW w:type="dxa" w:w="1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1 week</w:t>
            </w:r>
          </w:p>
        </w:tc>
        <w:tc>
          <w:tcPr>
            <w:tcW w:type="dxa" w:w="6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Not Started</w:t>
            </w:r>
          </w:p>
        </w:tc>
      </w:tr>
      <w:tr>
        <w:tc>
          <w:tcPr>
            <w:tcW w:type="dxa" w:w="3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
            </w:r>
          </w:p>
        </w:tc>
        <w:tc>
          <w:tcPr>
            <w:tcW w:type="dxa" w:w="12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Allergen Management Plan</w:t>
            </w:r>
          </w:p>
        </w:tc>
        <w:tc>
          <w:tcPr>
            <w:tcW w:type="dxa" w:w="42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Document how you prevent cross-contamination. Train staff.</w:t>
            </w:r>
          </w:p>
        </w:tc>
        <w:tc>
          <w:tcPr>
            <w:tcW w:type="dxa" w:w="10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$0–300</w:t>
            </w:r>
          </w:p>
        </w:tc>
        <w:tc>
          <w:tcPr>
            <w:tcW w:type="dxa" w:w="10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1 week</w:t>
            </w:r>
          </w:p>
        </w:tc>
        <w:tc>
          <w:tcPr>
            <w:tcW w:type="dxa" w:w="66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Not Started</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7A4E" w:sz="12"/>
              <w:left w:val="single" w:color="5C7A4E" w:sz="12"/>
              <w:bottom w:val="single" w:color="5C7A4E" w:sz="12"/>
              <w:right w:val="single" w:color="5C7A4E" w:sz="12"/>
            </w:tcBorders>
            <w:shd w:fill="F0F5F0" w:val="clear"/>
            <w:tcMar>
              <w:top w:type="dxa" w:w="100"/>
              <w:left w:type="dxa" w:w="100"/>
              <w:bottom w:type="dxa" w:w="100"/>
              <w:right w:type="dxa" w:w="100"/>
            </w:tcMar>
          </w:tcPr>
          <w:p>
            <w:pPr>
              <w:spacing w:after="80"/>
            </w:pPr>
            <w:r>
              <w:rPr>
                <w:rFonts w:ascii="Arial" w:cs="Arial" w:eastAsia="Arial" w:hAnsi="Arial"/>
                <w:b/>
                <w:bCs/>
                <w:color w:val="5C7A4E"/>
                <w:sz w:val="24"/>
                <w:szCs w:val="24"/>
              </w:rPr>
              <w:t xml:space="preserve">Pro Tip</w:t>
            </w:r>
          </w:p>
          <w:p>
            <w:pPr>
              <w:spacing w:line="240" w:lineRule="auto"/>
            </w:pPr>
            <w:r>
              <w:rPr>
                <w:rFonts w:ascii="Arial" w:cs="Arial" w:eastAsia="Arial" w:hAnsi="Arial"/>
                <w:color w:val="1C1209"/>
                <w:sz w:val="20"/>
                <w:szCs w:val="20"/>
              </w:rPr>
              <w:t xml:space="preserve">Invest in food safety software (FreshVendor, SafetyChain) to automate temperature logging. Cost: $30–100/month.</w:t>
            </w:r>
          </w:p>
        </w:tc>
      </w:tr>
    </w:tbl>
    <w:p>
      <w:r>
        <w:br w:type="page"/>
      </w:r>
    </w:p>
    <w:p>
      <w:pPr>
        <w:pStyle w:val="Heading1"/>
        <w:spacing w:after="120" w:before="240"/>
        <w:outlineLvl w:val="0"/>
      </w:pPr>
      <w:r>
        <w:rPr>
          <w:rFonts w:ascii="Arial" w:cs="Arial" w:eastAsia="Arial" w:hAnsi="Arial"/>
          <w:b/>
          <w:bCs/>
          <w:color w:val="C4612A"/>
          <w:sz w:val="32"/>
          <w:szCs w:val="32"/>
        </w:rPr>
        <w:t xml:space="preserve">Section 4: Insurance Requirements</w:t>
      </w:r>
    </w:p>
    <w:p>
      <w:pPr>
        <w:spacing w:after="200" w:line="240" w:lineRule="auto"/>
      </w:pPr>
      <w:r>
        <w:rPr>
          <w:rFonts w:ascii="Arial" w:cs="Arial" w:eastAsia="Arial" w:hAnsi="Arial"/>
          <w:color w:val="1C1209"/>
          <w:sz w:val="22"/>
          <w:szCs w:val="22"/>
        </w:rPr>
        <w:t xml:space="preserve">Insurance protects your business from catastrophic financial loss. Many landlords require proof of insurance before you can lease space.</w:t>
      </w:r>
    </w:p>
    <w:p>
      <w:pPr>
        <w:pStyle w:val="Heading2"/>
        <w:spacing w:after="100" w:before="180"/>
        <w:outlineLvl w:val="1"/>
      </w:pPr>
      <w:r>
        <w:rPr>
          <w:rFonts w:ascii="Arial" w:cs="Arial" w:eastAsia="Arial" w:hAnsi="Arial"/>
          <w:b/>
          <w:bCs/>
          <w:color w:val="5C7A4E"/>
          <w:sz w:val="28"/>
          <w:szCs w:val="28"/>
        </w:rPr>
        <w:t xml:space="preserve">Insurance Coverage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3200"/>
        <w:gridCol w:w="3860"/>
      </w:tblGrid>
      <w:tr>
        <w:tc>
          <w:tcPr>
            <w:tcW w:type="dxa" w:w="30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
            </w:r>
          </w:p>
        </w:tc>
        <w:tc>
          <w:tcPr>
            <w:tcW w:type="dxa" w:w="200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Insurance Type</w:t>
            </w:r>
          </w:p>
        </w:tc>
        <w:tc>
          <w:tcPr>
            <w:tcW w:type="dxa" w:w="320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Recommended Coverage</w:t>
            </w:r>
          </w:p>
        </w:tc>
        <w:tc>
          <w:tcPr>
            <w:tcW w:type="dxa" w:w="386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Est. Annual Cost</w:t>
            </w:r>
          </w:p>
        </w:tc>
      </w:tr>
      <w:tr>
        <w:tc>
          <w:tcPr>
            <w:tcW w:type="dxa" w:w="3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
            </w:r>
          </w:p>
        </w:tc>
        <w:tc>
          <w:tcPr>
            <w:tcW w:type="dxa" w:w="20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General Liability</w:t>
            </w:r>
          </w:p>
        </w:tc>
        <w:tc>
          <w:tcPr>
            <w:tcW w:type="dxa" w:w="32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$1M–$2M per occurrence</w:t>
            </w:r>
          </w:p>
        </w:tc>
        <w:tc>
          <w:tcPr>
            <w:tcW w:type="dxa" w:w="386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$600–1,200/yr</w:t>
            </w:r>
          </w:p>
        </w:tc>
      </w:tr>
      <w:tr>
        <w:tc>
          <w:tcPr>
            <w:tcW w:type="dxa" w:w="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Commercial Property</w:t>
            </w:r>
          </w:p>
        </w:tc>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Full replacement value</w:t>
            </w:r>
          </w:p>
        </w:tc>
        <w:tc>
          <w:tcPr>
            <w:tcW w:type="dxa" w:w="3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$1,000–2,000/yr</w:t>
            </w:r>
          </w:p>
        </w:tc>
      </w:tr>
      <w:tr>
        <w:tc>
          <w:tcPr>
            <w:tcW w:type="dxa" w:w="3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
            </w:r>
          </w:p>
        </w:tc>
        <w:tc>
          <w:tcPr>
            <w:tcW w:type="dxa" w:w="20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Workers' Compensation</w:t>
            </w:r>
          </w:p>
        </w:tc>
        <w:tc>
          <w:tcPr>
            <w:tcW w:type="dxa" w:w="32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State statutory minimum</w:t>
            </w:r>
          </w:p>
        </w:tc>
        <w:tc>
          <w:tcPr>
            <w:tcW w:type="dxa" w:w="386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$800–2,500/yr</w:t>
            </w:r>
          </w:p>
        </w:tc>
      </w:tr>
      <w:tr>
        <w:tc>
          <w:tcPr>
            <w:tcW w:type="dxa" w:w="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Product Liability</w:t>
            </w:r>
          </w:p>
        </w:tc>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$1M–$2M</w:t>
            </w:r>
          </w:p>
        </w:tc>
        <w:tc>
          <w:tcPr>
            <w:tcW w:type="dxa" w:w="3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$500–1,200/yr</w:t>
            </w:r>
          </w:p>
        </w:tc>
      </w:tr>
      <w:tr>
        <w:tc>
          <w:tcPr>
            <w:tcW w:type="dxa" w:w="3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
            </w:r>
          </w:p>
        </w:tc>
        <w:tc>
          <w:tcPr>
            <w:tcW w:type="dxa" w:w="20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Business Interruption</w:t>
            </w:r>
          </w:p>
        </w:tc>
        <w:tc>
          <w:tcPr>
            <w:tcW w:type="dxa" w:w="32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6 months of fixed expenses</w:t>
            </w:r>
          </w:p>
        </w:tc>
        <w:tc>
          <w:tcPr>
            <w:tcW w:type="dxa" w:w="386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$400–800/yr</w:t>
            </w:r>
          </w:p>
        </w:tc>
      </w:tr>
      <w:tr>
        <w:tc>
          <w:tcPr>
            <w:tcW w:type="dxa" w:w="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Liquor Liability (if applicable)</w:t>
            </w:r>
          </w:p>
        </w:tc>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$1M–$2M</w:t>
            </w:r>
          </w:p>
        </w:tc>
        <w:tc>
          <w:tcPr>
            <w:tcW w:type="dxa" w:w="3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$1,000–2,500/yr</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7A4E" w:sz="12"/>
              <w:left w:val="single" w:color="5C7A4E" w:sz="12"/>
              <w:bottom w:val="single" w:color="5C7A4E" w:sz="12"/>
              <w:right w:val="single" w:color="5C7A4E" w:sz="12"/>
            </w:tcBorders>
            <w:shd w:fill="F0F5F0" w:val="clear"/>
            <w:tcMar>
              <w:top w:type="dxa" w:w="100"/>
              <w:left w:type="dxa" w:w="100"/>
              <w:bottom w:type="dxa" w:w="100"/>
              <w:right w:type="dxa" w:w="100"/>
            </w:tcMar>
          </w:tcPr>
          <w:p>
            <w:pPr>
              <w:spacing w:after="80"/>
            </w:pPr>
            <w:r>
              <w:rPr>
                <w:rFonts w:ascii="Arial" w:cs="Arial" w:eastAsia="Arial" w:hAnsi="Arial"/>
                <w:b/>
                <w:bCs/>
                <w:color w:val="5C7A4E"/>
                <w:sz w:val="24"/>
                <w:szCs w:val="24"/>
              </w:rPr>
              <w:t xml:space="preserve">CRITICAL</w:t>
            </w:r>
          </w:p>
          <w:p>
            <w:pPr>
              <w:spacing w:line="240" w:lineRule="auto"/>
            </w:pPr>
            <w:r>
              <w:rPr>
                <w:rFonts w:ascii="Arial" w:cs="Arial" w:eastAsia="Arial" w:hAnsi="Arial"/>
                <w:color w:val="1C1209"/>
                <w:sz w:val="20"/>
                <w:szCs w:val="20"/>
              </w:rPr>
              <w:t xml:space="preserve">Workers' compensation is LEGALLY REQUIRED if you have even one employee in most states. Failure to carry = fines of $10,000+.</w:t>
            </w:r>
          </w:p>
        </w:tc>
      </w:tr>
    </w:tbl>
    <w:p>
      <w:r>
        <w:br w:type="page"/>
      </w:r>
    </w:p>
    <w:p>
      <w:pPr>
        <w:pStyle w:val="Heading1"/>
        <w:spacing w:after="120" w:before="240"/>
        <w:outlineLvl w:val="0"/>
      </w:pPr>
      <w:r>
        <w:rPr>
          <w:rFonts w:ascii="Arial" w:cs="Arial" w:eastAsia="Arial" w:hAnsi="Arial"/>
          <w:b/>
          <w:bCs/>
          <w:color w:val="C4612A"/>
          <w:sz w:val="32"/>
          <w:szCs w:val="32"/>
        </w:rPr>
        <w:t xml:space="preserve">Section 5: Lease &amp; Real Estate</w:t>
      </w:r>
    </w:p>
    <w:p>
      <w:pPr>
        <w:spacing w:after="200" w:line="240" w:lineRule="auto"/>
      </w:pPr>
      <w:r>
        <w:rPr>
          <w:rFonts w:ascii="Arial" w:cs="Arial" w:eastAsia="Arial" w:hAnsi="Arial"/>
          <w:color w:val="1C1209"/>
          <w:sz w:val="22"/>
          <w:szCs w:val="22"/>
        </w:rPr>
        <w:t xml:space="preserve">Your lease is one of your biggest business expenses. Carefully negotiate terms and always have a commercial real estate attorney review before signing.</w:t>
      </w:r>
    </w:p>
    <w:p>
      <w:pPr>
        <w:pStyle w:val="Heading2"/>
        <w:spacing w:after="100" w:before="180"/>
        <w:outlineLvl w:val="1"/>
      </w:pPr>
      <w:r>
        <w:rPr>
          <w:rFonts w:ascii="Arial" w:cs="Arial" w:eastAsia="Arial" w:hAnsi="Arial"/>
          <w:b/>
          <w:bCs/>
          <w:color w:val="5C7A4E"/>
          <w:sz w:val="28"/>
          <w:szCs w:val="28"/>
        </w:rPr>
        <w:t xml:space="preserve">Lease Review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600"/>
        <w:gridCol w:w="5460"/>
      </w:tblGrid>
      <w:tr>
        <w:tc>
          <w:tcPr>
            <w:tcW w:type="dxa" w:w="30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
            </w:r>
          </w:p>
        </w:tc>
        <w:tc>
          <w:tcPr>
            <w:tcW w:type="dxa" w:w="360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Lease Term</w:t>
            </w:r>
          </w:p>
        </w:tc>
        <w:tc>
          <w:tcPr>
            <w:tcW w:type="dxa" w:w="546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Recommendation</w:t>
            </w:r>
          </w:p>
        </w:tc>
      </w:tr>
      <w:tr>
        <w:tc>
          <w:tcPr>
            <w:tcW w:type="dxa" w:w="3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
            </w:r>
          </w:p>
        </w:tc>
        <w:tc>
          <w:tcPr>
            <w:tcW w:type="dxa" w:w="36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Rent Amount &amp; Increases</w:t>
            </w:r>
          </w:p>
        </w:tc>
        <w:tc>
          <w:tcPr>
            <w:tcW w:type="dxa" w:w="546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Cap annual increases at 2–3% or CPI</w:t>
            </w:r>
          </w:p>
        </w:tc>
      </w:tr>
      <w:tr>
        <w:tc>
          <w:tcPr>
            <w:tcW w:type="dxa" w:w="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
            </w:r>
          </w:p>
        </w:tc>
        <w:tc>
          <w:tcPr>
            <w:tcW w:type="dxa" w:w="3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CAM (Common Area Maintenance)</w:t>
            </w:r>
          </w:p>
        </w:tc>
        <w:tc>
          <w:tcPr>
            <w:tcW w:type="dxa" w:w="54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Negotiate cap on annual CAM increases (2–3% max)</w:t>
            </w:r>
          </w:p>
        </w:tc>
      </w:tr>
      <w:tr>
        <w:tc>
          <w:tcPr>
            <w:tcW w:type="dxa" w:w="3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
            </w:r>
          </w:p>
        </w:tc>
        <w:tc>
          <w:tcPr>
            <w:tcW w:type="dxa" w:w="36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Tenant Improvement Allowance</w:t>
            </w:r>
          </w:p>
        </w:tc>
        <w:tc>
          <w:tcPr>
            <w:tcW w:type="dxa" w:w="546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Negotiate $50–100/sq ft for buildout</w:t>
            </w:r>
          </w:p>
        </w:tc>
      </w:tr>
      <w:tr>
        <w:tc>
          <w:tcPr>
            <w:tcW w:type="dxa" w:w="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
            </w:r>
          </w:p>
        </w:tc>
        <w:tc>
          <w:tcPr>
            <w:tcW w:type="dxa" w:w="3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Exclusive Use / Non-Compete</w:t>
            </w:r>
          </w:p>
        </w:tc>
        <w:tc>
          <w:tcPr>
            <w:tcW w:type="dxa" w:w="54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Negotiate exclusive coffee shop rights</w:t>
            </w:r>
          </w:p>
        </w:tc>
      </w:tr>
      <w:tr>
        <w:tc>
          <w:tcPr>
            <w:tcW w:type="dxa" w:w="3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
            </w:r>
          </w:p>
        </w:tc>
        <w:tc>
          <w:tcPr>
            <w:tcW w:type="dxa" w:w="36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Personal Guarantee</w:t>
            </w:r>
          </w:p>
        </w:tc>
        <w:tc>
          <w:tcPr>
            <w:tcW w:type="dxa" w:w="546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Negotiate release after 2–3 years or profitability</w:t>
            </w:r>
          </w:p>
        </w:tc>
      </w:tr>
      <w:tr>
        <w:tc>
          <w:tcPr>
            <w:tcW w:type="dxa" w:w="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
            </w:r>
          </w:p>
        </w:tc>
        <w:tc>
          <w:tcPr>
            <w:tcW w:type="dxa" w:w="3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Lease Term Length</w:t>
            </w:r>
          </w:p>
        </w:tc>
        <w:tc>
          <w:tcPr>
            <w:tcW w:type="dxa" w:w="54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Negotiate 3–5 years with 2–3 renewal options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7A4E" w:sz="12"/>
              <w:left w:val="single" w:color="5C7A4E" w:sz="12"/>
              <w:bottom w:val="single" w:color="5C7A4E" w:sz="12"/>
              <w:right w:val="single" w:color="5C7A4E" w:sz="12"/>
            </w:tcBorders>
            <w:shd w:fill="F0F5F0" w:val="clear"/>
            <w:tcMar>
              <w:top w:type="dxa" w:w="100"/>
              <w:left w:type="dxa" w:w="100"/>
              <w:bottom w:type="dxa" w:w="100"/>
              <w:right w:type="dxa" w:w="100"/>
            </w:tcMar>
          </w:tcPr>
          <w:p>
            <w:pPr>
              <w:spacing w:after="80"/>
            </w:pPr>
            <w:r>
              <w:rPr>
                <w:rFonts w:ascii="Arial" w:cs="Arial" w:eastAsia="Arial" w:hAnsi="Arial"/>
                <w:b/>
                <w:bCs/>
                <w:color w:val="5C7A4E"/>
                <w:sz w:val="24"/>
                <w:szCs w:val="24"/>
              </w:rPr>
              <w:t xml:space="preserve">CRITICAL</w:t>
            </w:r>
          </w:p>
          <w:p>
            <w:pPr>
              <w:spacing w:line="240" w:lineRule="auto"/>
            </w:pPr>
            <w:r>
              <w:rPr>
                <w:rFonts w:ascii="Arial" w:cs="Arial" w:eastAsia="Arial" w:hAnsi="Arial"/>
                <w:color w:val="1C1209"/>
                <w:sz w:val="20"/>
                <w:szCs w:val="20"/>
              </w:rPr>
              <w:t xml:space="preserve">Have a commercial real estate attorney review your lease before signing. Cost: $500–$800. Could save you $10,000+.</w:t>
            </w:r>
          </w:p>
        </w:tc>
      </w:tr>
    </w:tbl>
    <w:p>
      <w:r>
        <w:br w:type="page"/>
      </w:r>
    </w:p>
    <w:p>
      <w:pPr>
        <w:pStyle w:val="Heading1"/>
        <w:spacing w:after="120" w:before="240"/>
        <w:outlineLvl w:val="0"/>
      </w:pPr>
      <w:r>
        <w:rPr>
          <w:rFonts w:ascii="Arial" w:cs="Arial" w:eastAsia="Arial" w:hAnsi="Arial"/>
          <w:b/>
          <w:bCs/>
          <w:color w:val="C4612A"/>
          <w:sz w:val="32"/>
          <w:szCs w:val="32"/>
        </w:rPr>
        <w:t xml:space="preserve">Section 6: Employment Law &amp; Labor Compliance</w:t>
      </w:r>
    </w:p>
    <w:p>
      <w:pPr>
        <w:spacing w:after="200" w:line="240" w:lineRule="auto"/>
      </w:pPr>
      <w:r>
        <w:rPr>
          <w:rFonts w:ascii="Arial" w:cs="Arial" w:eastAsia="Arial" w:hAnsi="Arial"/>
          <w:color w:val="1C1209"/>
          <w:sz w:val="22"/>
          <w:szCs w:val="22"/>
        </w:rPr>
        <w:t xml:space="preserve">Once you hire employees, you have significant legal obligations. Failure to comply can result in fines, penalties, and lawsuits.</w:t>
      </w:r>
    </w:p>
    <w:p>
      <w:pPr>
        <w:pStyle w:val="Heading2"/>
        <w:spacing w:after="100" w:before="180"/>
        <w:outlineLvl w:val="1"/>
      </w:pPr>
      <w:r>
        <w:rPr>
          <w:rFonts w:ascii="Arial" w:cs="Arial" w:eastAsia="Arial" w:hAnsi="Arial"/>
          <w:b/>
          <w:bCs/>
          <w:color w:val="5C7A4E"/>
          <w:sz w:val="28"/>
          <w:szCs w:val="28"/>
        </w:rPr>
        <w:t xml:space="preserve">Critical Employment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500"/>
        <w:gridCol w:w="4200"/>
        <w:gridCol w:w="1360"/>
      </w:tblGrid>
      <w:tr>
        <w:tc>
          <w:tcPr>
            <w:tcW w:type="dxa" w:w="30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
            </w:r>
          </w:p>
        </w:tc>
        <w:tc>
          <w:tcPr>
            <w:tcW w:type="dxa" w:w="150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Task</w:t>
            </w:r>
          </w:p>
        </w:tc>
        <w:tc>
          <w:tcPr>
            <w:tcW w:type="dxa" w:w="420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Description</w:t>
            </w:r>
          </w:p>
        </w:tc>
        <w:tc>
          <w:tcPr>
            <w:tcW w:type="dxa" w:w="1360"/>
            <w:tcBorders>
              <w:top w:val="single" w:color="CCCCCC" w:sz="6"/>
              <w:left w:val="single" w:color="CCCCCC" w:sz="6"/>
              <w:bottom w:val="single" w:color="CCCCCC" w:sz="6"/>
              <w:right w:val="single" w:color="CCCCCC" w:sz="6"/>
            </w:tcBorders>
            <w:shd w:fill="C4612A"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2"/>
              </w:rPr>
              <w:t xml:space="preserve">Timeline</w:t>
            </w:r>
          </w:p>
        </w:tc>
      </w:tr>
      <w:tr>
        <w:tc>
          <w:tcPr>
            <w:tcW w:type="dxa" w:w="3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
            </w:r>
          </w:p>
        </w:tc>
        <w:tc>
          <w:tcPr>
            <w:tcW w:type="dxa" w:w="15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I-9 Verification</w:t>
            </w:r>
          </w:p>
        </w:tc>
        <w:tc>
          <w:tcPr>
            <w:tcW w:type="dxa" w:w="42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Document proof of identity and work authorization. Keep 3+ years.</w:t>
            </w:r>
          </w:p>
        </w:tc>
        <w:tc>
          <w:tcPr>
            <w:tcW w:type="dxa" w:w="136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Within 3 days</w:t>
            </w:r>
          </w:p>
        </w:tc>
      </w:tr>
      <w:tr>
        <w:tc>
          <w:tcPr>
            <w:tcW w:type="dxa" w:w="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W-4 Forms</w:t>
            </w:r>
          </w:p>
        </w:tc>
        <w:tc>
          <w:tcPr>
            <w:tcW w:type="dxa" w:w="4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Federal income tax withholding form. Required before first paycheck.</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Before 1st check</w:t>
            </w:r>
          </w:p>
        </w:tc>
      </w:tr>
      <w:tr>
        <w:tc>
          <w:tcPr>
            <w:tcW w:type="dxa" w:w="3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
            </w:r>
          </w:p>
        </w:tc>
        <w:tc>
          <w:tcPr>
            <w:tcW w:type="dxa" w:w="15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New Hire Reporting</w:t>
            </w:r>
          </w:p>
        </w:tc>
        <w:tc>
          <w:tcPr>
            <w:tcW w:type="dxa" w:w="42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Report to state within 20 days. Tracks child support and fraud.</w:t>
            </w:r>
          </w:p>
        </w:tc>
        <w:tc>
          <w:tcPr>
            <w:tcW w:type="dxa" w:w="136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Within 20 days</w:t>
            </w:r>
          </w:p>
        </w:tc>
      </w:tr>
      <w:tr>
        <w:tc>
          <w:tcPr>
            <w:tcW w:type="dxa" w:w="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Unemployment Insurance</w:t>
            </w:r>
          </w:p>
        </w:tc>
        <w:tc>
          <w:tcPr>
            <w:tcW w:type="dxa" w:w="4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State requirement. Covers employee layoff claims.</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Before hiring</w:t>
            </w:r>
          </w:p>
        </w:tc>
      </w:tr>
      <w:tr>
        <w:tc>
          <w:tcPr>
            <w:tcW w:type="dxa" w:w="3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
            </w:r>
          </w:p>
        </w:tc>
        <w:tc>
          <w:tcPr>
            <w:tcW w:type="dxa" w:w="15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Payroll System</w:t>
            </w:r>
          </w:p>
        </w:tc>
        <w:tc>
          <w:tcPr>
            <w:tcW w:type="dxa" w:w="420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Use ADP, QuickBooks, or certified processor. Never pay cash under-table.</w:t>
            </w:r>
          </w:p>
        </w:tc>
        <w:tc>
          <w:tcPr>
            <w:tcW w:type="dxa" w:w="1360"/>
            <w:tcBorders>
              <w:top w:val="single" w:color="CCCCCC" w:sz="6"/>
              <w:left w:val="single" w:color="CCCCCC" w:sz="6"/>
              <w:bottom w:val="single" w:color="CCCCCC" w:sz="6"/>
              <w:right w:val="single" w:color="CCCCCC" w:sz="6"/>
            </w:tcBorders>
            <w:shd w:fill="F5F1EB"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Before hiring</w:t>
            </w:r>
          </w:p>
        </w:tc>
      </w:tr>
      <w:tr>
        <w:tc>
          <w:tcPr>
            <w:tcW w:type="dxa" w:w="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Wage/Hour Compliance</w:t>
            </w:r>
          </w:p>
        </w:tc>
        <w:tc>
          <w:tcPr>
            <w:tcW w:type="dxa" w:w="4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Federal $7.25/hr; know your state minimum. 1.5x overtime for 40+ hrs.</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spacing w:line="240" w:lineRule="auto"/>
              <w:jc w:val="left"/>
            </w:pPr>
            <w:r>
              <w:rPr>
                <w:rFonts w:ascii="Arial" w:cs="Arial" w:eastAsia="Arial" w:hAnsi="Arial"/>
                <w:b w:val="false"/>
                <w:bCs w:val="false"/>
                <w:color w:val="1C1209"/>
                <w:sz w:val="20"/>
                <w:szCs w:val="20"/>
              </w:rPr>
              <w:t xml:space="preserve">Before hiring</w:t>
            </w:r>
          </w:p>
        </w:tc>
      </w:tr>
    </w:tbl>
    <w:p>
      <w:pPr>
        <w:spacing w:after="200"/>
      </w:pPr>
      <w:r>
        <w:t xml:space="preserve"/>
      </w:r>
    </w:p>
    <w:p>
      <w:pPr>
        <w:spacing w:after="80" w:line="240" w:lineRule="auto"/>
      </w:pPr>
      <w:r>
        <w:rPr>
          <w:rFonts w:ascii="Arial" w:cs="Arial" w:eastAsia="Arial" w:hAnsi="Arial"/>
          <w:color w:val="1C1209"/>
          <w:sz w:val="22"/>
          <w:szCs w:val="22"/>
        </w:rPr>
        <w:t xml:space="preserve">Required Workplace Policies:</w:t>
      </w:r>
    </w:p>
    <w:p>
      <w:pPr>
        <w:spacing w:after="80" w:line="240" w:lineRule="auto"/>
      </w:pPr>
      <w:r>
        <w:rPr>
          <w:rFonts w:ascii="Arial" w:cs="Arial" w:eastAsia="Arial" w:hAnsi="Arial"/>
          <w:color w:val="1C1209"/>
          <w:sz w:val="22"/>
          <w:szCs w:val="22"/>
        </w:rPr>
        <w:t xml:space="preserve">Anti-discrimination &amp; harassment policy</w:t>
      </w:r>
    </w:p>
    <w:p>
      <w:pPr>
        <w:spacing w:after="80" w:line="240" w:lineRule="auto"/>
      </w:pPr>
      <w:r>
        <w:rPr>
          <w:rFonts w:ascii="Arial" w:cs="Arial" w:eastAsia="Arial" w:hAnsi="Arial"/>
          <w:color w:val="1C1209"/>
          <w:sz w:val="22"/>
          <w:szCs w:val="22"/>
        </w:rPr>
        <w:t xml:space="preserve">Wage and hour policies (minimum wage, overtime, breaks)</w:t>
      </w:r>
    </w:p>
    <w:p>
      <w:pPr>
        <w:spacing w:after="80" w:line="240" w:lineRule="auto"/>
      </w:pPr>
      <w:r>
        <w:rPr>
          <w:rFonts w:ascii="Arial" w:cs="Arial" w:eastAsia="Arial" w:hAnsi="Arial"/>
          <w:color w:val="1C1209"/>
          <w:sz w:val="22"/>
          <w:szCs w:val="22"/>
        </w:rPr>
        <w:t xml:space="preserve">Attendance and time-off policy</w:t>
      </w:r>
    </w:p>
    <w:p>
      <w:pPr>
        <w:spacing w:after="80" w:line="240" w:lineRule="auto"/>
      </w:pPr>
      <w:r>
        <w:rPr>
          <w:rFonts w:ascii="Arial" w:cs="Arial" w:eastAsia="Arial" w:hAnsi="Arial"/>
          <w:color w:val="1C1209"/>
          <w:sz w:val="22"/>
          <w:szCs w:val="22"/>
        </w:rPr>
        <w:t xml:space="preserve">Dress code and confidentiality policy</w:t>
      </w:r>
    </w:p>
    <w:p>
      <w:pPr>
        <w:spacing w:after="80" w:line="240" w:lineRule="auto"/>
      </w:pPr>
      <w:r>
        <w:rPr>
          <w:rFonts w:ascii="Arial" w:cs="Arial" w:eastAsia="Arial" w:hAnsi="Arial"/>
          <w:color w:val="1C1209"/>
          <w:sz w:val="22"/>
          <w:szCs w:val="22"/>
        </w:rPr>
        <w:t xml:space="preserve">Health and safety policy (OSHA compliance)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7A4E" w:sz="12"/>
              <w:left w:val="single" w:color="5C7A4E" w:sz="12"/>
              <w:bottom w:val="single" w:color="5C7A4E" w:sz="12"/>
              <w:right w:val="single" w:color="5C7A4E" w:sz="12"/>
            </w:tcBorders>
            <w:shd w:fill="F0F5F0" w:val="clear"/>
            <w:tcMar>
              <w:top w:type="dxa" w:w="100"/>
              <w:left w:type="dxa" w:w="100"/>
              <w:bottom w:type="dxa" w:w="100"/>
              <w:right w:type="dxa" w:w="100"/>
            </w:tcMar>
          </w:tcPr>
          <w:p>
            <w:pPr>
              <w:spacing w:after="80"/>
            </w:pPr>
            <w:r>
              <w:rPr>
                <w:rFonts w:ascii="Arial" w:cs="Arial" w:eastAsia="Arial" w:hAnsi="Arial"/>
                <w:b/>
                <w:bCs/>
                <w:color w:val="5C7A4E"/>
                <w:sz w:val="24"/>
                <w:szCs w:val="24"/>
              </w:rPr>
              <w:t xml:space="preserve">Pro Tip</w:t>
            </w:r>
          </w:p>
          <w:p>
            <w:pPr>
              <w:spacing w:line="240" w:lineRule="auto"/>
            </w:pPr>
            <w:r>
              <w:rPr>
                <w:rFonts w:ascii="Arial" w:cs="Arial" w:eastAsia="Arial" w:hAnsi="Arial"/>
                <w:color w:val="1C1209"/>
                <w:sz w:val="20"/>
                <w:szCs w:val="20"/>
              </w:rPr>
              <w:t xml:space="preserve">Use HR software (BambooHR, Workable) for $30–100/month to manage employment documents and compliance. Saves thousands in potential violations.</w:t>
            </w:r>
          </w:p>
        </w:tc>
      </w:tr>
    </w:tbl>
    <w:p>
      <w:r>
        <w:br w:type="page"/>
      </w:r>
    </w:p>
    <w:p>
      <w:pPr>
        <w:pStyle w:val="Heading1"/>
        <w:spacing w:after="120" w:before="240"/>
        <w:outlineLvl w:val="0"/>
      </w:pPr>
      <w:r>
        <w:rPr>
          <w:rFonts w:ascii="Arial" w:cs="Arial" w:eastAsia="Arial" w:hAnsi="Arial"/>
          <w:b/>
          <w:bCs/>
          <w:color w:val="C4612A"/>
          <w:sz w:val="32"/>
          <w:szCs w:val="32"/>
        </w:rPr>
        <w:t xml:space="preserve">Section 7: Ongoing Compliance Calendar</w:t>
      </w:r>
    </w:p>
    <w:p>
      <w:pPr>
        <w:spacing w:after="200" w:line="240" w:lineRule="auto"/>
      </w:pPr>
      <w:r>
        <w:rPr>
          <w:rFonts w:ascii="Arial" w:cs="Arial" w:eastAsia="Arial" w:hAnsi="Arial"/>
          <w:color w:val="1C1209"/>
          <w:sz w:val="22"/>
          <w:szCs w:val="22"/>
        </w:rPr>
        <w:t xml:space="preserve">Legal compliance doesn't stop after opening day. Build these recurring tasks into your business operations.</w:t>
      </w:r>
    </w:p>
    <w:p>
      <w:pPr>
        <w:pStyle w:val="Heading2"/>
        <w:spacing w:after="100" w:before="180"/>
        <w:outlineLvl w:val="1"/>
      </w:pPr>
      <w:r>
        <w:rPr>
          <w:rFonts w:ascii="Arial" w:cs="Arial" w:eastAsia="Arial" w:hAnsi="Arial"/>
          <w:b/>
          <w:bCs/>
          <w:color w:val="5C7A4E"/>
          <w:sz w:val="28"/>
          <w:szCs w:val="28"/>
        </w:rPr>
        <w:t xml:space="preserve">Monthly Tasks</w:t>
      </w:r>
    </w:p>
    <w:p>
      <w:pPr>
        <w:spacing w:after="80" w:line="240" w:lineRule="auto"/>
      </w:pPr>
      <w:r>
        <w:rPr>
          <w:rFonts w:ascii="Arial" w:cs="Arial" w:eastAsia="Arial" w:hAnsi="Arial"/>
          <w:color w:val="1C1209"/>
          <w:sz w:val="22"/>
          <w:szCs w:val="22"/>
        </w:rPr>
        <w:t xml:space="preserve">Verify payroll accuracy and tax deposits</w:t>
      </w:r>
    </w:p>
    <w:p>
      <w:pPr>
        <w:spacing w:after="80" w:line="240" w:lineRule="auto"/>
      </w:pPr>
      <w:r>
        <w:rPr>
          <w:rFonts w:ascii="Arial" w:cs="Arial" w:eastAsia="Arial" w:hAnsi="Arial"/>
          <w:color w:val="1C1209"/>
          <w:sz w:val="22"/>
          <w:szCs w:val="22"/>
        </w:rPr>
        <w:t xml:space="preserve">Check and log refrigerator/freezer temperatures</w:t>
      </w:r>
    </w:p>
    <w:p>
      <w:pPr>
        <w:spacing w:after="80" w:line="240" w:lineRule="auto"/>
      </w:pPr>
      <w:r>
        <w:rPr>
          <w:rFonts w:ascii="Arial" w:cs="Arial" w:eastAsia="Arial" w:hAnsi="Arial"/>
          <w:color w:val="1C1209"/>
          <w:sz w:val="22"/>
          <w:szCs w:val="22"/>
        </w:rPr>
        <w:t xml:space="preserve">Verify staff tip reporting and distribution</w:t>
      </w:r>
    </w:p>
    <w:p>
      <w:pPr>
        <w:spacing w:after="80" w:line="240" w:lineRule="auto"/>
      </w:pPr>
      <w:r>
        <w:rPr>
          <w:rFonts w:ascii="Arial" w:cs="Arial" w:eastAsia="Arial" w:hAnsi="Arial"/>
          <w:color w:val="1C1209"/>
          <w:sz w:val="22"/>
          <w:szCs w:val="22"/>
        </w:rPr>
        <w:t xml:space="preserve">Review food safety and cleaning logs</w:t>
      </w:r>
    </w:p>
    <w:p>
      <w:pPr>
        <w:spacing w:after="200"/>
      </w:pPr>
      <w:r>
        <w:t xml:space="preserve"/>
      </w:r>
    </w:p>
    <w:p>
      <w:pPr>
        <w:pStyle w:val="Heading2"/>
        <w:spacing w:after="100" w:before="180"/>
        <w:outlineLvl w:val="1"/>
      </w:pPr>
      <w:r>
        <w:rPr>
          <w:rFonts w:ascii="Arial" w:cs="Arial" w:eastAsia="Arial" w:hAnsi="Arial"/>
          <w:b/>
          <w:bCs/>
          <w:color w:val="5C7A4E"/>
          <w:sz w:val="28"/>
          <w:szCs w:val="28"/>
        </w:rPr>
        <w:t xml:space="preserve">Quarterly Tasks</w:t>
      </w:r>
    </w:p>
    <w:p>
      <w:pPr>
        <w:spacing w:after="80" w:line="240" w:lineRule="auto"/>
      </w:pPr>
      <w:r>
        <w:rPr>
          <w:rFonts w:ascii="Arial" w:cs="Arial" w:eastAsia="Arial" w:hAnsi="Arial"/>
          <w:color w:val="1C1209"/>
          <w:sz w:val="22"/>
          <w:szCs w:val="22"/>
        </w:rPr>
        <w:t xml:space="preserve">File payroll taxes (federal 941, state quarterly)</w:t>
      </w:r>
    </w:p>
    <w:p>
      <w:pPr>
        <w:spacing w:after="80" w:line="240" w:lineRule="auto"/>
      </w:pPr>
      <w:r>
        <w:rPr>
          <w:rFonts w:ascii="Arial" w:cs="Arial" w:eastAsia="Arial" w:hAnsi="Arial"/>
          <w:color w:val="1C1209"/>
          <w:sz w:val="22"/>
          <w:szCs w:val="22"/>
        </w:rPr>
        <w:t xml:space="preserve">Deposit FICA taxes (due 15 days after quarter end)</w:t>
      </w:r>
    </w:p>
    <w:p>
      <w:pPr>
        <w:spacing w:after="80" w:line="240" w:lineRule="auto"/>
      </w:pPr>
      <w:r>
        <w:rPr>
          <w:rFonts w:ascii="Arial" w:cs="Arial" w:eastAsia="Arial" w:hAnsi="Arial"/>
          <w:color w:val="1C1209"/>
          <w:sz w:val="22"/>
          <w:szCs w:val="22"/>
        </w:rPr>
        <w:t xml:space="preserve">File sales/use tax returns</w:t>
      </w:r>
    </w:p>
    <w:p>
      <w:pPr>
        <w:spacing w:after="80" w:line="240" w:lineRule="auto"/>
      </w:pPr>
      <w:r>
        <w:rPr>
          <w:rFonts w:ascii="Arial" w:cs="Arial" w:eastAsia="Arial" w:hAnsi="Arial"/>
          <w:color w:val="1C1209"/>
          <w:sz w:val="22"/>
          <w:szCs w:val="22"/>
        </w:rPr>
        <w:t xml:space="preserve">Review insurance coverage with broker</w:t>
      </w:r>
    </w:p>
    <w:p>
      <w:pPr>
        <w:spacing w:after="200"/>
      </w:pPr>
      <w:r>
        <w:t xml:space="preserve"/>
      </w:r>
    </w:p>
    <w:p>
      <w:pPr>
        <w:pStyle w:val="Heading2"/>
        <w:spacing w:after="100" w:before="180"/>
        <w:outlineLvl w:val="1"/>
      </w:pPr>
      <w:r>
        <w:rPr>
          <w:rFonts w:ascii="Arial" w:cs="Arial" w:eastAsia="Arial" w:hAnsi="Arial"/>
          <w:b/>
          <w:bCs/>
          <w:color w:val="5C7A4E"/>
          <w:sz w:val="28"/>
          <w:szCs w:val="28"/>
        </w:rPr>
        <w:t xml:space="preserve">Annual Tasks</w:t>
      </w:r>
    </w:p>
    <w:p>
      <w:pPr>
        <w:spacing w:after="80" w:line="240" w:lineRule="auto"/>
      </w:pPr>
      <w:r>
        <w:rPr>
          <w:rFonts w:ascii="Arial" w:cs="Arial" w:eastAsia="Arial" w:hAnsi="Arial"/>
          <w:color w:val="1C1209"/>
          <w:sz w:val="22"/>
          <w:szCs w:val="22"/>
        </w:rPr>
        <w:t xml:space="preserve">File corporate income tax return and W-2s/1099s</w:t>
      </w:r>
    </w:p>
    <w:p>
      <w:pPr>
        <w:spacing w:after="80" w:line="240" w:lineRule="auto"/>
      </w:pPr>
      <w:r>
        <w:rPr>
          <w:rFonts w:ascii="Arial" w:cs="Arial" w:eastAsia="Arial" w:hAnsi="Arial"/>
          <w:color w:val="1C1209"/>
          <w:sz w:val="22"/>
          <w:szCs w:val="22"/>
        </w:rPr>
        <w:t xml:space="preserve">Renew all business licenses and permits</w:t>
      </w:r>
    </w:p>
    <w:p>
      <w:pPr>
        <w:spacing w:after="80" w:line="240" w:lineRule="auto"/>
      </w:pPr>
      <w:r>
        <w:rPr>
          <w:rFonts w:ascii="Arial" w:cs="Arial" w:eastAsia="Arial" w:hAnsi="Arial"/>
          <w:color w:val="1C1209"/>
          <w:sz w:val="22"/>
          <w:szCs w:val="22"/>
        </w:rPr>
        <w:t xml:space="preserve">Renew food service licenses and music licenses</w:t>
      </w:r>
    </w:p>
    <w:p>
      <w:pPr>
        <w:spacing w:after="80" w:line="240" w:lineRule="auto"/>
      </w:pPr>
      <w:r>
        <w:rPr>
          <w:rFonts w:ascii="Arial" w:cs="Arial" w:eastAsia="Arial" w:hAnsi="Arial"/>
          <w:color w:val="1C1209"/>
          <w:sz w:val="22"/>
          <w:szCs w:val="22"/>
        </w:rPr>
        <w:t xml:space="preserve">Renew business insurance policies</w:t>
      </w:r>
    </w:p>
    <w:p>
      <w:pPr>
        <w:spacing w:after="80" w:line="240" w:lineRule="auto"/>
      </w:pPr>
      <w:r>
        <w:rPr>
          <w:rFonts w:ascii="Arial" w:cs="Arial" w:eastAsia="Arial" w:hAnsi="Arial"/>
          <w:color w:val="1C1209"/>
          <w:sz w:val="22"/>
          <w:szCs w:val="22"/>
        </w:rPr>
        <w:t xml:space="preserve">Conduct health department inspection</w:t>
      </w:r>
    </w:p>
    <w:p>
      <w:pPr>
        <w:spacing w:after="80" w:line="240" w:lineRule="auto"/>
      </w:pPr>
      <w:r>
        <w:rPr>
          <w:rFonts w:ascii="Arial" w:cs="Arial" w:eastAsia="Arial" w:hAnsi="Arial"/>
          <w:color w:val="1C1209"/>
          <w:sz w:val="22"/>
          <w:szCs w:val="22"/>
        </w:rPr>
        <w:t xml:space="preserve">Audit employee files for I-9 compliance</w:t>
      </w:r>
    </w:p>
    <w:p>
      <w:pPr>
        <w:spacing w:after="200"/>
      </w:pPr>
      <w:r>
        <w:t xml:space="preserve"/>
      </w:r>
    </w:p>
    <w:p>
      <w:pPr>
        <w:pStyle w:val="Heading2"/>
        <w:spacing w:after="100" w:before="180"/>
        <w:outlineLvl w:val="1"/>
      </w:pPr>
      <w:r>
        <w:rPr>
          <w:rFonts w:ascii="Arial" w:cs="Arial" w:eastAsia="Arial" w:hAnsi="Arial"/>
          <w:b/>
          <w:bCs/>
          <w:color w:val="5C7A4E"/>
          <w:sz w:val="28"/>
          <w:szCs w:val="28"/>
        </w:rPr>
        <w:t xml:space="preserve">Record-Keeping Requirements</w:t>
      </w:r>
    </w:p>
    <w:p>
      <w:pPr>
        <w:spacing w:after="80" w:line="240" w:lineRule="auto"/>
      </w:pPr>
      <w:r>
        <w:rPr>
          <w:rFonts w:ascii="Arial" w:cs="Arial" w:eastAsia="Arial" w:hAnsi="Arial"/>
          <w:color w:val="1C1209"/>
          <w:sz w:val="22"/>
          <w:szCs w:val="22"/>
        </w:rPr>
        <w:t xml:space="preserve">Payroll &amp; Tax Records: Keep 3–7 years</w:t>
      </w:r>
    </w:p>
    <w:p>
      <w:pPr>
        <w:spacing w:after="80" w:line="240" w:lineRule="auto"/>
      </w:pPr>
      <w:r>
        <w:rPr>
          <w:rFonts w:ascii="Arial" w:cs="Arial" w:eastAsia="Arial" w:hAnsi="Arial"/>
          <w:color w:val="1C1209"/>
          <w:sz w:val="22"/>
          <w:szCs w:val="22"/>
        </w:rPr>
        <w:t xml:space="preserve">Tax Filings: Keep permanently</w:t>
      </w:r>
    </w:p>
    <w:p>
      <w:pPr>
        <w:spacing w:after="80" w:line="240" w:lineRule="auto"/>
      </w:pPr>
      <w:r>
        <w:rPr>
          <w:rFonts w:ascii="Arial" w:cs="Arial" w:eastAsia="Arial" w:hAnsi="Arial"/>
          <w:color w:val="1C1209"/>
          <w:sz w:val="22"/>
          <w:szCs w:val="22"/>
        </w:rPr>
        <w:t xml:space="preserve">Health Inspection Reports: Keep 3 years</w:t>
      </w:r>
    </w:p>
    <w:p>
      <w:pPr>
        <w:spacing w:after="80" w:line="240" w:lineRule="auto"/>
      </w:pPr>
      <w:r>
        <w:rPr>
          <w:rFonts w:ascii="Arial" w:cs="Arial" w:eastAsia="Arial" w:hAnsi="Arial"/>
          <w:color w:val="1C1209"/>
          <w:sz w:val="22"/>
          <w:szCs w:val="22"/>
        </w:rPr>
        <w:t xml:space="preserve">Food Safety Logs: Keep 3 years</w:t>
      </w:r>
    </w:p>
    <w:p>
      <w:pPr>
        <w:spacing w:after="80" w:line="240" w:lineRule="auto"/>
      </w:pPr>
      <w:r>
        <w:rPr>
          <w:rFonts w:ascii="Arial" w:cs="Arial" w:eastAsia="Arial" w:hAnsi="Arial"/>
          <w:color w:val="1C1209"/>
          <w:sz w:val="22"/>
          <w:szCs w:val="22"/>
        </w:rPr>
        <w:t xml:space="preserve">Employee I-9s/W-4s: Keep 3 years after employment ends</w:t>
      </w:r>
    </w:p>
    <w:p>
      <w:pPr>
        <w:spacing w:after="80" w:line="240" w:lineRule="auto"/>
      </w:pPr>
      <w:r>
        <w:rPr>
          <w:rFonts w:ascii="Arial" w:cs="Arial" w:eastAsia="Arial" w:hAnsi="Arial"/>
          <w:color w:val="1C1209"/>
          <w:sz w:val="22"/>
          <w:szCs w:val="22"/>
        </w:rPr>
        <w:t xml:space="preserve">Lease &amp; Contracts: Keep throughout business life</w:t>
      </w:r>
    </w:p>
    <w:p>
      <w:pPr>
        <w:spacing w:after="300"/>
      </w:pPr>
      <w:r>
        <w:t xml:space="preserve"/>
      </w:r>
    </w:p>
    <w:p>
      <w:pPr>
        <w:pStyle w:val="Heading1"/>
        <w:spacing w:after="120" w:before="240"/>
        <w:outlineLvl w:val="0"/>
      </w:pPr>
      <w:r>
        <w:rPr>
          <w:rFonts w:ascii="Arial" w:cs="Arial" w:eastAsia="Arial" w:hAnsi="Arial"/>
          <w:b/>
          <w:bCs/>
          <w:color w:val="C4612A"/>
          <w:sz w:val="32"/>
          <w:szCs w:val="32"/>
        </w:rPr>
        <w:t xml:space="preserve">Next Steps &amp; Professional Support</w:t>
      </w:r>
    </w:p>
    <w:p>
      <w:pPr>
        <w:pStyle w:val="Heading2"/>
        <w:spacing w:after="100" w:before="180"/>
        <w:outlineLvl w:val="1"/>
      </w:pPr>
      <w:r>
        <w:rPr>
          <w:rFonts w:ascii="Arial" w:cs="Arial" w:eastAsia="Arial" w:hAnsi="Arial"/>
          <w:b/>
          <w:bCs/>
          <w:color w:val="5C7A4E"/>
          <w:sz w:val="28"/>
          <w:szCs w:val="28"/>
        </w:rPr>
        <w:t xml:space="preserve">Essential Advisors</w:t>
      </w:r>
    </w:p>
    <w:p>
      <w:pPr>
        <w:spacing w:after="80" w:line="240" w:lineRule="auto"/>
      </w:pPr>
      <w:r>
        <w:rPr>
          <w:rFonts w:ascii="Arial" w:cs="Arial" w:eastAsia="Arial" w:hAnsi="Arial"/>
          <w:color w:val="1C1209"/>
          <w:sz w:val="22"/>
          <w:szCs w:val="22"/>
        </w:rPr>
        <w:t xml:space="preserve">Business Attorney ($2,000–5,000): Entity formation, lease review, employment law</w:t>
      </w:r>
    </w:p>
    <w:p>
      <w:pPr>
        <w:spacing w:after="80" w:line="240" w:lineRule="auto"/>
      </w:pPr>
      <w:r>
        <w:rPr>
          <w:rFonts w:ascii="Arial" w:cs="Arial" w:eastAsia="Arial" w:hAnsi="Arial"/>
          <w:color w:val="1C1209"/>
          <w:sz w:val="22"/>
          <w:szCs w:val="22"/>
        </w:rPr>
        <w:t xml:space="preserve">CPA/Accountant ($1,500–3,000/yr): Tax strategy, payroll, quarterly filing</w:t>
      </w:r>
    </w:p>
    <w:p>
      <w:pPr>
        <w:spacing w:after="80" w:line="240" w:lineRule="auto"/>
      </w:pPr>
      <w:r>
        <w:rPr>
          <w:rFonts w:ascii="Arial" w:cs="Arial" w:eastAsia="Arial" w:hAnsi="Arial"/>
          <w:color w:val="1C1209"/>
          <w:sz w:val="22"/>
          <w:szCs w:val="22"/>
        </w:rPr>
        <w:t xml:space="preserve">Insurance Broker (0 cost): Coverage verification and best rates</w:t>
      </w:r>
    </w:p>
    <w:p>
      <w:pPr>
        <w:spacing w:after="80" w:line="240" w:lineRule="auto"/>
      </w:pPr>
      <w:r>
        <w:rPr>
          <w:rFonts w:ascii="Arial" w:cs="Arial" w:eastAsia="Arial" w:hAnsi="Arial"/>
          <w:color w:val="1C1209"/>
          <w:sz w:val="22"/>
          <w:szCs w:val="22"/>
        </w:rPr>
        <w:t xml:space="preserve">Real Estate Agent: Favorable lease negotiation and zoning verification</w:t>
      </w:r>
    </w:p>
    <w:p>
      <w:pPr>
        <w:spacing w:after="200"/>
      </w:pPr>
      <w:r>
        <w:t xml:space="preserve"/>
      </w:r>
    </w:p>
    <w:p>
      <w:pPr>
        <w:pStyle w:val="Heading2"/>
        <w:spacing w:after="100" w:before="180"/>
        <w:outlineLvl w:val="1"/>
      </w:pPr>
      <w:r>
        <w:rPr>
          <w:rFonts w:ascii="Arial" w:cs="Arial" w:eastAsia="Arial" w:hAnsi="Arial"/>
          <w:b/>
          <w:bCs/>
          <w:color w:val="5C7A4E"/>
          <w:sz w:val="28"/>
          <w:szCs w:val="28"/>
        </w:rPr>
        <w:t xml:space="preserve">Key Government Resources</w:t>
      </w:r>
    </w:p>
    <w:p>
      <w:pPr>
        <w:spacing w:after="80" w:line="240" w:lineRule="auto"/>
      </w:pPr>
      <w:r>
        <w:rPr>
          <w:rFonts w:ascii="Arial" w:cs="Arial" w:eastAsia="Arial" w:hAnsi="Arial"/>
          <w:color w:val="1C1209"/>
          <w:sz w:val="22"/>
          <w:szCs w:val="22"/>
        </w:rPr>
        <w:t xml:space="preserve">IRS (irs.gov): EIN application, tax requirements</w:t>
      </w:r>
    </w:p>
    <w:p>
      <w:pPr>
        <w:spacing w:after="80" w:line="240" w:lineRule="auto"/>
      </w:pPr>
      <w:r>
        <w:rPr>
          <w:rFonts w:ascii="Arial" w:cs="Arial" w:eastAsia="Arial" w:hAnsi="Arial"/>
          <w:color w:val="1C1209"/>
          <w:sz w:val="22"/>
          <w:szCs w:val="22"/>
        </w:rPr>
        <w:t xml:space="preserve">OSHA (osha.gov): Workplace safety, required postings</w:t>
      </w:r>
    </w:p>
    <w:p>
      <w:pPr>
        <w:spacing w:after="80" w:line="240" w:lineRule="auto"/>
      </w:pPr>
      <w:r>
        <w:rPr>
          <w:rFonts w:ascii="Arial" w:cs="Arial" w:eastAsia="Arial" w:hAnsi="Arial"/>
          <w:color w:val="1C1209"/>
          <w:sz w:val="22"/>
          <w:szCs w:val="22"/>
        </w:rPr>
        <w:t xml:space="preserve">State Secretary of State: Business registration</w:t>
      </w:r>
    </w:p>
    <w:p>
      <w:pPr>
        <w:spacing w:after="80" w:line="240" w:lineRule="auto"/>
      </w:pPr>
      <w:r>
        <w:rPr>
          <w:rFonts w:ascii="Arial" w:cs="Arial" w:eastAsia="Arial" w:hAnsi="Arial"/>
          <w:color w:val="1C1209"/>
          <w:sz w:val="22"/>
          <w:szCs w:val="22"/>
        </w:rPr>
        <w:t xml:space="preserve">Local Health Department: Food service permits</w:t>
      </w:r>
    </w:p>
    <w:p>
      <w:pPr>
        <w:spacing w:after="80" w:line="240" w:lineRule="auto"/>
      </w:pPr>
      <w:r>
        <w:rPr>
          <w:rFonts w:ascii="Arial" w:cs="Arial" w:eastAsia="Arial" w:hAnsi="Arial"/>
          <w:color w:val="1C1209"/>
          <w:sz w:val="22"/>
          <w:szCs w:val="22"/>
        </w:rPr>
        <w:t xml:space="preserve">State Labor Department: Wage &amp; hour laws</w:t>
      </w:r>
    </w:p>
    <w:p>
      <w:pPr>
        <w:spacing w:after="300"/>
      </w:pPr>
      <w:r>
        <w:t xml:space="preserve"/>
      </w:r>
    </w:p>
    <w:p>
      <w:pPr>
        <w:pStyle w:val="Heading1"/>
        <w:spacing w:after="120" w:before="240"/>
        <w:outlineLvl w:val="0"/>
      </w:pPr>
      <w:r>
        <w:rPr>
          <w:rFonts w:ascii="Arial" w:cs="Arial" w:eastAsia="Arial" w:hAnsi="Arial"/>
          <w:b/>
          <w:bCs/>
          <w:color w:val="C4612A"/>
          <w:sz w:val="32"/>
          <w:szCs w:val="32"/>
        </w:rPr>
        <w:t xml:space="preserve">You're Ready. Let's Go!</w:t>
      </w:r>
    </w:p>
    <w:p>
      <w:pPr>
        <w:spacing w:line="240" w:lineRule="auto"/>
      </w:pPr>
      <w:r>
        <w:rPr>
          <w:rFonts w:ascii="Arial" w:cs="Arial" w:eastAsia="Arial" w:hAnsi="Arial"/>
          <w:color w:val="1C1209"/>
          <w:sz w:val="22"/>
          <w:szCs w:val="22"/>
        </w:rPr>
        <w:t xml:space="preserve">With this checklist, professional support, and your commitment to compliance, you have everything you need to open your coffee shop the right way. Work systematically through each section and don't skip steps.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1C1209"/>
        <w:sz w:val="20"/>
        <w:szCs w:val="20"/>
      </w:rPr>
      <w:t xml:space="preserve">Page </w:t>
    </w:r>
    <w:r>
      <w:rPr>
        <w:rFonts w:ascii="Arial" w:cs="Arial" w:eastAsia="Arial" w:hAnsi="Arial"/>
        <w:color w:val="1C120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rPr>
        <w:rFonts w:ascii="Arial" w:cs="Arial" w:eastAsia="Arial" w:hAnsi="Arial"/>
        <w:b/>
        <w:bCs/>
        <w:color w:val="C4612A"/>
        <w:sz w:val="22"/>
        <w:szCs w:val="22"/>
      </w:rPr>
      <w:t xml:space="preserve">ROAST LAUNCH ACCELERATOR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20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C4612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5C7A4E"/>
      <w:sz w:val="28"/>
      <w:szCs w:val="28"/>
    </w:rPr>
  </w:style>
  <w:style w:type="paragraph" w:styleId="Heading3">
    <w:name w:val="Heading 3"/>
    <w:basedOn w:val="Normal"/>
    <w:next w:val="Normal"/>
    <w:qFormat/>
    <w:pPr>
      <w:spacing w:after="80" w:before="120"/>
      <w:outlineLvl w:val="2"/>
    </w:pPr>
    <w:rPr>
      <w:rFonts w:ascii="Arial" w:cs="Arial" w:eastAsia="Arial" w:hAnsi="Arial"/>
      <w:b/>
      <w:bCs/>
      <w:color w:val="1C120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2026-03-14T14:58:28.849Z</dcterms:created>
  <dcterms:modified xsi:type="dcterms:W3CDTF">2026-03-14T14:58:28.849Z</dcterms:modified>
</cp:coreProperties>
</file>

<file path=docProps/custom.xml><?xml version="1.0" encoding="utf-8"?>
<Properties xmlns="http://schemas.openxmlformats.org/officeDocument/2006/custom-properties" xmlns:vt="http://schemas.openxmlformats.org/officeDocument/2006/docPropsVTypes"/>
</file>