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Northstar Technologies — Employee Handbook</w:t>
      </w:r>
    </w:p>
    <w:p>
      <w:pPr>
        <w:pStyle w:val="Heading1"/>
        <w:spacing w:after="150" w:before="300"/>
      </w:pPr>
      <w:r>
        <w:t xml:space="preserve">Welcome</w:t>
      </w:r>
    </w:p>
    <w:p>
      <w:pPr>
        <w:spacing w:after="150"/>
      </w:pPr>
      <w:r>
        <w:t xml:space="preserve">This handbook applies to all employees of Northstar Technologies, across our Dubai, Doha, and Riyadh offices. It summarizes company policies, expectations, and the resources available to you. Where this handbook references a specific policy document (such as the Leave Policy or Travel Policy), that document is authoritative for the details.</w:t>
      </w:r>
    </w:p>
    <w:p>
      <w:pPr>
        <w:pStyle w:val="Heading1"/>
        <w:spacing w:after="150" w:before="300"/>
      </w:pPr>
      <w:r>
        <w:t xml:space="preserve">Working Hours</w:t>
      </w:r>
    </w:p>
    <w:p>
      <w:pPr>
        <w:spacing w:after="150"/>
      </w:pPr>
      <w:r>
        <w:t xml:space="preserve">Standard working hours are Sunday through Thursday, 9:00 AM to 6:00 PM, with a one-hour lunch break. Employees in client-facing roles may agree alternate hours with their manager. Core collaboration hours, during which all employees should be reachable, are 11:00 AM to 4:00 PM local time.</w:t>
      </w:r>
    </w:p>
    <w:p>
      <w:pPr>
        <w:pStyle w:val="Heading1"/>
        <w:spacing w:after="150" w:before="300"/>
      </w:pPr>
      <w:r>
        <w:t xml:space="preserve">Code of Conduct</w:t>
      </w:r>
    </w:p>
    <w:p>
      <w:pPr>
        <w:spacing w:after="150"/>
      </w:pPr>
      <w:r>
        <w:t xml:space="preserve">Employees are expected to act with integrity, treat colleagues and clients with respect, and avoid conflicts of interest. Any gift or hospitality valued above AED 500 from a client or vendor must be disclosed to your manager. Harassment or discrimination of any kind will result in disciplinary action, up to and including termination.</w:t>
      </w:r>
    </w:p>
    <w:p>
      <w:pPr>
        <w:pStyle w:val="Heading1"/>
        <w:spacing w:after="150" w:before="300"/>
      </w:pPr>
      <w:r>
        <w:t xml:space="preserve">Remote Work</w:t>
      </w:r>
    </w:p>
    <w:p>
      <w:pPr>
        <w:spacing w:after="150"/>
      </w:pPr>
      <w:r>
        <w:t xml:space="preserve">Employees may work remotely up to two days per week with manager approval. Fully remote arrangements require Head of Department approval and are reviewed every six months. Employees working remotely from outside their home country for more than 10 consecutive working days must notify People Operations in advance for tax and compliance reasons.</w:t>
      </w:r>
    </w:p>
    <w:p>
      <w:pPr>
        <w:pStyle w:val="Heading1"/>
        <w:spacing w:after="150" w:before="300"/>
      </w:pPr>
      <w:r>
        <w:t xml:space="preserve">IT and Security</w:t>
      </w:r>
    </w:p>
    <w:p>
      <w:pPr>
        <w:spacing w:after="150"/>
      </w:pPr>
      <w:r>
        <w:t xml:space="preserve">All company laptops must have disk encryption and the standard endpoint security agent installed before connecting to company systems. Multi-factor authentication is mandatory for email, VPN, and all systems containing client data. Report lost or stolen devices to IT Security within one hour of discovery.</w:t>
      </w:r>
    </w:p>
    <w:p>
      <w:pPr>
        <w:pStyle w:val="Heading1"/>
        <w:spacing w:after="150" w:before="300"/>
      </w:pPr>
      <w:r>
        <w:t xml:space="preserve">Probation and Performance Reviews</w:t>
      </w:r>
    </w:p>
    <w:p>
      <w:pPr>
        <w:spacing w:after="150"/>
      </w:pPr>
      <w:r>
        <w:t xml:space="preserve">New employees serve a 90-day probation period, with a check-in at day 30 and day 60. Formal performance reviews for all employees occur twice a year, in June and December. Compensation changes are typically effective from the January review cycle.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2026-09-01T16:21:15.421Z</dcterms:created>
  <dcterms:modified xsi:type="dcterms:W3CDTF">2026-09-01T16:21:15.422Z</dcterms:modified>
</cp:coreProperties>
</file>

<file path=docProps/custom.xml><?xml version="1.0" encoding="utf-8"?>
<Properties xmlns="http://schemas.openxmlformats.org/officeDocument/2006/custom-properties" xmlns:vt="http://schemas.openxmlformats.org/officeDocument/2006/docPropsVTypes"/>
</file>