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03" w:rsidRDefault="00C72A6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Соглашение о конфиденциальности и неразглашении 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информации</w:t>
      </w: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C72A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</w:t>
      </w:r>
      <w:r>
        <w:rPr>
          <w:rFonts w:ascii="Times New Roman" w:hAnsi="Times New Roman"/>
          <w:sz w:val="24"/>
          <w:szCs w:val="24"/>
          <w:u w:val="single"/>
        </w:rPr>
        <w:t>Москва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«___» ____________20__ г.</w:t>
      </w:r>
    </w:p>
    <w:p w:rsidR="00BF2803" w:rsidRDefault="00C72A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«Информационно-техническое сообщество», именуемое в дальнейшем «ИТС</w:t>
      </w:r>
      <w:r>
        <w:rPr>
          <w:rFonts w:ascii="Times New Roman" w:hAnsi="Times New Roman"/>
          <w:sz w:val="24"/>
          <w:szCs w:val="24"/>
        </w:rPr>
        <w:t xml:space="preserve">», в лице руководителей: Слободенюка Никиты Владимировича, </w:t>
      </w:r>
      <w:r>
        <w:rPr>
          <w:rFonts w:ascii="Times New Roman" w:hAnsi="Times New Roman"/>
          <w:sz w:val="24"/>
          <w:szCs w:val="24"/>
          <w:u w:val="single"/>
        </w:rPr>
        <w:t>Мурашкина Олега Николаевича</w:t>
      </w:r>
      <w:r>
        <w:rPr>
          <w:rFonts w:ascii="Times New Roman" w:hAnsi="Times New Roman"/>
          <w:sz w:val="24"/>
          <w:szCs w:val="24"/>
        </w:rPr>
        <w:t xml:space="preserve">__, действующего на основании </w:t>
      </w:r>
      <w:r>
        <w:rPr>
          <w:rFonts w:ascii="Times New Roman" w:hAnsi="Times New Roman"/>
          <w:sz w:val="24"/>
          <w:szCs w:val="24"/>
          <w:u w:val="single"/>
        </w:rPr>
        <w:t>Положения Информационно-технического сообщества</w:t>
      </w:r>
      <w:r>
        <w:rPr>
          <w:rFonts w:ascii="Times New Roman" w:hAnsi="Times New Roman"/>
          <w:sz w:val="24"/>
          <w:szCs w:val="24"/>
        </w:rPr>
        <w:t>, с одной стороны, и 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_____, именуемый в дальнейшем "Студент", с другой стороны, заключили настоящее соглашение о неразглашении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конфиденциальной информации</w:t>
      </w:r>
      <w:r>
        <w:rPr>
          <w:rFonts w:ascii="Times New Roman" w:hAnsi="Times New Roman"/>
          <w:sz w:val="24"/>
          <w:szCs w:val="24"/>
        </w:rPr>
        <w:t>, далее – «Соглашение», о нижеследующем:</w:t>
      </w:r>
    </w:p>
    <w:p w:rsidR="00BF2803" w:rsidRDefault="00BF2803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BF2803" w:rsidRDefault="00C72A6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Предмет соглашения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Студент принимает на себя обязательство не разглашать </w:t>
      </w:r>
      <w:r>
        <w:rPr>
          <w:rFonts w:ascii="Times New Roman" w:hAnsi="Times New Roman"/>
          <w:sz w:val="24"/>
          <w:szCs w:val="24"/>
        </w:rPr>
        <w:t xml:space="preserve">сведения, составляющие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конфиденциальную информацию </w:t>
      </w:r>
      <w:r>
        <w:rPr>
          <w:rFonts w:ascii="Times New Roman" w:hAnsi="Times New Roman"/>
          <w:sz w:val="24"/>
          <w:szCs w:val="24"/>
        </w:rPr>
        <w:t>ИТС, ставшие известными ему в связи с работой в ИТС.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Под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конфиденциальной информацией</w:t>
      </w:r>
      <w:r>
        <w:rPr>
          <w:rFonts w:ascii="Times New Roman" w:hAnsi="Times New Roman"/>
          <w:sz w:val="24"/>
          <w:szCs w:val="24"/>
        </w:rPr>
        <w:t xml:space="preserve"> в Соглашении понимается любая информация, которая имеет действительную или потенциальную коммерческую ценность в с</w:t>
      </w:r>
      <w:r>
        <w:rPr>
          <w:rFonts w:ascii="Times New Roman" w:hAnsi="Times New Roman"/>
          <w:sz w:val="24"/>
          <w:szCs w:val="24"/>
        </w:rPr>
        <w:t>илу неизвестности ее третьим лицам, к которой нет свободного доступа на законном основании и к сохранению конфиденциальности которой обладатель принимает все возможные меры.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Перечень информации, относящейся к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конфиденциальной информации</w:t>
      </w:r>
      <w:r>
        <w:rPr>
          <w:rFonts w:ascii="Times New Roman" w:hAnsi="Times New Roman"/>
          <w:sz w:val="24"/>
          <w:szCs w:val="24"/>
        </w:rPr>
        <w:t>, определен в П</w:t>
      </w:r>
      <w:r>
        <w:rPr>
          <w:rFonts w:ascii="Times New Roman" w:hAnsi="Times New Roman"/>
          <w:sz w:val="24"/>
          <w:szCs w:val="24"/>
        </w:rPr>
        <w:t xml:space="preserve">риложении 1 о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конфиденциальной информации, составляющей коммерческую тайну</w:t>
      </w:r>
      <w:r>
        <w:rPr>
          <w:rFonts w:ascii="Times New Roman" w:hAnsi="Times New Roman"/>
          <w:sz w:val="24"/>
          <w:szCs w:val="24"/>
        </w:rPr>
        <w:t xml:space="preserve"> в ИТС.</w:t>
      </w: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C72A6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2.Обязанности студента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Студент обязуется не разглашать сведения, составляющие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конфиденциальную информацию</w:t>
      </w:r>
      <w:r>
        <w:rPr>
          <w:rFonts w:ascii="Times New Roman" w:hAnsi="Times New Roman"/>
          <w:sz w:val="24"/>
          <w:szCs w:val="24"/>
        </w:rPr>
        <w:t xml:space="preserve"> ИТС, ставшие ему известными в связи с работой в ИТС, а также з</w:t>
      </w:r>
      <w:r>
        <w:rPr>
          <w:rFonts w:ascii="Times New Roman" w:hAnsi="Times New Roman"/>
          <w:sz w:val="24"/>
          <w:szCs w:val="24"/>
        </w:rPr>
        <w:t>ащищать вышеуказанные сведения от посягательств и попыток их обнародовать третьими лицами.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Студент обязуется использовать сведения, полученные при участии в ИТС, лишь в интересах ИТС.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Студент обязуется после окончания участия в ИТС не использоват</w:t>
      </w:r>
      <w:r>
        <w:rPr>
          <w:rFonts w:ascii="Times New Roman" w:hAnsi="Times New Roman"/>
          <w:sz w:val="24"/>
          <w:szCs w:val="24"/>
        </w:rPr>
        <w:t>ь информацию, полученную в ИТС, в целях конкуренции с другими  секторами.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2.4. Вся информация, составляющая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конфиденциальную информацию</w:t>
      </w:r>
      <w:r>
        <w:rPr>
          <w:rFonts w:ascii="Times New Roman" w:hAnsi="Times New Roman"/>
          <w:sz w:val="24"/>
          <w:szCs w:val="24"/>
        </w:rPr>
        <w:t xml:space="preserve"> и полученная Студентом в материальной (схемы, рисунки, письма, фотографии и пр.) и нематериальной формах, является собст</w:t>
      </w:r>
      <w:r>
        <w:rPr>
          <w:rFonts w:ascii="Times New Roman" w:hAnsi="Times New Roman"/>
          <w:sz w:val="24"/>
          <w:szCs w:val="24"/>
        </w:rPr>
        <w:t>венностью ИТС и используется только на условиях Соглашения.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При прекращении участие в ИТС, Студент обязуется вернуть все сведения, полученные от другой стороны на материальных носителях, а также их копии, в течение одного дня с момента первого требова</w:t>
      </w:r>
      <w:r>
        <w:rPr>
          <w:rFonts w:ascii="Times New Roman" w:hAnsi="Times New Roman"/>
          <w:sz w:val="24"/>
          <w:szCs w:val="24"/>
        </w:rPr>
        <w:t>ния.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 В случае разглашения сведений, составляющих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конфиденциальную информацию</w:t>
      </w:r>
      <w:r>
        <w:rPr>
          <w:rFonts w:ascii="Times New Roman" w:hAnsi="Times New Roman"/>
          <w:sz w:val="24"/>
          <w:szCs w:val="24"/>
        </w:rPr>
        <w:t xml:space="preserve"> по настоящему соглашению, Студент обязан в полном объеме возместить понесенные ИТС в результате такого разглашения убытки, размер которых определяется независимой экспертной </w:t>
      </w:r>
      <w:r>
        <w:rPr>
          <w:rFonts w:ascii="Times New Roman" w:hAnsi="Times New Roman"/>
          <w:sz w:val="24"/>
          <w:szCs w:val="24"/>
        </w:rPr>
        <w:t>комиссией.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2.7. Студент подтверждает, что предупрежден о том, что в соответствии с законодательством РФ разглашение сведений, составляющих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конфиденциальную информацию</w:t>
      </w:r>
      <w:r>
        <w:rPr>
          <w:rFonts w:ascii="Times New Roman" w:hAnsi="Times New Roman"/>
          <w:sz w:val="24"/>
          <w:szCs w:val="24"/>
        </w:rPr>
        <w:t>, может повлечь гражданско-правовую, административную и уголовную ответственность.</w:t>
      </w: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C72A6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Срок действия соглашения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Настоящее соглашение вступает в силу с момента его подписания и действует в течение одного год</w:t>
      </w:r>
      <w:r w:rsidR="007F1FD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 момента прекращения членства в ИТС.</w:t>
      </w: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</w:p>
    <w:p w:rsidR="00BF2803" w:rsidRDefault="00C72A67">
      <w:pPr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Непреодолимая сила (форс-мажорные обстоятельства)</w:t>
      </w:r>
    </w:p>
    <w:p w:rsidR="00BF2803" w:rsidRDefault="00C72A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Стороны освобождаются от ответственности за частичное или полное неисполнение обязательств по настоящему соглашению, если неисполнение явилось следствием природных явлений, действий внешних объективных факторов и прочих обстоятельств непреодолимой сил</w:t>
      </w:r>
      <w:r>
        <w:rPr>
          <w:rFonts w:ascii="Times New Roman" w:hAnsi="Times New Roman"/>
          <w:sz w:val="24"/>
          <w:szCs w:val="24"/>
        </w:rPr>
        <w:t>ы, за которые стороны не отвечают и предотвратить неблагоприятное воздействие которых они не имеют возможности.</w:t>
      </w:r>
    </w:p>
    <w:p w:rsidR="00BF2803" w:rsidRDefault="00BF28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F2803" w:rsidRDefault="00C72A67">
      <w:pPr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Заключительные положения</w:t>
      </w: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 Соглашение заключено в 2-х экземплярах, имеющих одинаковую юридическую силу, по одному экземпляру для каждой С</w:t>
      </w:r>
      <w:r>
        <w:rPr>
          <w:rFonts w:ascii="Times New Roman" w:hAnsi="Times New Roman"/>
          <w:sz w:val="24"/>
          <w:szCs w:val="24"/>
        </w:rPr>
        <w:t xml:space="preserve">тороны. </w:t>
      </w: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 Любая договоренность между Сторонами, влекущая за собой новые обязательства, которые не вытекают из Соглашения, должна быть подтверждена Сторонами в форме дополнительных соглашений к нему. Все изменения и дополнения к Соглашению считаются дей</w:t>
      </w:r>
      <w:r>
        <w:rPr>
          <w:rFonts w:ascii="Times New Roman" w:hAnsi="Times New Roman"/>
          <w:sz w:val="24"/>
          <w:szCs w:val="24"/>
        </w:rPr>
        <w:t>ствительными, если они оформлены в письменном виде и подписаны надлежащими уполномоченными представителями Сторон.</w:t>
      </w: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5.3. Сторона не вправе передавать свои права и обязательства по Соглашению третьим лицам без предварительного письменного согласия другой Сто</w:t>
      </w:r>
      <w:r>
        <w:rPr>
          <w:rFonts w:ascii="Times New Roman" w:hAnsi="Times New Roman"/>
          <w:sz w:val="24"/>
          <w:szCs w:val="24"/>
        </w:rPr>
        <w:t>роны.</w:t>
      </w: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5.4. Стороны соглашаются, что за исключением сведений, которые в соответствии с законодательством Российской Федерации не могут составлять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конфиденциальную информацию</w:t>
      </w:r>
      <w:r>
        <w:rPr>
          <w:rFonts w:ascii="Times New Roman" w:hAnsi="Times New Roman"/>
          <w:sz w:val="24"/>
          <w:szCs w:val="24"/>
        </w:rPr>
        <w:t xml:space="preserve"> юридического лица, содержание Соглашения, а также все документы, переданные Сторона</w:t>
      </w:r>
      <w:r>
        <w:rPr>
          <w:rFonts w:ascii="Times New Roman" w:hAnsi="Times New Roman"/>
          <w:sz w:val="24"/>
          <w:szCs w:val="24"/>
        </w:rPr>
        <w:t>ми друг другу в связи с его заключением, считаются конфиденциальными и относятся к тайне Сторон, которая не подлежит разглашению без письменного согласия другой Стороны.</w:t>
      </w: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5.5. Стороны договорились, что споры и разногласия, которые могут возникнуть между Сто</w:t>
      </w:r>
      <w:r>
        <w:rPr>
          <w:rFonts w:ascii="Times New Roman" w:hAnsi="Times New Roman"/>
          <w:sz w:val="24"/>
          <w:szCs w:val="24"/>
        </w:rPr>
        <w:t>ронами и вытекающие из настоящего соглашения или в связи с ним, будут разрешаться путем переговоров.</w:t>
      </w:r>
    </w:p>
    <w:p w:rsidR="00BF2803" w:rsidRDefault="00BF28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F2803" w:rsidRDefault="00BF28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F2803" w:rsidRDefault="00C72A67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2803">
        <w:tc>
          <w:tcPr>
            <w:tcW w:w="4672" w:type="dxa"/>
          </w:tcPr>
          <w:p w:rsidR="00BF2803" w:rsidRDefault="00C72A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ИТС</w:t>
            </w:r>
          </w:p>
          <w:p w:rsidR="00BF2803" w:rsidRDefault="004B01DD">
            <w:pPr>
              <w:ind w:righ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Лаборатории</w:t>
            </w:r>
            <w:r w:rsidR="00C72A67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____________/Мурашкин О.Н</w:t>
            </w:r>
          </w:p>
          <w:p w:rsidR="00BF2803" w:rsidRDefault="004B01DD">
            <w:pPr>
              <w:ind w:righ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Лаборатории</w:t>
            </w:r>
            <w:r w:rsidR="00C72A6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="00C72A67">
              <w:rPr>
                <w:rFonts w:ascii="Times New Roman" w:hAnsi="Times New Roman"/>
                <w:sz w:val="24"/>
                <w:szCs w:val="24"/>
              </w:rPr>
              <w:t xml:space="preserve">         ____________/Слободенюк Н.В</w:t>
            </w:r>
          </w:p>
          <w:p w:rsidR="00BF2803" w:rsidRDefault="00C72A67">
            <w:pPr>
              <w:ind w:righ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Техник </w:t>
            </w:r>
            <w:r w:rsidR="004B01DD">
              <w:rPr>
                <w:rFonts w:ascii="Times New Roman" w:hAnsi="Times New Roman"/>
                <w:sz w:val="24"/>
                <w:szCs w:val="24"/>
              </w:rPr>
              <w:br/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____________/Ширшов Д.Д</w:t>
            </w:r>
          </w:p>
          <w:p w:rsidR="00BF2803" w:rsidRDefault="00BF280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:rsidR="00BF2803" w:rsidRDefault="00C72A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Студент        </w:t>
            </w:r>
          </w:p>
          <w:p w:rsidR="00BF2803" w:rsidRDefault="00C72A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___________/                                 /</w:t>
            </w:r>
          </w:p>
          <w:p w:rsidR="00BF2803" w:rsidRDefault="00BF280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F2803">
        <w:tc>
          <w:tcPr>
            <w:tcW w:w="4672" w:type="dxa"/>
          </w:tcPr>
          <w:p w:rsidR="00BF2803" w:rsidRDefault="00BF28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F2803" w:rsidRDefault="00BF28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2803" w:rsidRDefault="00BF2803">
      <w:pPr>
        <w:rPr>
          <w:rFonts w:ascii="Times New Roman" w:hAnsi="Times New Roman"/>
          <w:b/>
          <w:sz w:val="24"/>
          <w:szCs w:val="24"/>
        </w:rPr>
      </w:pPr>
    </w:p>
    <w:p w:rsidR="00BF2803" w:rsidRDefault="00BF2803">
      <w:pPr>
        <w:rPr>
          <w:rFonts w:ascii="Times New Roman" w:hAnsi="Times New Roman"/>
          <w:b/>
          <w:sz w:val="24"/>
          <w:szCs w:val="24"/>
        </w:rPr>
      </w:pPr>
    </w:p>
    <w:p w:rsidR="00BF2803" w:rsidRDefault="00BF2803">
      <w:pPr>
        <w:rPr>
          <w:rFonts w:ascii="Times New Roman" w:hAnsi="Times New Roman"/>
          <w:b/>
          <w:sz w:val="24"/>
          <w:szCs w:val="24"/>
        </w:rPr>
      </w:pPr>
    </w:p>
    <w:p w:rsidR="00BF2803" w:rsidRDefault="00C72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4" w:lineRule="atLeast"/>
      </w:pPr>
      <w:r>
        <w:rPr>
          <w:rFonts w:ascii="Times New Roman" w:hAnsi="Times New Roman"/>
          <w:b/>
          <w:color w:val="000000"/>
          <w:sz w:val="24"/>
        </w:rPr>
        <w:lastRenderedPageBreak/>
        <w:t>Приложение 1</w:t>
      </w:r>
    </w:p>
    <w:p w:rsidR="00BF2803" w:rsidRDefault="00C72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4" w:lineRule="atLeast"/>
      </w:pPr>
      <w:r>
        <w:rPr>
          <w:rFonts w:ascii="Times New Roman" w:hAnsi="Times New Roman"/>
          <w:color w:val="000000"/>
          <w:sz w:val="28"/>
        </w:rPr>
        <w:t xml:space="preserve">Перечень относящийся к </w:t>
      </w:r>
      <w:r>
        <w:rPr>
          <w:rFonts w:ascii="Times New Roman" w:hAnsi="Times New Roman"/>
          <w:color w:val="000000"/>
          <w:sz w:val="28"/>
          <w:highlight w:val="white"/>
        </w:rPr>
        <w:t>конфиденциальной информации</w:t>
      </w:r>
      <w:r>
        <w:rPr>
          <w:rFonts w:ascii="Times New Roman" w:hAnsi="Times New Roman"/>
          <w:color w:val="000000"/>
          <w:sz w:val="28"/>
        </w:rPr>
        <w:t xml:space="preserve"> в ИТС:</w:t>
      </w:r>
    </w:p>
    <w:p w:rsidR="00BF2803" w:rsidRDefault="00C72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4" w:lineRule="atLeast"/>
        <w:jc w:val="right"/>
      </w:pPr>
      <w:r>
        <w:rPr>
          <w:rFonts w:ascii="Times New Roman" w:hAnsi="Times New Roman"/>
          <w:color w:val="000000"/>
          <w:sz w:val="28"/>
        </w:rPr>
        <w:t> 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Проекты утвержденные и согласованные с руководящим составом ИТС не распространяются и не выходят за пределы утвержденного списка состава членов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Распространение персональной информации об участниках и руководящего состава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Распространение информации о проектной деятельности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Распространение сведений об итогах совещания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Распространение об используемом программном обеспечении и компьютер</w:t>
      </w:r>
      <w:r>
        <w:rPr>
          <w:rFonts w:ascii="Times New Roman" w:hAnsi="Times New Roman"/>
          <w:color w:val="000000"/>
          <w:sz w:val="28"/>
        </w:rPr>
        <w:t>ной техники (включая технические характеристики и конфигурацию оборудования), которая используется в деятельности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Разглашение информации о полученных премиальных в ходе деятельности ИТС.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 xml:space="preserve">Разглашение информации, составляющей коммерческую тайну в любой </w:t>
      </w:r>
      <w:r>
        <w:rPr>
          <w:rFonts w:ascii="Times New Roman" w:hAnsi="Times New Roman"/>
          <w:color w:val="000000"/>
          <w:sz w:val="28"/>
        </w:rPr>
        <w:t>возможной форме.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Использовать полученную конфиденциальную информацию в целях конкуренции.</w:t>
      </w:r>
    </w:p>
    <w:p w:rsidR="00BF2803" w:rsidRDefault="00C72A67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64" w:lineRule="atLeast"/>
      </w:pPr>
      <w:r>
        <w:rPr>
          <w:rFonts w:ascii="Times New Roman" w:hAnsi="Times New Roman"/>
          <w:color w:val="000000"/>
          <w:sz w:val="28"/>
        </w:rPr>
        <w:t>Без согласования с руководящим составом публиковать, раскрывать информацию о деятельности ИТС.</w:t>
      </w:r>
    </w:p>
    <w:p w:rsidR="00BF2803" w:rsidRDefault="00C72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</w:pPr>
      <w:r>
        <w:rPr>
          <w:rFonts w:ascii="Times New Roman" w:hAnsi="Times New Roman"/>
          <w:color w:val="000000"/>
          <w:sz w:val="28"/>
        </w:rPr>
        <w:t> </w:t>
      </w:r>
    </w:p>
    <w:sectPr w:rsidR="00BF280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A67" w:rsidRDefault="00C72A67">
      <w:pPr>
        <w:spacing w:after="0" w:line="240" w:lineRule="auto"/>
      </w:pPr>
      <w:r>
        <w:separator/>
      </w:r>
    </w:p>
  </w:endnote>
  <w:endnote w:type="continuationSeparator" w:id="0">
    <w:p w:rsidR="00C72A67" w:rsidRDefault="00C7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A67" w:rsidRDefault="00C72A67">
      <w:pPr>
        <w:spacing w:after="0" w:line="240" w:lineRule="auto"/>
      </w:pPr>
      <w:r>
        <w:separator/>
      </w:r>
    </w:p>
  </w:footnote>
  <w:footnote w:type="continuationSeparator" w:id="0">
    <w:p w:rsidR="00C72A67" w:rsidRDefault="00C7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00024"/>
    <w:multiLevelType w:val="hybridMultilevel"/>
    <w:tmpl w:val="0B74AC3C"/>
    <w:lvl w:ilvl="0" w:tplc="2F927A80">
      <w:start w:val="1"/>
      <w:numFmt w:val="decimal"/>
      <w:lvlText w:val="%1."/>
      <w:lvlJc w:val="left"/>
    </w:lvl>
    <w:lvl w:ilvl="1" w:tplc="EA6E3918">
      <w:start w:val="1"/>
      <w:numFmt w:val="lowerLetter"/>
      <w:lvlText w:val="%2."/>
      <w:lvlJc w:val="left"/>
      <w:pPr>
        <w:ind w:left="1440" w:hanging="360"/>
      </w:pPr>
    </w:lvl>
    <w:lvl w:ilvl="2" w:tplc="9FFE716E">
      <w:start w:val="1"/>
      <w:numFmt w:val="lowerRoman"/>
      <w:lvlText w:val="%3."/>
      <w:lvlJc w:val="right"/>
      <w:pPr>
        <w:ind w:left="2160" w:hanging="180"/>
      </w:pPr>
    </w:lvl>
    <w:lvl w:ilvl="3" w:tplc="FEF49472">
      <w:start w:val="1"/>
      <w:numFmt w:val="decimal"/>
      <w:lvlText w:val="%4."/>
      <w:lvlJc w:val="left"/>
      <w:pPr>
        <w:ind w:left="2880" w:hanging="360"/>
      </w:pPr>
    </w:lvl>
    <w:lvl w:ilvl="4" w:tplc="3F1C8EAA">
      <w:start w:val="1"/>
      <w:numFmt w:val="lowerLetter"/>
      <w:lvlText w:val="%5."/>
      <w:lvlJc w:val="left"/>
      <w:pPr>
        <w:ind w:left="3600" w:hanging="360"/>
      </w:pPr>
    </w:lvl>
    <w:lvl w:ilvl="5" w:tplc="AC248A5A">
      <w:start w:val="1"/>
      <w:numFmt w:val="lowerRoman"/>
      <w:lvlText w:val="%6."/>
      <w:lvlJc w:val="right"/>
      <w:pPr>
        <w:ind w:left="4320" w:hanging="180"/>
      </w:pPr>
    </w:lvl>
    <w:lvl w:ilvl="6" w:tplc="24AE88E0">
      <w:start w:val="1"/>
      <w:numFmt w:val="decimal"/>
      <w:lvlText w:val="%7."/>
      <w:lvlJc w:val="left"/>
      <w:pPr>
        <w:ind w:left="5040" w:hanging="360"/>
      </w:pPr>
    </w:lvl>
    <w:lvl w:ilvl="7" w:tplc="6F34AC8C">
      <w:start w:val="1"/>
      <w:numFmt w:val="lowerLetter"/>
      <w:lvlText w:val="%8."/>
      <w:lvlJc w:val="left"/>
      <w:pPr>
        <w:ind w:left="5760" w:hanging="360"/>
      </w:pPr>
    </w:lvl>
    <w:lvl w:ilvl="8" w:tplc="F410C4B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83F0F"/>
    <w:multiLevelType w:val="hybridMultilevel"/>
    <w:tmpl w:val="E452E108"/>
    <w:lvl w:ilvl="0" w:tplc="89588502">
      <w:start w:val="1"/>
      <w:numFmt w:val="decimal"/>
      <w:lvlText w:val="%1."/>
      <w:lvlJc w:val="left"/>
      <w:pPr>
        <w:ind w:left="720" w:hanging="360"/>
      </w:pPr>
    </w:lvl>
    <w:lvl w:ilvl="1" w:tplc="251AE2F4">
      <w:start w:val="1"/>
      <w:numFmt w:val="decimal"/>
      <w:lvlText w:val="%2."/>
      <w:lvlJc w:val="left"/>
      <w:pPr>
        <w:ind w:left="1440" w:hanging="360"/>
      </w:pPr>
    </w:lvl>
    <w:lvl w:ilvl="2" w:tplc="682007CC">
      <w:start w:val="1"/>
      <w:numFmt w:val="decimal"/>
      <w:lvlText w:val="%3."/>
      <w:lvlJc w:val="left"/>
      <w:pPr>
        <w:ind w:left="2160" w:hanging="360"/>
      </w:pPr>
    </w:lvl>
    <w:lvl w:ilvl="3" w:tplc="92040CBE">
      <w:start w:val="1"/>
      <w:numFmt w:val="decimal"/>
      <w:lvlText w:val="%4."/>
      <w:lvlJc w:val="left"/>
      <w:pPr>
        <w:ind w:left="2880" w:hanging="360"/>
      </w:pPr>
    </w:lvl>
    <w:lvl w:ilvl="4" w:tplc="22E882E8">
      <w:start w:val="1"/>
      <w:numFmt w:val="decimal"/>
      <w:lvlText w:val="%5."/>
      <w:lvlJc w:val="left"/>
      <w:pPr>
        <w:ind w:left="3600" w:hanging="360"/>
      </w:pPr>
    </w:lvl>
    <w:lvl w:ilvl="5" w:tplc="A8565738">
      <w:start w:val="1"/>
      <w:numFmt w:val="decimal"/>
      <w:lvlText w:val="%6."/>
      <w:lvlJc w:val="left"/>
      <w:pPr>
        <w:ind w:left="4320" w:hanging="360"/>
      </w:pPr>
    </w:lvl>
    <w:lvl w:ilvl="6" w:tplc="731423B2">
      <w:start w:val="1"/>
      <w:numFmt w:val="decimal"/>
      <w:lvlText w:val="%7."/>
      <w:lvlJc w:val="left"/>
      <w:pPr>
        <w:ind w:left="5040" w:hanging="360"/>
      </w:pPr>
    </w:lvl>
    <w:lvl w:ilvl="7" w:tplc="D1762DFC">
      <w:start w:val="1"/>
      <w:numFmt w:val="decimal"/>
      <w:lvlText w:val="%8."/>
      <w:lvlJc w:val="left"/>
      <w:pPr>
        <w:ind w:left="5760" w:hanging="360"/>
      </w:pPr>
    </w:lvl>
    <w:lvl w:ilvl="8" w:tplc="A2FC360E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03"/>
    <w:rsid w:val="004B01DD"/>
    <w:rsid w:val="007F1FD4"/>
    <w:rsid w:val="00BF2803"/>
    <w:rsid w:val="00C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8341E-5A8F-4D34-B464-979A786B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table" w:styleId="afb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Ильина</dc:creator>
  <cp:keywords/>
  <dc:description/>
  <cp:lastModifiedBy>Nikita</cp:lastModifiedBy>
  <cp:revision>15</cp:revision>
  <dcterms:created xsi:type="dcterms:W3CDTF">2019-04-17T18:09:00Z</dcterms:created>
  <dcterms:modified xsi:type="dcterms:W3CDTF">2023-02-07T08:54:00Z</dcterms:modified>
</cp:coreProperties>
</file>