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DB5" w:rsidRPr="00722DB5" w:rsidRDefault="00722DB5" w:rsidP="00722DB5">
      <w:pPr>
        <w:shd w:val="clear" w:color="auto" w:fill="2D2C2C"/>
        <w:spacing w:before="100" w:beforeAutospacing="1" w:after="100" w:afterAutospacing="1" w:line="240" w:lineRule="auto"/>
        <w:outlineLvl w:val="1"/>
        <w:rPr>
          <w:rFonts w:ascii="Segoe UI" w:eastAsia="Times New Roman" w:hAnsi="Segoe UI" w:cs="Segoe UI"/>
          <w:b/>
          <w:bCs/>
          <w:color w:val="FFFFFF"/>
          <w:sz w:val="36"/>
          <w:szCs w:val="36"/>
          <w:lang w:eastAsia="nl-NL"/>
        </w:rPr>
      </w:pPr>
      <w:r w:rsidRPr="00722DB5">
        <w:rPr>
          <w:rFonts w:ascii="Calibri Light" w:eastAsia="Times New Roman" w:hAnsi="Calibri Light" w:cs="Calibri Light"/>
          <w:b/>
          <w:bCs/>
          <w:color w:val="6888C9"/>
          <w:sz w:val="26"/>
          <w:szCs w:val="26"/>
          <w:lang w:eastAsia="nl-NL"/>
        </w:rPr>
        <w:t>Situatieschets</w:t>
      </w:r>
    </w:p>
    <w:p w:rsidR="00722DB5" w:rsidRPr="00722DB5" w:rsidRDefault="00722DB5" w:rsidP="00722DB5">
      <w:pPr>
        <w:shd w:val="clear" w:color="auto" w:fill="2D2C2C"/>
        <w:spacing w:after="165" w:line="240" w:lineRule="auto"/>
        <w:rPr>
          <w:rFonts w:ascii="Segoe UI" w:eastAsia="Times New Roman" w:hAnsi="Segoe UI" w:cs="Segoe UI"/>
          <w:color w:val="FFFFFF"/>
          <w:sz w:val="21"/>
          <w:szCs w:val="21"/>
          <w:lang w:eastAsia="nl-NL"/>
        </w:rPr>
      </w:pPr>
      <w:r w:rsidRPr="00722DB5">
        <w:rPr>
          <w:rFonts w:ascii="Calibri" w:eastAsia="Times New Roman" w:hAnsi="Calibri" w:cs="Calibri"/>
          <w:color w:val="FFFFFF"/>
          <w:lang w:eastAsia="nl-NL"/>
        </w:rPr>
        <w:t>Er moeten emmers en andere soorten van containers aangemaakt kunnen worden. Deze gaan gevuld en geleegd worden. De meeste emmers hebben een inhoud van 12, maar ze kunnen niet kleiner dan 10 zijn. Een emmer moet in gedeeltes geleegd en gevuld kunnen worden, maar legen kan in een keer gaan. Als een emmer eenmaal is aangemaakt mag deze zelf niet meer aangepast worden. Wanneer bepaalde containers vol zijn moet direct op dat moment een waarschuwing of soms een informatie melding kunnen gegeven gaan worden. Dit kan pas bepaald worden wanneer de emmers gebruikt gaan worden, bij andere emmers hoeft soms niet eens een melding gegeven te worden. Van een emmer moet je kunnen weten hoeveel erin kan en hoeveel erin zit. Omdat de emmers op verschillende manieren gebruikt gaan worden is het van belang dat de inhoud makkelijk bepaald kan worden, bijvoorbeeld bij het aanmaken en tijdens het gebruiken.</w:t>
      </w:r>
    </w:p>
    <w:p w:rsidR="00722DB5" w:rsidRPr="00722DB5" w:rsidRDefault="00722DB5" w:rsidP="00722DB5">
      <w:pPr>
        <w:shd w:val="clear" w:color="auto" w:fill="2D2C2C"/>
        <w:spacing w:before="100" w:beforeAutospacing="1" w:after="100" w:afterAutospacing="1" w:line="240" w:lineRule="auto"/>
        <w:outlineLvl w:val="1"/>
        <w:rPr>
          <w:rFonts w:ascii="Segoe UI" w:eastAsia="Times New Roman" w:hAnsi="Segoe UI" w:cs="Segoe UI"/>
          <w:b/>
          <w:bCs/>
          <w:color w:val="FFFFFF"/>
          <w:sz w:val="36"/>
          <w:szCs w:val="36"/>
          <w:lang w:eastAsia="nl-NL"/>
        </w:rPr>
      </w:pPr>
      <w:r w:rsidRPr="00722DB5">
        <w:rPr>
          <w:rFonts w:ascii="Calibri Light" w:eastAsia="Times New Roman" w:hAnsi="Calibri Light" w:cs="Calibri Light"/>
          <w:b/>
          <w:bCs/>
          <w:color w:val="6888C9"/>
          <w:sz w:val="26"/>
          <w:szCs w:val="26"/>
          <w:lang w:eastAsia="nl-NL"/>
        </w:rPr>
        <w:t>Oefening 1:</w:t>
      </w:r>
    </w:p>
    <w:p w:rsidR="00722DB5" w:rsidRPr="00722DB5" w:rsidRDefault="00722DB5" w:rsidP="00722DB5">
      <w:pPr>
        <w:shd w:val="clear" w:color="auto" w:fill="2D2C2C"/>
        <w:spacing w:after="165" w:line="240" w:lineRule="auto"/>
        <w:rPr>
          <w:rFonts w:ascii="Segoe UI" w:eastAsia="Times New Roman" w:hAnsi="Segoe UI" w:cs="Segoe UI"/>
          <w:color w:val="FFFFFF"/>
          <w:sz w:val="21"/>
          <w:szCs w:val="21"/>
          <w:lang w:eastAsia="nl-NL"/>
        </w:rPr>
      </w:pPr>
      <w:r w:rsidRPr="00722DB5">
        <w:rPr>
          <w:rFonts w:ascii="Calibri" w:eastAsia="Times New Roman" w:hAnsi="Calibri" w:cs="Calibri"/>
          <w:color w:val="FFFFFF"/>
          <w:lang w:eastAsia="nl-NL"/>
        </w:rPr>
        <w:t xml:space="preserve">Vul als hulp eerst onderstaande tabel in om duidelijk te krijgen wat de functionaliteit van de emmer moet worden en schrijf daarna pas de code. Vul de namen in en begin met de </w:t>
      </w:r>
      <w:proofErr w:type="spellStart"/>
      <w:r w:rsidRPr="00722DB5">
        <w:rPr>
          <w:rFonts w:ascii="Calibri" w:eastAsia="Times New Roman" w:hAnsi="Calibri" w:cs="Calibri"/>
          <w:color w:val="FFFFFF"/>
          <w:lang w:eastAsia="nl-NL"/>
        </w:rPr>
        <w:t>properties</w:t>
      </w:r>
      <w:proofErr w:type="spellEnd"/>
      <w:r w:rsidRPr="00722DB5">
        <w:rPr>
          <w:rFonts w:ascii="Calibri" w:eastAsia="Times New Roman" w:hAnsi="Calibri" w:cs="Calibri"/>
          <w:color w:val="FFFFFF"/>
          <w:lang w:eastAsia="nl-NL"/>
        </w:rPr>
        <w:t xml:space="preserve">, dan de </w:t>
      </w:r>
      <w:proofErr w:type="spellStart"/>
      <w:r w:rsidRPr="00722DB5">
        <w:rPr>
          <w:rFonts w:ascii="Calibri" w:eastAsia="Times New Roman" w:hAnsi="Calibri" w:cs="Calibri"/>
          <w:color w:val="FFFFFF"/>
          <w:lang w:eastAsia="nl-NL"/>
        </w:rPr>
        <w:t>constructors</w:t>
      </w:r>
      <w:proofErr w:type="spellEnd"/>
      <w:r w:rsidRPr="00722DB5">
        <w:rPr>
          <w:rFonts w:ascii="Calibri" w:eastAsia="Times New Roman" w:hAnsi="Calibri" w:cs="Calibri"/>
          <w:color w:val="FFFFFF"/>
          <w:lang w:eastAsia="nl-NL"/>
        </w:rPr>
        <w:t xml:space="preserve">, dan de </w:t>
      </w:r>
      <w:proofErr w:type="spellStart"/>
      <w:r w:rsidRPr="00722DB5">
        <w:rPr>
          <w:rFonts w:ascii="Calibri" w:eastAsia="Times New Roman" w:hAnsi="Calibri" w:cs="Calibri"/>
          <w:color w:val="FFFFFF"/>
          <w:lang w:eastAsia="nl-NL"/>
        </w:rPr>
        <w:t>methods</w:t>
      </w:r>
      <w:proofErr w:type="spellEnd"/>
      <w:r w:rsidRPr="00722DB5">
        <w:rPr>
          <w:rFonts w:ascii="Calibri" w:eastAsia="Times New Roman" w:hAnsi="Calibri" w:cs="Calibri"/>
          <w:color w:val="FFFFFF"/>
          <w:lang w:eastAsia="nl-NL"/>
        </w:rPr>
        <w:t xml:space="preserve"> en de events als laatste. Alleen als je niet weet te beginnen met de invulling van deze tabel kun je overleggen met de groep of de trainer. De vertaling naar de code dien je zelfstandig te doen en vraag alleen de trainer om hulp als je niet verder komt.</w:t>
      </w:r>
    </w:p>
    <w:p w:rsidR="00722DB5" w:rsidRPr="00722DB5" w:rsidRDefault="00722DB5" w:rsidP="00722DB5">
      <w:pPr>
        <w:shd w:val="clear" w:color="auto" w:fill="2D2C2C"/>
        <w:spacing w:before="100" w:beforeAutospacing="1" w:after="100" w:afterAutospacing="1" w:line="240" w:lineRule="auto"/>
        <w:outlineLvl w:val="1"/>
        <w:rPr>
          <w:rFonts w:ascii="Segoe UI" w:eastAsia="Times New Roman" w:hAnsi="Segoe UI" w:cs="Segoe UI"/>
          <w:b/>
          <w:bCs/>
          <w:color w:val="FFFFFF"/>
          <w:sz w:val="36"/>
          <w:szCs w:val="36"/>
          <w:lang w:eastAsia="nl-NL"/>
        </w:rPr>
      </w:pPr>
      <w:r w:rsidRPr="00722DB5">
        <w:rPr>
          <w:rFonts w:ascii="Calibri Light" w:eastAsia="Times New Roman" w:hAnsi="Calibri Light" w:cs="Calibri Light"/>
          <w:b/>
          <w:bCs/>
          <w:color w:val="6888C9"/>
          <w:sz w:val="26"/>
          <w:szCs w:val="26"/>
          <w:lang w:eastAsia="nl-NL"/>
        </w:rPr>
        <w:t>Bucket-class-members:</w:t>
      </w:r>
    </w:p>
    <w:tbl>
      <w:tblPr>
        <w:tblStyle w:val="Tabelraster"/>
        <w:tblW w:w="0" w:type="auto"/>
        <w:tblLook w:val="04A0" w:firstRow="1" w:lastRow="0" w:firstColumn="1" w:lastColumn="0" w:noHBand="0" w:noVBand="1"/>
      </w:tblPr>
      <w:tblGrid>
        <w:gridCol w:w="2254"/>
        <w:gridCol w:w="2419"/>
        <w:gridCol w:w="2693"/>
        <w:gridCol w:w="1650"/>
      </w:tblGrid>
      <w:tr w:rsidR="00722DB5" w:rsidTr="00F862A0">
        <w:tc>
          <w:tcPr>
            <w:tcW w:w="2254" w:type="dxa"/>
          </w:tcPr>
          <w:p w:rsidR="00722DB5" w:rsidRPr="00F862A0" w:rsidRDefault="00722DB5">
            <w:pPr>
              <w:rPr>
                <w:b/>
                <w:bCs/>
              </w:rPr>
            </w:pPr>
            <w:proofErr w:type="spellStart"/>
            <w:r w:rsidRPr="00F862A0">
              <w:rPr>
                <w:b/>
                <w:bCs/>
              </w:rPr>
              <w:t>Constructors</w:t>
            </w:r>
            <w:proofErr w:type="spellEnd"/>
          </w:p>
        </w:tc>
        <w:tc>
          <w:tcPr>
            <w:tcW w:w="2419" w:type="dxa"/>
          </w:tcPr>
          <w:p w:rsidR="00722DB5" w:rsidRPr="00F862A0" w:rsidRDefault="00722DB5">
            <w:pPr>
              <w:rPr>
                <w:b/>
                <w:bCs/>
              </w:rPr>
            </w:pPr>
            <w:proofErr w:type="spellStart"/>
            <w:r w:rsidRPr="00F862A0">
              <w:rPr>
                <w:b/>
                <w:bCs/>
              </w:rPr>
              <w:t>Properties</w:t>
            </w:r>
            <w:proofErr w:type="spellEnd"/>
          </w:p>
        </w:tc>
        <w:tc>
          <w:tcPr>
            <w:tcW w:w="2693" w:type="dxa"/>
          </w:tcPr>
          <w:p w:rsidR="00722DB5" w:rsidRPr="00F862A0" w:rsidRDefault="00722DB5">
            <w:pPr>
              <w:rPr>
                <w:b/>
                <w:bCs/>
              </w:rPr>
            </w:pPr>
            <w:proofErr w:type="spellStart"/>
            <w:r w:rsidRPr="00F862A0">
              <w:rPr>
                <w:b/>
                <w:bCs/>
              </w:rPr>
              <w:t>Methods</w:t>
            </w:r>
            <w:proofErr w:type="spellEnd"/>
          </w:p>
        </w:tc>
        <w:tc>
          <w:tcPr>
            <w:tcW w:w="1650" w:type="dxa"/>
          </w:tcPr>
          <w:p w:rsidR="00722DB5" w:rsidRPr="00F862A0" w:rsidRDefault="00722DB5">
            <w:pPr>
              <w:rPr>
                <w:b/>
                <w:bCs/>
              </w:rPr>
            </w:pPr>
            <w:r w:rsidRPr="00F862A0">
              <w:rPr>
                <w:b/>
                <w:bCs/>
              </w:rPr>
              <w:t>Events</w:t>
            </w:r>
          </w:p>
        </w:tc>
      </w:tr>
      <w:tr w:rsidR="00722DB5" w:rsidTr="00F862A0">
        <w:tc>
          <w:tcPr>
            <w:tcW w:w="2254" w:type="dxa"/>
          </w:tcPr>
          <w:p w:rsidR="00722DB5" w:rsidRDefault="0046596A">
            <w:r>
              <w:t>Container</w:t>
            </w:r>
            <w:r w:rsidR="00722DB5">
              <w:t xml:space="preserve">: </w:t>
            </w:r>
            <w:proofErr w:type="spellStart"/>
            <w:r w:rsidR="00722DB5">
              <w:t>parent</w:t>
            </w:r>
            <w:proofErr w:type="spellEnd"/>
            <w:r w:rsidR="00F862A0">
              <w:t>()</w:t>
            </w:r>
          </w:p>
        </w:tc>
        <w:tc>
          <w:tcPr>
            <w:tcW w:w="2419" w:type="dxa"/>
          </w:tcPr>
          <w:p w:rsidR="00722DB5" w:rsidRDefault="00722DB5">
            <w:r>
              <w:t>Int: ID</w:t>
            </w:r>
          </w:p>
        </w:tc>
        <w:tc>
          <w:tcPr>
            <w:tcW w:w="2693" w:type="dxa"/>
          </w:tcPr>
          <w:p w:rsidR="00722DB5" w:rsidRPr="00CA2A65" w:rsidRDefault="00722DB5">
            <w:pPr>
              <w:rPr>
                <w:rFonts w:cstheme="minorHAnsi"/>
              </w:rPr>
            </w:pPr>
            <w:proofErr w:type="spellStart"/>
            <w:r w:rsidRPr="00CA2A65">
              <w:rPr>
                <w:rFonts w:cstheme="minorHAnsi"/>
              </w:rPr>
              <w:t>FillBucket</w:t>
            </w:r>
            <w:proofErr w:type="spellEnd"/>
            <w:r w:rsidR="00F862A0" w:rsidRPr="00CA2A65">
              <w:rPr>
                <w:rFonts w:cstheme="minorHAnsi"/>
              </w:rPr>
              <w:t>(int input</w:t>
            </w:r>
            <w:r w:rsidR="00CA2A65" w:rsidRPr="00CA2A65">
              <w:rPr>
                <w:rFonts w:cstheme="minorHAnsi"/>
              </w:rPr>
              <w:t xml:space="preserve">, </w:t>
            </w:r>
            <w:proofErr w:type="spellStart"/>
            <w:r w:rsidR="00CA2A65" w:rsidRPr="00CA2A65">
              <w:rPr>
                <w:rFonts w:cstheme="minorHAnsi"/>
              </w:rPr>
              <w:t>bool</w:t>
            </w:r>
            <w:proofErr w:type="spellEnd"/>
            <w:r w:rsidR="00CA2A65" w:rsidRPr="00CA2A65">
              <w:rPr>
                <w:rFonts w:cstheme="minorHAnsi"/>
              </w:rPr>
              <w:t xml:space="preserve"> </w:t>
            </w:r>
            <w:proofErr w:type="spellStart"/>
            <w:r w:rsidR="00CA2A65" w:rsidRPr="00CA2A65">
              <w:rPr>
                <w:rFonts w:cstheme="minorHAnsi"/>
              </w:rPr>
              <w:t>warning</w:t>
            </w:r>
            <w:proofErr w:type="spellEnd"/>
            <w:r w:rsidR="00F862A0" w:rsidRPr="00CA2A65">
              <w:rPr>
                <w:rFonts w:cstheme="minorHAnsi"/>
              </w:rPr>
              <w:t>)</w:t>
            </w:r>
          </w:p>
        </w:tc>
        <w:tc>
          <w:tcPr>
            <w:tcW w:w="1650" w:type="dxa"/>
          </w:tcPr>
          <w:p w:rsidR="00722DB5" w:rsidRDefault="006F3712">
            <w:proofErr w:type="spellStart"/>
            <w:r>
              <w:t>BucketFull</w:t>
            </w:r>
            <w:proofErr w:type="spellEnd"/>
          </w:p>
        </w:tc>
      </w:tr>
      <w:tr w:rsidR="00722DB5" w:rsidTr="00F862A0">
        <w:tc>
          <w:tcPr>
            <w:tcW w:w="2254" w:type="dxa"/>
          </w:tcPr>
          <w:p w:rsidR="00722DB5" w:rsidRDefault="0046596A">
            <w:r>
              <w:t>Bucket</w:t>
            </w:r>
            <w:r w:rsidR="00722DB5">
              <w:t xml:space="preserve">: </w:t>
            </w:r>
            <w:proofErr w:type="spellStart"/>
            <w:r w:rsidR="00722DB5">
              <w:t>child</w:t>
            </w:r>
            <w:proofErr w:type="spellEnd"/>
            <w:r w:rsidR="00F862A0">
              <w:t>()</w:t>
            </w:r>
          </w:p>
        </w:tc>
        <w:tc>
          <w:tcPr>
            <w:tcW w:w="2419" w:type="dxa"/>
          </w:tcPr>
          <w:p w:rsidR="00722DB5" w:rsidRDefault="00722DB5">
            <w:proofErr w:type="spellStart"/>
            <w:r>
              <w:t>Enum</w:t>
            </w:r>
            <w:proofErr w:type="spellEnd"/>
            <w:r>
              <w:t>: kind</w:t>
            </w:r>
          </w:p>
        </w:tc>
        <w:tc>
          <w:tcPr>
            <w:tcW w:w="2693" w:type="dxa"/>
          </w:tcPr>
          <w:p w:rsidR="00722DB5" w:rsidRPr="00CA2A65" w:rsidRDefault="00722DB5">
            <w:pPr>
              <w:rPr>
                <w:rFonts w:cstheme="minorHAnsi"/>
              </w:rPr>
            </w:pPr>
            <w:proofErr w:type="spellStart"/>
            <w:r w:rsidRPr="00CA2A65">
              <w:rPr>
                <w:rFonts w:cstheme="minorHAnsi"/>
              </w:rPr>
              <w:t>EmptyBucket</w:t>
            </w:r>
            <w:proofErr w:type="spellEnd"/>
            <w:r w:rsidR="00F862A0" w:rsidRPr="00CA2A65">
              <w:rPr>
                <w:rFonts w:cstheme="minorHAnsi"/>
              </w:rPr>
              <w:t>(</w:t>
            </w:r>
            <w:r w:rsidR="00CA2A65" w:rsidRPr="00CA2A65">
              <w:rPr>
                <w:rFonts w:cstheme="minorHAnsi"/>
              </w:rPr>
              <w:t xml:space="preserve">int </w:t>
            </w:r>
            <w:r w:rsidR="00F862A0" w:rsidRPr="00CA2A65">
              <w:rPr>
                <w:rFonts w:cstheme="minorHAnsi"/>
                <w:color w:val="000000"/>
                <w:sz w:val="19"/>
                <w:szCs w:val="19"/>
              </w:rPr>
              <w:t xml:space="preserve">input, </w:t>
            </w:r>
            <w:proofErr w:type="spellStart"/>
            <w:r w:rsidR="00CA2A65" w:rsidRPr="00CA2A65">
              <w:rPr>
                <w:rFonts w:cstheme="minorHAnsi"/>
                <w:sz w:val="19"/>
                <w:szCs w:val="19"/>
              </w:rPr>
              <w:t>bool</w:t>
            </w:r>
            <w:proofErr w:type="spellEnd"/>
            <w:r w:rsidR="00CA2A65" w:rsidRPr="00CA2A65">
              <w:rPr>
                <w:rFonts w:cstheme="minorHAnsi"/>
                <w:sz w:val="19"/>
                <w:szCs w:val="19"/>
              </w:rPr>
              <w:t xml:space="preserve"> </w:t>
            </w:r>
            <w:proofErr w:type="spellStart"/>
            <w:r w:rsidR="00F862A0" w:rsidRPr="00CA2A65">
              <w:rPr>
                <w:rFonts w:cstheme="minorHAnsi"/>
                <w:color w:val="000000"/>
                <w:sz w:val="19"/>
                <w:szCs w:val="19"/>
              </w:rPr>
              <w:t>partially</w:t>
            </w:r>
            <w:proofErr w:type="spellEnd"/>
            <w:r w:rsidR="00F862A0" w:rsidRPr="00CA2A65">
              <w:rPr>
                <w:rFonts w:cstheme="minorHAnsi"/>
              </w:rPr>
              <w:t>)</w:t>
            </w:r>
          </w:p>
        </w:tc>
        <w:tc>
          <w:tcPr>
            <w:tcW w:w="1650" w:type="dxa"/>
          </w:tcPr>
          <w:p w:rsidR="00722DB5" w:rsidRDefault="00722DB5"/>
        </w:tc>
      </w:tr>
      <w:tr w:rsidR="00722DB5" w:rsidTr="00F862A0">
        <w:tc>
          <w:tcPr>
            <w:tcW w:w="2254" w:type="dxa"/>
          </w:tcPr>
          <w:p w:rsidR="00722DB5" w:rsidRDefault="0055339E">
            <w:r>
              <w:t>Bucket: default()</w:t>
            </w:r>
          </w:p>
        </w:tc>
        <w:tc>
          <w:tcPr>
            <w:tcW w:w="2419" w:type="dxa"/>
          </w:tcPr>
          <w:p w:rsidR="00722DB5" w:rsidRDefault="00722DB5">
            <w:r>
              <w:t xml:space="preserve">Double: </w:t>
            </w:r>
            <w:proofErr w:type="spellStart"/>
            <w:r>
              <w:t>ContentMax</w:t>
            </w:r>
            <w:proofErr w:type="spellEnd"/>
          </w:p>
        </w:tc>
        <w:tc>
          <w:tcPr>
            <w:tcW w:w="2693" w:type="dxa"/>
          </w:tcPr>
          <w:p w:rsidR="00722DB5" w:rsidRPr="00CA2A65" w:rsidRDefault="00F862A0">
            <w:pPr>
              <w:rPr>
                <w:rFonts w:cstheme="minorHAnsi"/>
              </w:rPr>
            </w:pPr>
            <w:proofErr w:type="spellStart"/>
            <w:r w:rsidRPr="00CA2A65">
              <w:rPr>
                <w:rFonts w:cstheme="minorHAnsi"/>
              </w:rPr>
              <w:t>FullBucketWarning</w:t>
            </w:r>
            <w:proofErr w:type="spellEnd"/>
            <w:r w:rsidRPr="00CA2A65">
              <w:rPr>
                <w:rFonts w:cstheme="minorHAnsi"/>
              </w:rPr>
              <w:t>()</w:t>
            </w:r>
          </w:p>
        </w:tc>
        <w:tc>
          <w:tcPr>
            <w:tcW w:w="1650" w:type="dxa"/>
          </w:tcPr>
          <w:p w:rsidR="00722DB5" w:rsidRDefault="00722DB5"/>
        </w:tc>
      </w:tr>
      <w:tr w:rsidR="00722DB5" w:rsidTr="00F862A0">
        <w:tc>
          <w:tcPr>
            <w:tcW w:w="2254" w:type="dxa"/>
          </w:tcPr>
          <w:p w:rsidR="00722DB5" w:rsidRDefault="00722DB5"/>
        </w:tc>
        <w:tc>
          <w:tcPr>
            <w:tcW w:w="2419" w:type="dxa"/>
          </w:tcPr>
          <w:p w:rsidR="00722DB5" w:rsidRDefault="00722DB5">
            <w:r>
              <w:t xml:space="preserve">Double: </w:t>
            </w:r>
            <w:proofErr w:type="spellStart"/>
            <w:r>
              <w:t>ContentMin</w:t>
            </w:r>
            <w:proofErr w:type="spellEnd"/>
          </w:p>
        </w:tc>
        <w:tc>
          <w:tcPr>
            <w:tcW w:w="2693" w:type="dxa"/>
          </w:tcPr>
          <w:p w:rsidR="00722DB5" w:rsidRPr="00CA2A65" w:rsidRDefault="00722DB5">
            <w:pPr>
              <w:rPr>
                <w:rFonts w:cstheme="minorHAnsi"/>
              </w:rPr>
            </w:pPr>
          </w:p>
        </w:tc>
        <w:tc>
          <w:tcPr>
            <w:tcW w:w="1650" w:type="dxa"/>
          </w:tcPr>
          <w:p w:rsidR="00722DB5" w:rsidRDefault="00722DB5"/>
        </w:tc>
      </w:tr>
      <w:tr w:rsidR="00722DB5" w:rsidTr="00F862A0">
        <w:tc>
          <w:tcPr>
            <w:tcW w:w="2254" w:type="dxa"/>
          </w:tcPr>
          <w:p w:rsidR="00722DB5" w:rsidRDefault="00722DB5"/>
        </w:tc>
        <w:tc>
          <w:tcPr>
            <w:tcW w:w="2419" w:type="dxa"/>
          </w:tcPr>
          <w:p w:rsidR="00722DB5" w:rsidRDefault="00722DB5">
            <w:r>
              <w:t xml:space="preserve">Double: </w:t>
            </w:r>
            <w:proofErr w:type="spellStart"/>
            <w:r>
              <w:t>ContentCurrent</w:t>
            </w:r>
            <w:proofErr w:type="spellEnd"/>
          </w:p>
        </w:tc>
        <w:tc>
          <w:tcPr>
            <w:tcW w:w="2693" w:type="dxa"/>
          </w:tcPr>
          <w:p w:rsidR="00722DB5" w:rsidRDefault="00722DB5"/>
        </w:tc>
        <w:tc>
          <w:tcPr>
            <w:tcW w:w="1650" w:type="dxa"/>
          </w:tcPr>
          <w:p w:rsidR="00722DB5" w:rsidRDefault="00722DB5"/>
        </w:tc>
      </w:tr>
      <w:tr w:rsidR="00722DB5" w:rsidTr="00F862A0">
        <w:tc>
          <w:tcPr>
            <w:tcW w:w="2254" w:type="dxa"/>
          </w:tcPr>
          <w:p w:rsidR="00722DB5" w:rsidRDefault="00722DB5"/>
        </w:tc>
        <w:tc>
          <w:tcPr>
            <w:tcW w:w="2419" w:type="dxa"/>
          </w:tcPr>
          <w:p w:rsidR="00722DB5" w:rsidRDefault="0055339E">
            <w:proofErr w:type="spellStart"/>
            <w:r>
              <w:t>Bool</w:t>
            </w:r>
            <w:proofErr w:type="spellEnd"/>
            <w:r>
              <w:t xml:space="preserve">: </w:t>
            </w:r>
            <w:proofErr w:type="spellStart"/>
            <w:r>
              <w:t>warning</w:t>
            </w:r>
            <w:proofErr w:type="spellEnd"/>
          </w:p>
        </w:tc>
        <w:tc>
          <w:tcPr>
            <w:tcW w:w="2693" w:type="dxa"/>
          </w:tcPr>
          <w:p w:rsidR="00722DB5" w:rsidRDefault="00722DB5"/>
        </w:tc>
        <w:tc>
          <w:tcPr>
            <w:tcW w:w="1650" w:type="dxa"/>
          </w:tcPr>
          <w:p w:rsidR="00722DB5" w:rsidRDefault="00722DB5"/>
        </w:tc>
      </w:tr>
    </w:tbl>
    <w:p w:rsidR="00C6414B" w:rsidRDefault="00C6414B"/>
    <w:p w:rsidR="00320DF4" w:rsidRDefault="00320DF4" w:rsidP="00320DF4">
      <w:pPr>
        <w:pStyle w:val="Kop2"/>
        <w:shd w:val="clear" w:color="auto" w:fill="2D2C2C"/>
        <w:rPr>
          <w:rFonts w:ascii="Segoe UI" w:hAnsi="Segoe UI" w:cs="Segoe UI"/>
          <w:color w:val="FFFFFF"/>
        </w:rPr>
      </w:pPr>
      <w:r>
        <w:rPr>
          <w:rFonts w:ascii="Calibri Light" w:hAnsi="Calibri Light" w:cs="Calibri Light"/>
          <w:color w:val="6888C9"/>
          <w:sz w:val="26"/>
          <w:szCs w:val="26"/>
        </w:rPr>
        <w:t>Oefening 2:</w:t>
      </w:r>
    </w:p>
    <w:p w:rsidR="00320DF4" w:rsidRDefault="00320DF4" w:rsidP="00320DF4">
      <w:pPr>
        <w:pStyle w:val="Normaalweb"/>
        <w:shd w:val="clear" w:color="auto" w:fill="2D2C2C"/>
        <w:spacing w:before="0" w:beforeAutospacing="0" w:after="165" w:afterAutospacing="0"/>
        <w:rPr>
          <w:rFonts w:ascii="Segoe UI" w:hAnsi="Segoe UI" w:cs="Segoe UI"/>
          <w:color w:val="FFFFFF"/>
          <w:sz w:val="21"/>
          <w:szCs w:val="21"/>
        </w:rPr>
      </w:pPr>
      <w:r>
        <w:rPr>
          <w:rFonts w:ascii="Calibri" w:hAnsi="Calibri" w:cs="Calibri"/>
          <w:color w:val="FFFFFF"/>
          <w:sz w:val="22"/>
          <w:szCs w:val="22"/>
        </w:rPr>
        <w:t>Zorg ervoor dat alleen een emmer ook gevuld kan worden met de inhoud van een andere emmer.</w:t>
      </w:r>
    </w:p>
    <w:p w:rsidR="00320DF4" w:rsidRDefault="00320DF4" w:rsidP="00320DF4">
      <w:pPr>
        <w:pStyle w:val="Kop2"/>
        <w:shd w:val="clear" w:color="auto" w:fill="2D2C2C"/>
        <w:rPr>
          <w:rFonts w:ascii="Segoe UI" w:hAnsi="Segoe UI" w:cs="Segoe UI"/>
          <w:color w:val="FFFFFF"/>
        </w:rPr>
      </w:pPr>
      <w:r>
        <w:rPr>
          <w:rFonts w:ascii="Calibri Light" w:hAnsi="Calibri Light" w:cs="Calibri Light"/>
          <w:color w:val="6888C9"/>
          <w:sz w:val="26"/>
          <w:szCs w:val="26"/>
        </w:rPr>
        <w:t>Oefening 3:</w:t>
      </w:r>
    </w:p>
    <w:p w:rsidR="00320DF4" w:rsidRDefault="00320DF4" w:rsidP="00320DF4">
      <w:pPr>
        <w:pStyle w:val="Normaalweb"/>
        <w:shd w:val="clear" w:color="auto" w:fill="2D2C2C"/>
        <w:spacing w:before="0" w:beforeAutospacing="0" w:after="165" w:afterAutospacing="0"/>
        <w:rPr>
          <w:rFonts w:ascii="Segoe UI" w:hAnsi="Segoe UI" w:cs="Segoe UI"/>
          <w:color w:val="FFFFFF"/>
          <w:sz w:val="21"/>
          <w:szCs w:val="21"/>
        </w:rPr>
      </w:pPr>
      <w:r>
        <w:rPr>
          <w:rFonts w:ascii="Calibri" w:hAnsi="Calibri" w:cs="Calibri"/>
          <w:color w:val="FFFFFF"/>
          <w:sz w:val="22"/>
          <w:szCs w:val="22"/>
        </w:rPr>
        <w:t>Er moeten ook olievaten gemaakt kunnen worden. Olievaten hebben een vaste afmeting van 159. Regentonnen bestaan in de volgende drie maten: klein 80, middel 120 en groot 160. Deze twee zijn vergelijkbaar met een emmer.</w:t>
      </w:r>
    </w:p>
    <w:p w:rsidR="00320DF4" w:rsidRDefault="00320DF4" w:rsidP="00320DF4">
      <w:pPr>
        <w:pStyle w:val="Kop2"/>
        <w:shd w:val="clear" w:color="auto" w:fill="2D2C2C"/>
        <w:rPr>
          <w:rFonts w:ascii="Segoe UI" w:hAnsi="Segoe UI" w:cs="Segoe UI"/>
          <w:color w:val="FFFFFF"/>
        </w:rPr>
      </w:pPr>
      <w:r>
        <w:rPr>
          <w:rFonts w:ascii="Calibri Light" w:hAnsi="Calibri Light" w:cs="Calibri Light"/>
          <w:color w:val="6888C9"/>
          <w:sz w:val="26"/>
          <w:szCs w:val="26"/>
        </w:rPr>
        <w:t>Oefening 4:</w:t>
      </w:r>
    </w:p>
    <w:p w:rsidR="00320DF4" w:rsidRDefault="00320DF4" w:rsidP="00320DF4">
      <w:pPr>
        <w:pStyle w:val="Normaalweb"/>
        <w:shd w:val="clear" w:color="auto" w:fill="2D2C2C"/>
        <w:spacing w:before="0" w:beforeAutospacing="0" w:after="165" w:afterAutospacing="0"/>
        <w:rPr>
          <w:rFonts w:ascii="Segoe UI" w:hAnsi="Segoe UI" w:cs="Segoe UI"/>
          <w:color w:val="FFFFFF"/>
          <w:sz w:val="21"/>
          <w:szCs w:val="21"/>
        </w:rPr>
      </w:pPr>
      <w:r>
        <w:rPr>
          <w:rFonts w:ascii="Calibri" w:hAnsi="Calibri" w:cs="Calibri"/>
          <w:color w:val="FFFFFF"/>
          <w:sz w:val="22"/>
          <w:szCs w:val="22"/>
        </w:rPr>
        <w:t>Wanneer de emmer overstroomd of gevuld wordt met een te grote hoeveelheid moet de emmer kenbaar kunnen maken hoeveel er naast de emmer is gevallen.</w:t>
      </w:r>
    </w:p>
    <w:p w:rsidR="00320DF4" w:rsidRDefault="00320DF4" w:rsidP="00320DF4">
      <w:pPr>
        <w:pStyle w:val="Kop2"/>
        <w:shd w:val="clear" w:color="auto" w:fill="2D2C2C"/>
        <w:rPr>
          <w:rFonts w:ascii="Segoe UI" w:hAnsi="Segoe UI" w:cs="Segoe UI"/>
          <w:color w:val="FFFFFF"/>
        </w:rPr>
      </w:pPr>
      <w:r>
        <w:rPr>
          <w:rFonts w:ascii="Calibri Light" w:hAnsi="Calibri Light" w:cs="Calibri Light"/>
          <w:color w:val="6888C9"/>
          <w:sz w:val="26"/>
          <w:szCs w:val="26"/>
        </w:rPr>
        <w:lastRenderedPageBreak/>
        <w:t>Oefening 5:</w:t>
      </w:r>
    </w:p>
    <w:p w:rsidR="00320DF4" w:rsidRDefault="00320DF4" w:rsidP="00320DF4">
      <w:pPr>
        <w:pStyle w:val="Normaalweb"/>
        <w:shd w:val="clear" w:color="auto" w:fill="2D2C2C"/>
        <w:spacing w:before="0" w:beforeAutospacing="0" w:after="165" w:afterAutospacing="0"/>
        <w:rPr>
          <w:rFonts w:ascii="Segoe UI" w:hAnsi="Segoe UI" w:cs="Segoe UI"/>
          <w:color w:val="FFFFFF"/>
          <w:sz w:val="21"/>
          <w:szCs w:val="21"/>
        </w:rPr>
      </w:pPr>
      <w:r>
        <w:rPr>
          <w:rFonts w:ascii="Calibri" w:hAnsi="Calibri" w:cs="Calibri"/>
          <w:color w:val="FFFFFF"/>
          <w:sz w:val="22"/>
          <w:szCs w:val="22"/>
        </w:rPr>
        <w:t>Soms moet een emmer niet gevuld gaan worden wanneer die anders zou gaan overstromen. Alleen wanneer de emmer op het punt staat te overstromen dient dat mogelijk tegen gehouden te kunnen worden.</w:t>
      </w:r>
    </w:p>
    <w:p w:rsidR="00320DF4" w:rsidRDefault="00320DF4" w:rsidP="00320DF4">
      <w:pPr>
        <w:pStyle w:val="Kop2"/>
        <w:shd w:val="clear" w:color="auto" w:fill="2D2C2C"/>
        <w:rPr>
          <w:rFonts w:ascii="Segoe UI" w:hAnsi="Segoe UI" w:cs="Segoe UI"/>
          <w:color w:val="FFFFFF"/>
        </w:rPr>
      </w:pPr>
      <w:r>
        <w:rPr>
          <w:rFonts w:ascii="Calibri Light" w:hAnsi="Calibri Light" w:cs="Calibri Light"/>
          <w:color w:val="6888C9"/>
          <w:sz w:val="26"/>
          <w:szCs w:val="26"/>
        </w:rPr>
        <w:t>Oefening 6:</w:t>
      </w:r>
    </w:p>
    <w:p w:rsidR="00320DF4" w:rsidRDefault="00320DF4" w:rsidP="00320DF4">
      <w:pPr>
        <w:pStyle w:val="Normaalweb"/>
        <w:shd w:val="clear" w:color="auto" w:fill="2D2C2C"/>
        <w:spacing w:before="0" w:beforeAutospacing="0" w:after="165" w:afterAutospacing="0"/>
        <w:rPr>
          <w:rFonts w:ascii="Segoe UI" w:hAnsi="Segoe UI" w:cs="Segoe UI"/>
          <w:color w:val="FFFFFF"/>
          <w:sz w:val="21"/>
          <w:szCs w:val="21"/>
        </w:rPr>
      </w:pPr>
      <w:r>
        <w:rPr>
          <w:rFonts w:ascii="Calibri" w:hAnsi="Calibri" w:cs="Calibri"/>
          <w:color w:val="FFFFFF"/>
          <w:sz w:val="22"/>
          <w:szCs w:val="22"/>
        </w:rPr>
        <w:t>Op het moment dat de emmer zou kunnen gaan overstromen moet aangegeven kunnen worden met hoeveel de emmer gevuld mag worden.</w:t>
      </w:r>
    </w:p>
    <w:p w:rsidR="00320DF4" w:rsidRDefault="00320DF4">
      <w:bookmarkStart w:id="0" w:name="_GoBack"/>
      <w:bookmarkEnd w:id="0"/>
    </w:p>
    <w:sectPr w:rsidR="00320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B5"/>
    <w:rsid w:val="00320DF4"/>
    <w:rsid w:val="0046596A"/>
    <w:rsid w:val="00483046"/>
    <w:rsid w:val="0055339E"/>
    <w:rsid w:val="005A1FCD"/>
    <w:rsid w:val="006F3712"/>
    <w:rsid w:val="00722DB5"/>
    <w:rsid w:val="00C6414B"/>
    <w:rsid w:val="00CA2A65"/>
    <w:rsid w:val="00F862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D11F"/>
  <w15:chartTrackingRefBased/>
  <w15:docId w15:val="{3AC3B7C2-2A21-4E1F-AD90-C8C2B548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722DB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22DB5"/>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722DB5"/>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722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5933">
      <w:bodyDiv w:val="1"/>
      <w:marLeft w:val="0"/>
      <w:marRight w:val="0"/>
      <w:marTop w:val="0"/>
      <w:marBottom w:val="0"/>
      <w:divBdr>
        <w:top w:val="none" w:sz="0" w:space="0" w:color="auto"/>
        <w:left w:val="none" w:sz="0" w:space="0" w:color="auto"/>
        <w:bottom w:val="none" w:sz="0" w:space="0" w:color="auto"/>
        <w:right w:val="none" w:sz="0" w:space="0" w:color="auto"/>
      </w:divBdr>
    </w:div>
    <w:div w:id="263154831">
      <w:bodyDiv w:val="1"/>
      <w:marLeft w:val="0"/>
      <w:marRight w:val="0"/>
      <w:marTop w:val="0"/>
      <w:marBottom w:val="0"/>
      <w:divBdr>
        <w:top w:val="none" w:sz="0" w:space="0" w:color="auto"/>
        <w:left w:val="none" w:sz="0" w:space="0" w:color="auto"/>
        <w:bottom w:val="none" w:sz="0" w:space="0" w:color="auto"/>
        <w:right w:val="none" w:sz="0" w:space="0" w:color="auto"/>
      </w:divBdr>
    </w:div>
    <w:div w:id="108707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396</Words>
  <Characters>2178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de Graaff</dc:creator>
  <cp:keywords/>
  <dc:description/>
  <cp:lastModifiedBy>Rob de Graaff</cp:lastModifiedBy>
  <cp:revision>3</cp:revision>
  <dcterms:created xsi:type="dcterms:W3CDTF">2019-12-16T09:27:00Z</dcterms:created>
  <dcterms:modified xsi:type="dcterms:W3CDTF">2019-12-20T09:05:00Z</dcterms:modified>
</cp:coreProperties>
</file>