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40" w:before="360" w:line="300" w:lineRule="auto"/>
        <w:rPr/>
      </w:pPr>
      <w:bookmarkStart w:colFirst="0" w:colLast="0" w:name="_rudop35buhxm" w:id="0"/>
      <w:bookmarkEnd w:id="0"/>
      <w:r w:rsidDel="00000000" w:rsidR="00000000" w:rsidRPr="00000000">
        <w:rPr>
          <w:b w:val="1"/>
          <w:color w:val="24292e"/>
          <w:sz w:val="33"/>
          <w:szCs w:val="33"/>
          <w:rtl w:val="0"/>
        </w:rPr>
        <w:t xml:space="preserve">DNS and Domain Discovery part one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For Hackthebox.eu: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NetRange is 104.16.0.0 - 104.31.255.255 and is the range of IP addresses of the system associated with the website.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CIDR is 104.16.0.0/12 which stands for Classless Inter-Domain Routing and is an IP addressing scheme that improves the allocation of IP addresses.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these IP addresses, an attacker can test the system for information and vulnerabilities.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Name servers are servers that store DNS records of a given domain. They host a domain’s DNS records in a text file called a Zone File. These DNS records are essentially settings, mapping your domain to IP addresses, and are used to point your domain to your web server and email services. With this information, an attacker can perform various forms of DNS hijacking such as changing the local DNS settings to redirect the user to malicious sites, man-in-the-middle attacks, DNS spoofing, and cache poisoning.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