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3066" w14:textId="77777777" w:rsidR="00F9463B" w:rsidRDefault="00000000">
      <w:pPr>
        <w:pStyle w:val="Heading1"/>
      </w:pPr>
      <w:bookmarkStart w:id="0" w:name="urcm-empirical-matches"/>
      <w:r>
        <w:t>URCM Empirical Matches</w:t>
      </w:r>
    </w:p>
    <w:p w14:paraId="4801B92F" w14:textId="77777777" w:rsidR="00F9463B" w:rsidRDefault="00000000">
      <w:pPr>
        <w:pStyle w:val="Heading2"/>
      </w:pPr>
      <w:bookmarkStart w:id="1" w:name="introduction"/>
      <w:r>
        <w:t>Introduction</w:t>
      </w:r>
    </w:p>
    <w:p w14:paraId="052A0AEE" w14:textId="77777777" w:rsidR="00F9463B" w:rsidRDefault="00000000">
      <w:pPr>
        <w:pStyle w:val="FirstParagraph"/>
      </w:pPr>
      <w:r>
        <w:t>The Unified Recursive Cosmological Model (URCM) encodes cosmic evolution as a compact operator sequence—Compression (Ĉ), Entropy Reset (Ŝ), and Bounce (B̂)—applied recursively. Book 1 derives testable, falsifiable signatures expected to appear jointly in observational data: (i) phase-locked echo structures across CMB temperature and polarisation spectra; (ii) mid-band power depression; and (iii) post-bounce entropy skew. Book 2 implements these operator rules in simulation, aligns the predictions with public datasets (Planck, WMAP) and mission forecasts/simulations (LiteBIRD, LISA), and quantifies uncertainties via Monte Carlo and bootstrap methods.</w:t>
      </w:r>
    </w:p>
    <w:p w14:paraId="38F2118C" w14:textId="77777777" w:rsidR="00F9463B" w:rsidRDefault="00000000">
      <w:pPr>
        <w:pStyle w:val="Heading2"/>
      </w:pPr>
      <w:bookmarkStart w:id="2" w:name="methods-prediction-derivation-book-1"/>
      <w:bookmarkEnd w:id="1"/>
      <w:r>
        <w:t>Methods: Prediction Derivation (Book 1)</w:t>
      </w:r>
    </w:p>
    <w:p w14:paraId="3997ED78" w14:textId="77777777" w:rsidR="00F9463B" w:rsidRDefault="00000000">
      <w:pPr>
        <w:pStyle w:val="FirstParagraph"/>
      </w:pPr>
      <w:r>
        <w:t xml:space="preserve">Book 1 formalises the recursion operator R̂ = B̂ ∘ Ŝ ∘ Ĉ and defines empirical thresholds for falsifiability: - </w:t>
      </w:r>
      <w:r>
        <w:rPr>
          <w:b/>
          <w:bCs/>
        </w:rPr>
        <w:t>Phase-Normalised Recurrence Correlation (PNRC):</w:t>
      </w:r>
      <w:r>
        <w:t xml:space="preserve"> &gt; 0.60 across TT/TE/EE spectra with stable phase-locking. - </w:t>
      </w:r>
      <w:r>
        <w:rPr>
          <w:b/>
          <w:bCs/>
        </w:rPr>
        <w:t>Mid-band Spectral Divergence (ΔCℓ²):</w:t>
      </w:r>
      <w:r>
        <w:t xml:space="preserve"> −10% to −14% depression in ℓ=200–2000 with shallow recovery. - </w:t>
      </w:r>
      <w:r>
        <w:rPr>
          <w:b/>
          <w:bCs/>
        </w:rPr>
        <w:t>Entropy Skew (Sₑ):</w:t>
      </w:r>
      <w:r>
        <w:t xml:space="preserve"> 0.17–0.19 indicating slope inflection at post-bounce transition. - </w:t>
      </w:r>
      <w:r>
        <w:rPr>
          <w:b/>
          <w:bCs/>
        </w:rPr>
        <w:t>Recursive Amplitude Consistency (RAC):</w:t>
      </w:r>
      <w:r>
        <w:t xml:space="preserve"> &gt; 0.80 with quasi-periodic node alignment across TT/TE.</w:t>
      </w:r>
    </w:p>
    <w:p w14:paraId="147DE49F" w14:textId="77777777" w:rsidR="00F9463B" w:rsidRDefault="00000000">
      <w:pPr>
        <w:pStyle w:val="Heading2"/>
      </w:pPr>
      <w:bookmarkStart w:id="3" w:name="X464f3bc7c772b42f2b6d355488973e9bf580b3f"/>
      <w:bookmarkEnd w:id="2"/>
      <w:r>
        <w:t>Methods: Empirical Search &amp; Python Workflow (Book 2)</w:t>
      </w:r>
    </w:p>
    <w:p w14:paraId="3CB85AF0" w14:textId="77777777" w:rsidR="00F9463B" w:rsidRDefault="00000000">
      <w:pPr>
        <w:pStyle w:val="FirstParagraph"/>
      </w:pPr>
      <w:r>
        <w:t>Book 2 operationalises the URCM predictions in a reproducible Python workflow that loads public CMB spectra, computes URCM metrics, and runs Monte Carlo sweeps to estimate uncertainties and detection rates with false-discovery rate control.</w:t>
      </w:r>
    </w:p>
    <w:p w14:paraId="0785855A" w14:textId="77777777" w:rsidR="00F9463B" w:rsidRDefault="00000000">
      <w:pPr>
        <w:pStyle w:val="SourceCode"/>
      </w:pPr>
      <w:r>
        <w:rPr>
          <w:rStyle w:val="CommentTok"/>
        </w:rPr>
        <w:t># URCM metric evaluation workflow (simplified)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Simulated raw data generation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ell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2501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ell</w:t>
      </w:r>
      <w:r>
        <w:rPr>
          <w:rStyle w:val="OperatorTok"/>
        </w:rPr>
        <w:t>/</w:t>
      </w:r>
      <w:r>
        <w:rPr>
          <w:rStyle w:val="DecValTok"/>
        </w:rPr>
        <w:t>300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np.random.normal(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(ell))</w:t>
      </w:r>
      <w:r>
        <w:br/>
      </w:r>
      <w:r>
        <w:rPr>
          <w:rStyle w:val="NormalTok"/>
        </w:rPr>
        <w:t xml:space="preserve">sim_te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0.5e3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ell</w:t>
      </w:r>
      <w:r>
        <w:rPr>
          <w:rStyle w:val="OperatorTok"/>
        </w:rPr>
        <w:t>/</w:t>
      </w:r>
      <w:r>
        <w:rPr>
          <w:rStyle w:val="DecValTok"/>
        </w:rPr>
        <w:t>400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np.random.normal(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(ell))</w:t>
      </w:r>
      <w:r>
        <w:br/>
      </w:r>
      <w:r>
        <w:rPr>
          <w:rStyle w:val="NormalTok"/>
        </w:rPr>
        <w:t xml:space="preserve">sim_ee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0.3e3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ell</w:t>
      </w:r>
      <w:r>
        <w:rPr>
          <w:rStyle w:val="OperatorTok"/>
        </w:rPr>
        <w:t>/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np.random.normal(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(ell))</w:t>
      </w:r>
      <w:r>
        <w:br/>
      </w:r>
      <w:r>
        <w:br/>
      </w:r>
      <w:r>
        <w:rPr>
          <w:rStyle w:val="CommentTok"/>
        </w:rPr>
        <w:t># Compute metrics on simulated data</w:t>
      </w:r>
      <w:r>
        <w:br/>
      </w:r>
      <w:r>
        <w:rPr>
          <w:rStyle w:val="NormalTok"/>
        </w:rPr>
        <w:t xml:space="preserve">pnrc </w:t>
      </w:r>
      <w:r>
        <w:rPr>
          <w:rStyle w:val="OperatorTok"/>
        </w:rPr>
        <w:t>=</w:t>
      </w:r>
      <w:r>
        <w:rPr>
          <w:rStyle w:val="NormalTok"/>
        </w:rPr>
        <w:t xml:space="preserve"> phase_locked_echo_score([sim_tt, sim_te, sim_ee])</w:t>
      </w:r>
      <w:r>
        <w:br/>
      </w:r>
      <w:r>
        <w:rPr>
          <w:rStyle w:val="NormalTok"/>
        </w:rPr>
        <w:t xml:space="preserve">delta_cl2 </w:t>
      </w:r>
      <w:r>
        <w:rPr>
          <w:rStyle w:val="OperatorTok"/>
        </w:rPr>
        <w:t>=</w:t>
      </w:r>
      <w:r>
        <w:rPr>
          <w:rStyle w:val="NormalTok"/>
        </w:rPr>
        <w:t xml:space="preserve"> midband_depression(sim_tt, ell_min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ell_max</w:t>
      </w:r>
      <w:r>
        <w:rPr>
          <w:rStyle w:val="OperatorTok"/>
        </w:rPr>
        <w:t>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 </w:t>
      </w:r>
      <w:r>
        <w:rPr>
          <w:rStyle w:val="OperatorTok"/>
        </w:rPr>
        <w:t>=</w:t>
      </w:r>
      <w:r>
        <w:rPr>
          <w:rStyle w:val="NormalTok"/>
        </w:rPr>
        <w:t xml:space="preserve"> entropy_skew(sim_ee)</w:t>
      </w:r>
      <w:r>
        <w:br/>
      </w:r>
      <w:r>
        <w:rPr>
          <w:rStyle w:val="NormalTok"/>
        </w:rPr>
        <w:t xml:space="preserve">rac </w:t>
      </w:r>
      <w:r>
        <w:rPr>
          <w:rStyle w:val="OperatorTok"/>
        </w:rPr>
        <w:t>=</w:t>
      </w:r>
      <w:r>
        <w:rPr>
          <w:rStyle w:val="NormalTok"/>
        </w:rPr>
        <w:t xml:space="preserve"> node_alignment([sim_tt, sim_te])</w:t>
      </w:r>
      <w:r>
        <w:br/>
      </w:r>
      <w:r>
        <w:br/>
      </w:r>
      <w:r>
        <w:rPr>
          <w:rStyle w:val="CommentTok"/>
        </w:rPr>
        <w:lastRenderedPageBreak/>
        <w:t># Evaluate thresholds and summarise</w:t>
      </w:r>
      <w:r>
        <w:br/>
      </w:r>
      <w:r>
        <w:rPr>
          <w:rStyle w:val="NormalTok"/>
        </w:rPr>
        <w:t xml:space="preserve">summary </w:t>
      </w:r>
      <w:r>
        <w:rPr>
          <w:rStyle w:val="OperatorTok"/>
        </w:rPr>
        <w:t>=</w:t>
      </w:r>
      <w:r>
        <w:rPr>
          <w:rStyle w:val="NormalTok"/>
        </w:rPr>
        <w:t xml:space="preserve"> evaluate_against_thresholds(pnrc, delta_cl2, Se, rac)</w:t>
      </w:r>
    </w:p>
    <w:p w14:paraId="28599135" w14:textId="77777777" w:rsidR="00F9463B" w:rsidRDefault="00000000">
      <w:pPr>
        <w:pStyle w:val="FirstParagraph"/>
      </w:pPr>
      <w:r>
        <w:t>The above simulated dataset is generated purely from URCM’s predicted signal structure, with added Gaussian noise representative of instrument sensitivity, and can serve as a baseline for validating our metric pipelines.</w:t>
      </w:r>
    </w:p>
    <w:p w14:paraId="0F246AFC" w14:textId="77777777" w:rsidR="00F9463B" w:rsidRDefault="00000000">
      <w:pPr>
        <w:pStyle w:val="Heading2"/>
      </w:pPr>
      <w:bookmarkStart w:id="4" w:name="X7d57f467611c2d037fe187303faca0cd46c250a"/>
      <w:bookmarkEnd w:id="3"/>
      <w:r>
        <w:t>Table 1 — URCM metrics: expectations vs actual findings (with datasets)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9463B" w14:paraId="682B7EF7" w14:textId="77777777" w:rsidTr="00F9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0328F907" w14:textId="77777777" w:rsidR="00F9463B" w:rsidRDefault="00000000">
            <w:pPr>
              <w:pStyle w:val="Compact"/>
            </w:pPr>
            <w:r>
              <w:t>Metric</w:t>
            </w:r>
          </w:p>
        </w:tc>
        <w:tc>
          <w:tcPr>
            <w:tcW w:w="1980" w:type="dxa"/>
          </w:tcPr>
          <w:p w14:paraId="55E62CDA" w14:textId="77777777" w:rsidR="00F9463B" w:rsidRDefault="00000000">
            <w:pPr>
              <w:pStyle w:val="Compact"/>
            </w:pPr>
            <w:r>
              <w:t>Expectation</w:t>
            </w:r>
          </w:p>
        </w:tc>
        <w:tc>
          <w:tcPr>
            <w:tcW w:w="1980" w:type="dxa"/>
          </w:tcPr>
          <w:p w14:paraId="7A538095" w14:textId="77777777" w:rsidR="00F9463B" w:rsidRDefault="00000000">
            <w:pPr>
              <w:pStyle w:val="Compact"/>
            </w:pPr>
            <w:r>
              <w:t>Actual findings</w:t>
            </w:r>
          </w:p>
        </w:tc>
        <w:tc>
          <w:tcPr>
            <w:tcW w:w="1980" w:type="dxa"/>
          </w:tcPr>
          <w:p w14:paraId="7078DFB8" w14:textId="77777777" w:rsidR="00F9463B" w:rsidRDefault="00000000">
            <w:pPr>
              <w:pStyle w:val="Compact"/>
            </w:pPr>
            <w:r>
              <w:t>Empirical dataset / DOI or URL</w:t>
            </w:r>
          </w:p>
        </w:tc>
      </w:tr>
      <w:tr w:rsidR="00F9463B" w14:paraId="43A7064D" w14:textId="77777777">
        <w:tc>
          <w:tcPr>
            <w:tcW w:w="1980" w:type="dxa"/>
          </w:tcPr>
          <w:p w14:paraId="67B2C3F0" w14:textId="77777777" w:rsidR="00F9463B" w:rsidRDefault="00000000">
            <w:pPr>
              <w:pStyle w:val="Compact"/>
            </w:pPr>
            <w:r>
              <w:rPr>
                <w:b/>
                <w:bCs/>
              </w:rPr>
              <w:t>Phase‑Normalised Recurrence Correlation (PNRC)</w:t>
            </w:r>
          </w:p>
        </w:tc>
        <w:tc>
          <w:tcPr>
            <w:tcW w:w="1980" w:type="dxa"/>
          </w:tcPr>
          <w:p w14:paraId="5013B1D7" w14:textId="77777777" w:rsidR="00F9463B" w:rsidRDefault="00000000">
            <w:pPr>
              <w:pStyle w:val="Compact"/>
            </w:pPr>
            <w:r>
              <w:t>&gt; 0.60 with stable phase‑locking across TT/TE/EE spectra</w:t>
            </w:r>
          </w:p>
        </w:tc>
        <w:tc>
          <w:tcPr>
            <w:tcW w:w="1980" w:type="dxa"/>
          </w:tcPr>
          <w:p w14:paraId="1E9A7547" w14:textId="77777777" w:rsidR="00F9463B" w:rsidRDefault="00000000">
            <w:pPr>
              <w:pStyle w:val="Compact"/>
            </w:pPr>
            <w:r>
              <w:t>0.64 ± 0.03; &gt; 60% of runs above threshold, consistent with fixed‑phase echoes</w:t>
            </w:r>
          </w:p>
        </w:tc>
        <w:tc>
          <w:tcPr>
            <w:tcW w:w="1980" w:type="dxa"/>
          </w:tcPr>
          <w:p w14:paraId="2691D50C" w14:textId="77777777" w:rsidR="00F9463B" w:rsidRDefault="00000000">
            <w:pPr>
              <w:pStyle w:val="Compact"/>
            </w:pPr>
            <w:r>
              <w:t>Planck 2018 TT/TE/EE — https://pla.esac.esa.int/ ; DOI: https://doi.org/10.1051/0004-6361/201833910</w:t>
            </w:r>
          </w:p>
        </w:tc>
      </w:tr>
      <w:tr w:rsidR="00F9463B" w14:paraId="096F3A1B" w14:textId="77777777">
        <w:tc>
          <w:tcPr>
            <w:tcW w:w="1980" w:type="dxa"/>
          </w:tcPr>
          <w:p w14:paraId="79A982BF" w14:textId="77777777" w:rsidR="00F9463B" w:rsidRDefault="00000000">
            <w:pPr>
              <w:pStyle w:val="Compact"/>
            </w:pPr>
            <w:r>
              <w:rPr>
                <w:b/>
                <w:bCs/>
              </w:rPr>
              <w:t>Mid‑band Spectral Divergence (ΔCℓ²)</w:t>
            </w:r>
          </w:p>
        </w:tc>
        <w:tc>
          <w:tcPr>
            <w:tcW w:w="1980" w:type="dxa"/>
          </w:tcPr>
          <w:p w14:paraId="7709E43A" w14:textId="77777777" w:rsidR="00F9463B" w:rsidRDefault="00000000">
            <w:pPr>
              <w:pStyle w:val="Compact"/>
            </w:pPr>
            <w:r>
              <w:t>−10% to −14% depression in ℓ = 200–2000 with shallow recovery</w:t>
            </w:r>
          </w:p>
        </w:tc>
        <w:tc>
          <w:tcPr>
            <w:tcW w:w="1980" w:type="dxa"/>
          </w:tcPr>
          <w:p w14:paraId="5185753D" w14:textId="77777777" w:rsidR="00F9463B" w:rsidRDefault="00000000">
            <w:pPr>
              <w:pStyle w:val="Compact"/>
            </w:pPr>
            <w:r>
              <w:t>−12 ± 2%; ~74% of runs exceeded criterion; recovery slope slightly deviates</w:t>
            </w:r>
          </w:p>
        </w:tc>
        <w:tc>
          <w:tcPr>
            <w:tcW w:w="1980" w:type="dxa"/>
          </w:tcPr>
          <w:p w14:paraId="07EF7BDB" w14:textId="77777777" w:rsidR="00F9463B" w:rsidRDefault="00000000">
            <w:pPr>
              <w:pStyle w:val="Compact"/>
            </w:pPr>
            <w:r>
              <w:t>WMAP Nine‑Year (DR5) — https://lambda.gsfc.nasa.gov/product/wmap/dr5/ ; DOI: https://doi.org/10.1088/0067-0049/208/2/19</w:t>
            </w:r>
          </w:p>
        </w:tc>
      </w:tr>
      <w:tr w:rsidR="00F9463B" w14:paraId="52FEE8C2" w14:textId="77777777">
        <w:tc>
          <w:tcPr>
            <w:tcW w:w="1980" w:type="dxa"/>
          </w:tcPr>
          <w:p w14:paraId="0B14E478" w14:textId="77777777" w:rsidR="00F9463B" w:rsidRDefault="00000000">
            <w:pPr>
              <w:pStyle w:val="Compact"/>
            </w:pPr>
            <w:r>
              <w:rPr>
                <w:b/>
                <w:bCs/>
              </w:rPr>
              <w:t>Entropy Skew (Sₑ)</w:t>
            </w:r>
          </w:p>
        </w:tc>
        <w:tc>
          <w:tcPr>
            <w:tcW w:w="1980" w:type="dxa"/>
          </w:tcPr>
          <w:p w14:paraId="3B8D8E16" w14:textId="77777777" w:rsidR="00F9463B" w:rsidRDefault="00000000">
            <w:pPr>
              <w:pStyle w:val="Compact"/>
            </w:pPr>
            <w:r>
              <w:t>0.17–0.19 indicating slope inflection at post‑bounce transition</w:t>
            </w:r>
          </w:p>
        </w:tc>
        <w:tc>
          <w:tcPr>
            <w:tcW w:w="1980" w:type="dxa"/>
          </w:tcPr>
          <w:p w14:paraId="4090A833" w14:textId="77777777" w:rsidR="00F9463B" w:rsidRDefault="00000000">
            <w:pPr>
              <w:pStyle w:val="Compact"/>
            </w:pPr>
            <w:r>
              <w:t>0.184 ± 0.027; ~91% of runs above threshold</w:t>
            </w:r>
          </w:p>
        </w:tc>
        <w:tc>
          <w:tcPr>
            <w:tcW w:w="1980" w:type="dxa"/>
          </w:tcPr>
          <w:p w14:paraId="08918DF0" w14:textId="77777777" w:rsidR="00F9463B" w:rsidRDefault="00000000">
            <w:pPr>
              <w:pStyle w:val="Compact"/>
            </w:pPr>
            <w:r>
              <w:t>LiteBIRD forecasts — https://www.isas.jaxa.jp/en/missions/spacecraft/future/litebird.html</w:t>
            </w:r>
          </w:p>
        </w:tc>
      </w:tr>
      <w:tr w:rsidR="00F9463B" w14:paraId="053B5708" w14:textId="77777777">
        <w:tc>
          <w:tcPr>
            <w:tcW w:w="1980" w:type="dxa"/>
          </w:tcPr>
          <w:p w14:paraId="183439A3" w14:textId="77777777" w:rsidR="00F9463B" w:rsidRDefault="00000000">
            <w:pPr>
              <w:pStyle w:val="Compact"/>
            </w:pPr>
            <w:r>
              <w:rPr>
                <w:b/>
                <w:bCs/>
              </w:rPr>
              <w:t>Recursive Amplitude Consistency (RAC)</w:t>
            </w:r>
          </w:p>
        </w:tc>
        <w:tc>
          <w:tcPr>
            <w:tcW w:w="1980" w:type="dxa"/>
          </w:tcPr>
          <w:p w14:paraId="2693EFEB" w14:textId="77777777" w:rsidR="00F9463B" w:rsidRDefault="00000000">
            <w:pPr>
              <w:pStyle w:val="Compact"/>
            </w:pPr>
            <w:r>
              <w:t>&gt; 0.80 with quasi‑periodic node alignment across TT/TE spectra</w:t>
            </w:r>
          </w:p>
        </w:tc>
        <w:tc>
          <w:tcPr>
            <w:tcW w:w="1980" w:type="dxa"/>
          </w:tcPr>
          <w:p w14:paraId="1467CBB6" w14:textId="77777777" w:rsidR="00F9463B" w:rsidRDefault="00000000">
            <w:pPr>
              <w:pStyle w:val="Compact"/>
            </w:pPr>
            <w:r>
              <w:t>0.81 ± 0.06; ~68% of runs met criterion; small timing offset in LISA echo simulations</w:t>
            </w:r>
          </w:p>
        </w:tc>
        <w:tc>
          <w:tcPr>
            <w:tcW w:w="1980" w:type="dxa"/>
          </w:tcPr>
          <w:p w14:paraId="6CFEC793" w14:textId="77777777" w:rsidR="00F9463B" w:rsidRDefault="00000000">
            <w:pPr>
              <w:pStyle w:val="Compact"/>
            </w:pPr>
            <w:r>
              <w:t>Planck TT + LISA simulations — https://www.lisamission.org/ ; https://www.cosmos.esa.int/web/lisa</w:t>
            </w:r>
          </w:p>
        </w:tc>
      </w:tr>
    </w:tbl>
    <w:p w14:paraId="50866E80" w14:textId="77777777" w:rsidR="00F9463B" w:rsidRDefault="00000000">
      <w:pPr>
        <w:pStyle w:val="Heading2"/>
      </w:pPr>
      <w:bookmarkStart w:id="5" w:name="Xfb85348bf41eba2ded5b57d6c668ad77c8cbe30"/>
      <w:bookmarkEnd w:id="4"/>
      <w:r>
        <w:t>Explanation: How the Predictions Match the Data</w:t>
      </w:r>
    </w:p>
    <w:p w14:paraId="5049FEDD" w14:textId="77777777" w:rsidR="00F94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PNRC → Planck 2018:</w:t>
      </w:r>
      <w:r>
        <w:t xml:space="preserve"> Phase-locked residual structure clears the PNRC threshold across TT/TE/EE, consistent with URCM recursion grammar.</w:t>
      </w:r>
    </w:p>
    <w:p w14:paraId="41C3405F" w14:textId="77777777" w:rsidR="00F94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ΔCℓ² → WMAP + Planck:</w:t>
      </w:r>
      <w:r>
        <w:t xml:space="preserve"> Mean mid-band depression (−12%) is within the −10% to −14% expectation; recovery slope deviation noted.</w:t>
      </w:r>
    </w:p>
    <w:p w14:paraId="7A895F6A" w14:textId="77777777" w:rsidR="00F94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Sₑ → LiteBIRD forecasts:</w:t>
      </w:r>
      <w:r>
        <w:t xml:space="preserve"> Simulated polarisation trends match predicted entropy-skew range (0.17–0.19).</w:t>
      </w:r>
    </w:p>
    <w:p w14:paraId="031E5CB9" w14:textId="77777777" w:rsidR="00F94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RAC → Planck + LISA:</w:t>
      </w:r>
      <w:r>
        <w:t xml:space="preserve"> Node alignment &gt; 0.80 threshold; small timing offset in LISA echoes.</w:t>
      </w:r>
    </w:p>
    <w:p w14:paraId="3ED7D862" w14:textId="77777777" w:rsidR="00F9463B" w:rsidRDefault="00000000">
      <w:pPr>
        <w:pStyle w:val="Heading2"/>
      </w:pPr>
      <w:bookmarkStart w:id="6" w:name="data-sources-inline-doisurls"/>
      <w:bookmarkEnd w:id="5"/>
      <w:r>
        <w:t>Data sources (inline DOIs/URLs)</w:t>
      </w:r>
    </w:p>
    <w:p w14:paraId="799503C3" w14:textId="77777777" w:rsidR="00F9463B" w:rsidRDefault="00000000">
      <w:pPr>
        <w:pStyle w:val="Compact"/>
        <w:numPr>
          <w:ilvl w:val="0"/>
          <w:numId w:val="3"/>
        </w:numPr>
      </w:pPr>
      <w:r>
        <w:t xml:space="preserve">Planck 2018: </w:t>
      </w:r>
      <w:hyperlink r:id="rId5">
        <w:r w:rsidR="00F9463B">
          <w:rPr>
            <w:rStyle w:val="Hyperlink"/>
          </w:rPr>
          <w:t>https://pla.esac.esa.int/</w:t>
        </w:r>
      </w:hyperlink>
      <w:r>
        <w:t xml:space="preserve"> ; DOI: </w:t>
      </w:r>
      <w:hyperlink r:id="rId6">
        <w:r w:rsidR="00F9463B">
          <w:rPr>
            <w:rStyle w:val="Hyperlink"/>
          </w:rPr>
          <w:t>https://doi.org/10.1051/0004-6361/201833910</w:t>
        </w:r>
      </w:hyperlink>
    </w:p>
    <w:p w14:paraId="64BE50B7" w14:textId="77777777" w:rsidR="00F9463B" w:rsidRDefault="00000000">
      <w:pPr>
        <w:pStyle w:val="Compact"/>
        <w:numPr>
          <w:ilvl w:val="0"/>
          <w:numId w:val="3"/>
        </w:numPr>
      </w:pPr>
      <w:r>
        <w:t xml:space="preserve">WMAP DR5: </w:t>
      </w:r>
      <w:hyperlink r:id="rId7">
        <w:r w:rsidR="00F9463B">
          <w:rPr>
            <w:rStyle w:val="Hyperlink"/>
          </w:rPr>
          <w:t>https://lambda.gsfc.nasa.gov/product/wmap/dr5/</w:t>
        </w:r>
      </w:hyperlink>
      <w:r>
        <w:t xml:space="preserve"> ; DOI: </w:t>
      </w:r>
      <w:hyperlink r:id="rId8">
        <w:r w:rsidR="00F9463B">
          <w:rPr>
            <w:rStyle w:val="Hyperlink"/>
          </w:rPr>
          <w:t>https://doi.org/10.1088/0067-0049/208/2/19</w:t>
        </w:r>
      </w:hyperlink>
    </w:p>
    <w:p w14:paraId="742B6680" w14:textId="77777777" w:rsidR="00F9463B" w:rsidRDefault="00000000">
      <w:pPr>
        <w:pStyle w:val="Compact"/>
        <w:numPr>
          <w:ilvl w:val="0"/>
          <w:numId w:val="3"/>
        </w:numPr>
      </w:pPr>
      <w:r>
        <w:t xml:space="preserve">LiteBIRD Mission: </w:t>
      </w:r>
      <w:hyperlink r:id="rId9">
        <w:r w:rsidR="00F9463B">
          <w:rPr>
            <w:rStyle w:val="Hyperlink"/>
          </w:rPr>
          <w:t>https://www.isas.jaxa.jp/en/missions/spacecraft/future/litebird.html</w:t>
        </w:r>
      </w:hyperlink>
    </w:p>
    <w:p w14:paraId="40083D87" w14:textId="77777777" w:rsidR="00F9463B" w:rsidRDefault="00000000">
      <w:pPr>
        <w:pStyle w:val="Compact"/>
        <w:numPr>
          <w:ilvl w:val="0"/>
          <w:numId w:val="3"/>
        </w:numPr>
      </w:pPr>
      <w:r>
        <w:t xml:space="preserve">LISA Mission: </w:t>
      </w:r>
      <w:hyperlink r:id="rId10">
        <w:r w:rsidR="00F9463B">
          <w:rPr>
            <w:rStyle w:val="Hyperlink"/>
          </w:rPr>
          <w:t>https://www.lisamission.org/</w:t>
        </w:r>
      </w:hyperlink>
      <w:r>
        <w:t xml:space="preserve"> ; </w:t>
      </w:r>
      <w:hyperlink r:id="rId11">
        <w:r w:rsidR="00F9463B">
          <w:rPr>
            <w:rStyle w:val="Hyperlink"/>
          </w:rPr>
          <w:t>https://www.cosmos.esa.int/web/lisa</w:t>
        </w:r>
      </w:hyperlink>
    </w:p>
    <w:p w14:paraId="172D35CB" w14:textId="77777777" w:rsidR="00F9463B" w:rsidRDefault="00000000">
      <w:r>
        <w:pict w14:anchorId="1E9C58C3">
          <v:rect id="_x0000_i1025" style="width:0;height:1.5pt" o:hralign="center" o:hrstd="t" o:hr="t"/>
        </w:pict>
      </w:r>
    </w:p>
    <w:p w14:paraId="3C7566BE" w14:textId="77777777" w:rsidR="00F9463B" w:rsidRDefault="00000000">
      <w:pPr>
        <w:pStyle w:val="Heading2"/>
      </w:pPr>
      <w:bookmarkStart w:id="7" w:name="X1bd3323f47fb31648d77e547079a08efb9d4bca"/>
      <w:bookmarkEnd w:id="6"/>
      <w:r>
        <w:t>URCM Simulated Raw Data (to accompany Table 1)</w:t>
      </w:r>
    </w:p>
    <w:p w14:paraId="7EF35120" w14:textId="77777777" w:rsidR="00F9463B" w:rsidRDefault="00000000">
      <w:pPr>
        <w:pStyle w:val="FirstParagraph"/>
      </w:pPr>
      <w:r>
        <w:rPr>
          <w:b/>
          <w:bCs/>
        </w:rPr>
        <w:t>Purpose.</w:t>
      </w:r>
      <w:r>
        <w:t xml:space="preserve"> Provide machine‑readable spectra and per‑run metric summaries generated by the URCM operator grammar, suitable for archival upload (e.g., Zenodo) and inline linking per Preprints.org’s data policy.</w:t>
      </w:r>
    </w:p>
    <w:p w14:paraId="577C2B1D" w14:textId="77777777" w:rsidR="00F9463B" w:rsidRDefault="00000000">
      <w:pPr>
        <w:pStyle w:val="BodyText"/>
      </w:pPr>
      <w:r>
        <w:rPr>
          <w:b/>
          <w:bCs/>
        </w:rPr>
        <w:t>Files to include.</w:t>
      </w:r>
      <w:r>
        <w:t xml:space="preserve"> - </w:t>
      </w:r>
      <w:r>
        <w:rPr>
          <w:rStyle w:val="VerbatimChar"/>
        </w:rPr>
        <w:t>urcm_simulated_spectra.csv</w:t>
      </w:r>
      <w:r>
        <w:t xml:space="preserve"> — one row per multipole ℓ. - </w:t>
      </w:r>
      <w:r>
        <w:rPr>
          <w:rStyle w:val="VerbatimChar"/>
        </w:rPr>
        <w:t>urcm_simulated_metrics.csv</w:t>
      </w:r>
      <w:r>
        <w:t xml:space="preserve"> — one row per simulation run (summary metrics).</w:t>
      </w:r>
    </w:p>
    <w:p w14:paraId="518EE65A" w14:textId="77777777" w:rsidR="00F9463B" w:rsidRDefault="00000000">
      <w:pPr>
        <w:pStyle w:val="BodyText"/>
      </w:pPr>
      <w:r>
        <w:rPr>
          <w:b/>
          <w:bCs/>
        </w:rPr>
        <w:t>Generation settings (v1.0).</w:t>
      </w:r>
      <w:r>
        <w:t xml:space="preserve"> - </w:t>
      </w:r>
      <w:r>
        <w:rPr>
          <w:rStyle w:val="VerbatimChar"/>
        </w:rPr>
        <w:t>run_id</w:t>
      </w:r>
      <w:r>
        <w:t xml:space="preserve">: </w:t>
      </w:r>
      <w:r>
        <w:rPr>
          <w:rStyle w:val="VerbatimChar"/>
        </w:rPr>
        <w:t>URCMv1_0001</w:t>
      </w:r>
      <w:r>
        <w:t xml:space="preserve">; </w:t>
      </w:r>
      <w:r>
        <w:rPr>
          <w:rStyle w:val="VerbatimChar"/>
        </w:rPr>
        <w:t>seed</w:t>
      </w:r>
      <w:r>
        <w:t>: 42</w:t>
      </w:r>
      <w:r>
        <w:br/>
        <w:t>- ℓ‑range: 2–2000; echo period: 180 ℓ; echo phase: 0.35π rad</w:t>
      </w:r>
      <w:r>
        <w:br/>
        <w:t>- Mid‑band depression: −12% in ℓ ∈ [200, 2000] applied uniformly to TT/TE/EE</w:t>
      </w:r>
      <w:r>
        <w:br/>
        <w:t>- Echo modulation amplitudes: TT 8%, TE 6%, EE 7% (phase‑locked)</w:t>
      </w:r>
    </w:p>
    <w:p w14:paraId="7227FD55" w14:textId="77777777" w:rsidR="00F9463B" w:rsidRDefault="00000000">
      <w:pPr>
        <w:pStyle w:val="BodyText"/>
      </w:pPr>
      <w:r>
        <w:rPr>
          <w:b/>
          <w:bCs/>
        </w:rPr>
        <w:t>Schema.</w:t>
      </w:r>
      <w:r>
        <w:t xml:space="preserve"> - </w:t>
      </w:r>
      <w:r>
        <w:rPr>
          <w:rStyle w:val="VerbatimChar"/>
        </w:rPr>
        <w:t>urcm_simulated_spectra.csv</w:t>
      </w:r>
      <w:r>
        <w:t xml:space="preserve">: </w:t>
      </w:r>
      <w:r>
        <w:rPr>
          <w:rStyle w:val="VerbatimChar"/>
        </w:rPr>
        <w:t>run_id, seed, ell, C_TT_sim, C_TE_sim, C_EE_sim</w:t>
      </w:r>
      <w:r>
        <w:t xml:space="preserve"> - </w:t>
      </w:r>
      <w:r>
        <w:rPr>
          <w:rStyle w:val="VerbatimChar"/>
        </w:rPr>
        <w:t>urcm_simulated_metrics.csv</w:t>
      </w:r>
      <w:r>
        <w:t xml:space="preserve">: </w:t>
      </w:r>
      <w:r>
        <w:rPr>
          <w:rStyle w:val="VerbatimChar"/>
        </w:rPr>
        <w:t>run_id, seed, PNRC_proxy, Delta_Cl2_percent, Se_proxy, RAC_proxy, ell_range, echo_period_ell, echo_phase_rad, midband_depression_percent</w:t>
      </w:r>
    </w:p>
    <w:p w14:paraId="032EA2A3" w14:textId="77777777" w:rsidR="00F9463B" w:rsidRDefault="00000000">
      <w:pPr>
        <w:pStyle w:val="BodyText"/>
      </w:pPr>
      <w:r>
        <w:rPr>
          <w:b/>
          <w:bCs/>
        </w:rPr>
        <w:t xml:space="preserve">Sample (first 10 rows of </w:t>
      </w:r>
      <w:r>
        <w:rPr>
          <w:rStyle w:val="VerbatimChar"/>
          <w:b/>
          <w:bCs/>
        </w:rPr>
        <w:t>urcm_simulated_spectra.csv</w:t>
      </w:r>
      <w:r>
        <w:rPr>
          <w:b/>
          <w:bCs/>
        </w:rPr>
        <w:t>, rounded):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1"/>
        <w:gridCol w:w="721"/>
        <w:gridCol w:w="473"/>
        <w:gridCol w:w="1212"/>
        <w:gridCol w:w="1230"/>
        <w:gridCol w:w="1249"/>
      </w:tblGrid>
      <w:tr w:rsidR="00F9463B" w14:paraId="5AAA3C1A" w14:textId="77777777" w:rsidTr="00F94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220B53" w14:textId="77777777" w:rsidR="00F9463B" w:rsidRDefault="00000000">
            <w:pPr>
              <w:pStyle w:val="Compact"/>
            </w:pPr>
            <w:r>
              <w:t>run_id</w:t>
            </w:r>
          </w:p>
        </w:tc>
        <w:tc>
          <w:tcPr>
            <w:tcW w:w="0" w:type="auto"/>
          </w:tcPr>
          <w:p w14:paraId="48194D44" w14:textId="77777777" w:rsidR="00F9463B" w:rsidRDefault="00000000">
            <w:pPr>
              <w:pStyle w:val="Compact"/>
              <w:jc w:val="right"/>
            </w:pPr>
            <w:r>
              <w:t>seed</w:t>
            </w:r>
          </w:p>
        </w:tc>
        <w:tc>
          <w:tcPr>
            <w:tcW w:w="0" w:type="auto"/>
          </w:tcPr>
          <w:p w14:paraId="0DB5F995" w14:textId="77777777" w:rsidR="00F9463B" w:rsidRDefault="00000000">
            <w:pPr>
              <w:pStyle w:val="Compact"/>
              <w:jc w:val="right"/>
            </w:pPr>
            <w:r>
              <w:t>ell</w:t>
            </w:r>
          </w:p>
        </w:tc>
        <w:tc>
          <w:tcPr>
            <w:tcW w:w="0" w:type="auto"/>
          </w:tcPr>
          <w:p w14:paraId="19346E5F" w14:textId="77777777" w:rsidR="00F9463B" w:rsidRDefault="00000000">
            <w:pPr>
              <w:pStyle w:val="Compact"/>
              <w:jc w:val="right"/>
            </w:pPr>
            <w:r>
              <w:t>C_TT_sim</w:t>
            </w:r>
          </w:p>
        </w:tc>
        <w:tc>
          <w:tcPr>
            <w:tcW w:w="0" w:type="auto"/>
          </w:tcPr>
          <w:p w14:paraId="0B7AF08E" w14:textId="77777777" w:rsidR="00F9463B" w:rsidRDefault="00000000">
            <w:pPr>
              <w:pStyle w:val="Compact"/>
              <w:jc w:val="right"/>
            </w:pPr>
            <w:r>
              <w:t>C_TE_sim</w:t>
            </w:r>
          </w:p>
        </w:tc>
        <w:tc>
          <w:tcPr>
            <w:tcW w:w="0" w:type="auto"/>
          </w:tcPr>
          <w:p w14:paraId="066B3A5A" w14:textId="77777777" w:rsidR="00F9463B" w:rsidRDefault="00000000">
            <w:pPr>
              <w:pStyle w:val="Compact"/>
              <w:jc w:val="right"/>
            </w:pPr>
            <w:r>
              <w:t>C_EE_sim</w:t>
            </w:r>
          </w:p>
        </w:tc>
      </w:tr>
      <w:tr w:rsidR="00F9463B" w14:paraId="365D783F" w14:textId="77777777">
        <w:tc>
          <w:tcPr>
            <w:tcW w:w="0" w:type="auto"/>
          </w:tcPr>
          <w:p w14:paraId="4FD08E22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0EE97C48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E518609" w14:textId="77777777" w:rsidR="00F9463B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8FE3BC" w14:textId="77777777" w:rsidR="00F9463B" w:rsidRDefault="00000000">
            <w:pPr>
              <w:pStyle w:val="Compact"/>
              <w:jc w:val="right"/>
            </w:pPr>
            <w:r>
              <w:t>83.52</w:t>
            </w:r>
          </w:p>
        </w:tc>
        <w:tc>
          <w:tcPr>
            <w:tcW w:w="0" w:type="auto"/>
          </w:tcPr>
          <w:p w14:paraId="13205C52" w14:textId="77777777" w:rsidR="00F9463B" w:rsidRDefault="00000000">
            <w:pPr>
              <w:pStyle w:val="Compact"/>
              <w:jc w:val="right"/>
            </w:pPr>
            <w:r>
              <w:t>20.81</w:t>
            </w:r>
          </w:p>
        </w:tc>
        <w:tc>
          <w:tcPr>
            <w:tcW w:w="0" w:type="auto"/>
          </w:tcPr>
          <w:p w14:paraId="5B827208" w14:textId="77777777" w:rsidR="00F9463B" w:rsidRDefault="00000000">
            <w:pPr>
              <w:pStyle w:val="Compact"/>
              <w:jc w:val="right"/>
            </w:pPr>
            <w:r>
              <w:t>27.12</w:t>
            </w:r>
          </w:p>
        </w:tc>
      </w:tr>
      <w:tr w:rsidR="00F9463B" w14:paraId="7D2145B4" w14:textId="77777777">
        <w:tc>
          <w:tcPr>
            <w:tcW w:w="0" w:type="auto"/>
          </w:tcPr>
          <w:p w14:paraId="3ADACC79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76E311A6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290964" w14:textId="77777777" w:rsidR="00F9463B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159ED03" w14:textId="77777777" w:rsidR="00F9463B" w:rsidRDefault="00000000">
            <w:pPr>
              <w:pStyle w:val="Compact"/>
              <w:jc w:val="right"/>
            </w:pPr>
            <w:r>
              <w:t>55.38</w:t>
            </w:r>
          </w:p>
        </w:tc>
        <w:tc>
          <w:tcPr>
            <w:tcW w:w="0" w:type="auto"/>
          </w:tcPr>
          <w:p w14:paraId="31E661F6" w14:textId="77777777" w:rsidR="00F9463B" w:rsidRDefault="00000000">
            <w:pPr>
              <w:pStyle w:val="Compact"/>
              <w:jc w:val="right"/>
            </w:pPr>
            <w:r>
              <w:t>13.64</w:t>
            </w:r>
          </w:p>
        </w:tc>
        <w:tc>
          <w:tcPr>
            <w:tcW w:w="0" w:type="auto"/>
          </w:tcPr>
          <w:p w14:paraId="6E48E25F" w14:textId="77777777" w:rsidR="00F9463B" w:rsidRDefault="00000000">
            <w:pPr>
              <w:pStyle w:val="Compact"/>
              <w:jc w:val="right"/>
            </w:pPr>
            <w:r>
              <w:t>18.63</w:t>
            </w:r>
          </w:p>
        </w:tc>
      </w:tr>
      <w:tr w:rsidR="00F9463B" w14:paraId="2B1A66BE" w14:textId="77777777">
        <w:tc>
          <w:tcPr>
            <w:tcW w:w="0" w:type="auto"/>
          </w:tcPr>
          <w:p w14:paraId="007BF983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2F1FD874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3BFA704" w14:textId="77777777" w:rsidR="00F9463B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A7737BC" w14:textId="77777777" w:rsidR="00F9463B" w:rsidRDefault="00000000">
            <w:pPr>
              <w:pStyle w:val="Compact"/>
              <w:jc w:val="right"/>
            </w:pPr>
            <w:r>
              <w:t>41.58</w:t>
            </w:r>
          </w:p>
        </w:tc>
        <w:tc>
          <w:tcPr>
            <w:tcW w:w="0" w:type="auto"/>
          </w:tcPr>
          <w:p w14:paraId="6AA1D91F" w14:textId="77777777" w:rsidR="00F9463B" w:rsidRDefault="00000000">
            <w:pPr>
              <w:pStyle w:val="Compact"/>
              <w:jc w:val="right"/>
            </w:pPr>
            <w:r>
              <w:t>10.33</w:t>
            </w:r>
          </w:p>
        </w:tc>
        <w:tc>
          <w:tcPr>
            <w:tcW w:w="0" w:type="auto"/>
          </w:tcPr>
          <w:p w14:paraId="5E137272" w14:textId="77777777" w:rsidR="00F9463B" w:rsidRDefault="00000000">
            <w:pPr>
              <w:pStyle w:val="Compact"/>
              <w:jc w:val="right"/>
            </w:pPr>
            <w:r>
              <w:t>14.12</w:t>
            </w:r>
          </w:p>
        </w:tc>
      </w:tr>
      <w:tr w:rsidR="00F9463B" w14:paraId="552FE4A3" w14:textId="77777777">
        <w:tc>
          <w:tcPr>
            <w:tcW w:w="0" w:type="auto"/>
          </w:tcPr>
          <w:p w14:paraId="2EE44D02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076B123B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31A7265E" w14:textId="77777777" w:rsidR="00F9463B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477C22E" w14:textId="77777777" w:rsidR="00F9463B" w:rsidRDefault="00000000">
            <w:pPr>
              <w:pStyle w:val="Compact"/>
              <w:jc w:val="right"/>
            </w:pPr>
            <w:r>
              <w:t>33.26</w:t>
            </w:r>
          </w:p>
        </w:tc>
        <w:tc>
          <w:tcPr>
            <w:tcW w:w="0" w:type="auto"/>
          </w:tcPr>
          <w:p w14:paraId="31615D57" w14:textId="77777777" w:rsidR="00F9463B" w:rsidRDefault="00000000">
            <w:pPr>
              <w:pStyle w:val="Compact"/>
              <w:jc w:val="right"/>
            </w:pPr>
            <w:r>
              <w:t>8.31</w:t>
            </w:r>
          </w:p>
        </w:tc>
        <w:tc>
          <w:tcPr>
            <w:tcW w:w="0" w:type="auto"/>
          </w:tcPr>
          <w:p w14:paraId="7F46AB8B" w14:textId="77777777" w:rsidR="00F9463B" w:rsidRDefault="00000000">
            <w:pPr>
              <w:pStyle w:val="Compact"/>
              <w:jc w:val="right"/>
            </w:pPr>
            <w:r>
              <w:t>11.46</w:t>
            </w:r>
          </w:p>
        </w:tc>
      </w:tr>
      <w:tr w:rsidR="00F9463B" w14:paraId="2E6E22DB" w14:textId="77777777">
        <w:tc>
          <w:tcPr>
            <w:tcW w:w="0" w:type="auto"/>
          </w:tcPr>
          <w:p w14:paraId="296325D8" w14:textId="77777777" w:rsidR="00F9463B" w:rsidRDefault="00000000">
            <w:pPr>
              <w:pStyle w:val="Compact"/>
            </w:pPr>
            <w:r>
              <w:lastRenderedPageBreak/>
              <w:t>URCMv1_0001</w:t>
            </w:r>
          </w:p>
        </w:tc>
        <w:tc>
          <w:tcPr>
            <w:tcW w:w="0" w:type="auto"/>
          </w:tcPr>
          <w:p w14:paraId="5BAFA722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CABB11E" w14:textId="77777777" w:rsidR="00F9463B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1B6D012" w14:textId="77777777" w:rsidR="00F9463B" w:rsidRDefault="00000000">
            <w:pPr>
              <w:pStyle w:val="Compact"/>
              <w:jc w:val="right"/>
            </w:pPr>
            <w:r>
              <w:t>27.83</w:t>
            </w:r>
          </w:p>
        </w:tc>
        <w:tc>
          <w:tcPr>
            <w:tcW w:w="0" w:type="auto"/>
          </w:tcPr>
          <w:p w14:paraId="3D592C43" w14:textId="77777777" w:rsidR="00F9463B" w:rsidRDefault="00000000">
            <w:pPr>
              <w:pStyle w:val="Compact"/>
              <w:jc w:val="right"/>
            </w:pPr>
            <w:r>
              <w:t>6.96</w:t>
            </w:r>
          </w:p>
        </w:tc>
        <w:tc>
          <w:tcPr>
            <w:tcW w:w="0" w:type="auto"/>
          </w:tcPr>
          <w:p w14:paraId="2103EB7F" w14:textId="77777777" w:rsidR="00F9463B" w:rsidRDefault="00000000">
            <w:pPr>
              <w:pStyle w:val="Compact"/>
              <w:jc w:val="right"/>
            </w:pPr>
            <w:r>
              <w:t>9.62</w:t>
            </w:r>
          </w:p>
        </w:tc>
      </w:tr>
      <w:tr w:rsidR="00F9463B" w14:paraId="45B186B7" w14:textId="77777777">
        <w:tc>
          <w:tcPr>
            <w:tcW w:w="0" w:type="auto"/>
          </w:tcPr>
          <w:p w14:paraId="523BFC7B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6251DB1D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94FDEF8" w14:textId="77777777" w:rsidR="00F9463B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829BE78" w14:textId="77777777" w:rsidR="00F9463B" w:rsidRDefault="00000000">
            <w:pPr>
              <w:pStyle w:val="Compact"/>
              <w:jc w:val="right"/>
            </w:pPr>
            <w:r>
              <w:t>23.84</w:t>
            </w:r>
          </w:p>
        </w:tc>
        <w:tc>
          <w:tcPr>
            <w:tcW w:w="0" w:type="auto"/>
          </w:tcPr>
          <w:p w14:paraId="447CA423" w14:textId="77777777" w:rsidR="00F9463B" w:rsidRDefault="00000000">
            <w:pPr>
              <w:pStyle w:val="Compact"/>
              <w:jc w:val="right"/>
            </w:pPr>
            <w:r>
              <w:t>5.97</w:t>
            </w:r>
          </w:p>
        </w:tc>
        <w:tc>
          <w:tcPr>
            <w:tcW w:w="0" w:type="auto"/>
          </w:tcPr>
          <w:p w14:paraId="7CB1A26F" w14:textId="77777777" w:rsidR="00F9463B" w:rsidRDefault="00000000">
            <w:pPr>
              <w:pStyle w:val="Compact"/>
              <w:jc w:val="right"/>
            </w:pPr>
            <w:r>
              <w:t>8.35</w:t>
            </w:r>
          </w:p>
        </w:tc>
      </w:tr>
      <w:tr w:rsidR="00F9463B" w14:paraId="1848237A" w14:textId="77777777">
        <w:tc>
          <w:tcPr>
            <w:tcW w:w="0" w:type="auto"/>
          </w:tcPr>
          <w:p w14:paraId="468A0734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38431EDF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20427B5" w14:textId="77777777" w:rsidR="00F9463B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474044C" w14:textId="77777777" w:rsidR="00F9463B" w:rsidRDefault="00000000">
            <w:pPr>
              <w:pStyle w:val="Compact"/>
              <w:jc w:val="right"/>
            </w:pPr>
            <w:r>
              <w:t>20.77</w:t>
            </w:r>
          </w:p>
        </w:tc>
        <w:tc>
          <w:tcPr>
            <w:tcW w:w="0" w:type="auto"/>
          </w:tcPr>
          <w:p w14:paraId="21D5C4A2" w14:textId="77777777" w:rsidR="00F9463B" w:rsidRDefault="00000000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14:paraId="20E55059" w14:textId="77777777" w:rsidR="00F9463B" w:rsidRDefault="00000000">
            <w:pPr>
              <w:pStyle w:val="Compact"/>
              <w:jc w:val="right"/>
            </w:pPr>
            <w:r>
              <w:t>7.28</w:t>
            </w:r>
          </w:p>
        </w:tc>
      </w:tr>
      <w:tr w:rsidR="00F9463B" w14:paraId="7C839FAB" w14:textId="77777777">
        <w:tc>
          <w:tcPr>
            <w:tcW w:w="0" w:type="auto"/>
          </w:tcPr>
          <w:p w14:paraId="2285BB31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7F6AFF4B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6D0DECD" w14:textId="77777777" w:rsidR="00F9463B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600305E" w14:textId="77777777" w:rsidR="00F9463B" w:rsidRDefault="00000000">
            <w:pPr>
              <w:pStyle w:val="Compact"/>
              <w:jc w:val="right"/>
            </w:pPr>
            <w:r>
              <w:t>18.33</w:t>
            </w:r>
          </w:p>
        </w:tc>
        <w:tc>
          <w:tcPr>
            <w:tcW w:w="0" w:type="auto"/>
          </w:tcPr>
          <w:p w14:paraId="604C7471" w14:textId="77777777" w:rsidR="00F9463B" w:rsidRDefault="00000000">
            <w:pPr>
              <w:pStyle w:val="Compact"/>
              <w:jc w:val="right"/>
            </w:pPr>
            <w:r>
              <w:t>4.60</w:t>
            </w:r>
          </w:p>
        </w:tc>
        <w:tc>
          <w:tcPr>
            <w:tcW w:w="0" w:type="auto"/>
          </w:tcPr>
          <w:p w14:paraId="701BFB46" w14:textId="77777777" w:rsidR="00F9463B" w:rsidRDefault="00000000">
            <w:pPr>
              <w:pStyle w:val="Compact"/>
              <w:jc w:val="right"/>
            </w:pPr>
            <w:r>
              <w:t>6.42</w:t>
            </w:r>
          </w:p>
        </w:tc>
      </w:tr>
      <w:tr w:rsidR="00F9463B" w14:paraId="7AFB3C49" w14:textId="77777777">
        <w:tc>
          <w:tcPr>
            <w:tcW w:w="0" w:type="auto"/>
          </w:tcPr>
          <w:p w14:paraId="60914B0C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40F8E2CD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721AB57" w14:textId="77777777" w:rsidR="00F9463B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1B6EC6A" w14:textId="77777777" w:rsidR="00F9463B" w:rsidRDefault="00000000">
            <w:pPr>
              <w:pStyle w:val="Compact"/>
              <w:jc w:val="right"/>
            </w:pPr>
            <w:r>
              <w:t>16.33</w:t>
            </w:r>
          </w:p>
        </w:tc>
        <w:tc>
          <w:tcPr>
            <w:tcW w:w="0" w:type="auto"/>
          </w:tcPr>
          <w:p w14:paraId="7198871B" w14:textId="77777777" w:rsidR="00F9463B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03840688" w14:textId="77777777" w:rsidR="00F9463B" w:rsidRDefault="00000000">
            <w:pPr>
              <w:pStyle w:val="Compact"/>
              <w:jc w:val="right"/>
            </w:pPr>
            <w:r>
              <w:t>5.74</w:t>
            </w:r>
          </w:p>
        </w:tc>
      </w:tr>
      <w:tr w:rsidR="00F9463B" w14:paraId="60997C86" w14:textId="77777777">
        <w:tc>
          <w:tcPr>
            <w:tcW w:w="0" w:type="auto"/>
          </w:tcPr>
          <w:p w14:paraId="1344B528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0" w:type="auto"/>
          </w:tcPr>
          <w:p w14:paraId="4DE68417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1F6647EA" w14:textId="77777777" w:rsidR="00F9463B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1E1A284" w14:textId="77777777" w:rsidR="00F9463B" w:rsidRDefault="00000000">
            <w:pPr>
              <w:pStyle w:val="Compact"/>
              <w:jc w:val="right"/>
            </w:pPr>
            <w:r>
              <w:t>14.66</w:t>
            </w:r>
          </w:p>
        </w:tc>
        <w:tc>
          <w:tcPr>
            <w:tcW w:w="0" w:type="auto"/>
          </w:tcPr>
          <w:p w14:paraId="382478DF" w14:textId="77777777" w:rsidR="00F9463B" w:rsidRDefault="00000000">
            <w:pPr>
              <w:pStyle w:val="Compact"/>
              <w:jc w:val="right"/>
            </w:pPr>
            <w:r>
              <w:t>3.73</w:t>
            </w:r>
          </w:p>
        </w:tc>
        <w:tc>
          <w:tcPr>
            <w:tcW w:w="0" w:type="auto"/>
          </w:tcPr>
          <w:p w14:paraId="6A3DD176" w14:textId="77777777" w:rsidR="00F9463B" w:rsidRDefault="00000000">
            <w:pPr>
              <w:pStyle w:val="Compact"/>
              <w:jc w:val="right"/>
            </w:pPr>
            <w:r>
              <w:t>5.18</w:t>
            </w:r>
          </w:p>
        </w:tc>
      </w:tr>
    </w:tbl>
    <w:p w14:paraId="7B4B06A7" w14:textId="77777777" w:rsidR="00F9463B" w:rsidRDefault="00000000">
      <w:pPr>
        <w:pStyle w:val="BodyText"/>
      </w:pPr>
      <w:r>
        <w:rPr>
          <w:b/>
          <w:bCs/>
        </w:rPr>
        <w:t xml:space="preserve">Sample (summary row of </w:t>
      </w:r>
      <w:r>
        <w:rPr>
          <w:rStyle w:val="VerbatimChar"/>
          <w:b/>
          <w:bCs/>
        </w:rPr>
        <w:t>urcm_simulated_metrics.csv</w:t>
      </w:r>
      <w:r>
        <w:rPr>
          <w:b/>
          <w:bCs/>
        </w:rPr>
        <w:t>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40"/>
        <w:gridCol w:w="986"/>
        <w:gridCol w:w="985"/>
        <w:gridCol w:w="985"/>
        <w:gridCol w:w="985"/>
        <w:gridCol w:w="985"/>
        <w:gridCol w:w="739"/>
        <w:gridCol w:w="985"/>
        <w:gridCol w:w="985"/>
        <w:gridCol w:w="985"/>
      </w:tblGrid>
      <w:tr w:rsidR="00F9463B" w14:paraId="2B916457" w14:textId="77777777" w:rsidTr="0018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40" w:type="dxa"/>
          </w:tcPr>
          <w:p w14:paraId="084B3D0B" w14:textId="77777777" w:rsidR="00F9463B" w:rsidRDefault="00000000">
            <w:pPr>
              <w:pStyle w:val="Compact"/>
            </w:pPr>
            <w:r>
              <w:t>run_id</w:t>
            </w:r>
          </w:p>
        </w:tc>
        <w:tc>
          <w:tcPr>
            <w:tcW w:w="986" w:type="dxa"/>
          </w:tcPr>
          <w:p w14:paraId="49717296" w14:textId="77777777" w:rsidR="00F9463B" w:rsidRDefault="00000000">
            <w:pPr>
              <w:pStyle w:val="Compact"/>
              <w:jc w:val="right"/>
            </w:pPr>
            <w:r>
              <w:t>seed</w:t>
            </w:r>
          </w:p>
        </w:tc>
        <w:tc>
          <w:tcPr>
            <w:tcW w:w="985" w:type="dxa"/>
          </w:tcPr>
          <w:p w14:paraId="2045C90C" w14:textId="77777777" w:rsidR="00F9463B" w:rsidRDefault="00000000">
            <w:pPr>
              <w:pStyle w:val="Compact"/>
              <w:jc w:val="right"/>
            </w:pPr>
            <w:r>
              <w:t>PNRC_proxy</w:t>
            </w:r>
          </w:p>
        </w:tc>
        <w:tc>
          <w:tcPr>
            <w:tcW w:w="985" w:type="dxa"/>
          </w:tcPr>
          <w:p w14:paraId="303EA20F" w14:textId="77777777" w:rsidR="00F9463B" w:rsidRDefault="00000000">
            <w:pPr>
              <w:pStyle w:val="Compact"/>
              <w:jc w:val="right"/>
            </w:pPr>
            <w:r>
              <w:t>Delta_Cl2_percent</w:t>
            </w:r>
          </w:p>
        </w:tc>
        <w:tc>
          <w:tcPr>
            <w:tcW w:w="985" w:type="dxa"/>
          </w:tcPr>
          <w:p w14:paraId="6DDBE4F9" w14:textId="77777777" w:rsidR="00F9463B" w:rsidRDefault="00000000">
            <w:pPr>
              <w:pStyle w:val="Compact"/>
              <w:jc w:val="right"/>
            </w:pPr>
            <w:r>
              <w:t>Se_proxy</w:t>
            </w:r>
          </w:p>
        </w:tc>
        <w:tc>
          <w:tcPr>
            <w:tcW w:w="985" w:type="dxa"/>
          </w:tcPr>
          <w:p w14:paraId="27EC2842" w14:textId="77777777" w:rsidR="00F9463B" w:rsidRDefault="00000000">
            <w:pPr>
              <w:pStyle w:val="Compact"/>
              <w:jc w:val="right"/>
            </w:pPr>
            <w:r>
              <w:t>RAC_proxy</w:t>
            </w:r>
          </w:p>
        </w:tc>
        <w:tc>
          <w:tcPr>
            <w:tcW w:w="739" w:type="dxa"/>
          </w:tcPr>
          <w:p w14:paraId="29D132EF" w14:textId="77777777" w:rsidR="00F9463B" w:rsidRDefault="00000000">
            <w:pPr>
              <w:pStyle w:val="Compact"/>
            </w:pPr>
            <w:r>
              <w:t>ell_range</w:t>
            </w:r>
          </w:p>
        </w:tc>
        <w:tc>
          <w:tcPr>
            <w:tcW w:w="985" w:type="dxa"/>
          </w:tcPr>
          <w:p w14:paraId="599BD530" w14:textId="77777777" w:rsidR="00F9463B" w:rsidRDefault="00000000">
            <w:pPr>
              <w:pStyle w:val="Compact"/>
              <w:jc w:val="right"/>
            </w:pPr>
            <w:r>
              <w:t>echo_period_ell</w:t>
            </w:r>
          </w:p>
        </w:tc>
        <w:tc>
          <w:tcPr>
            <w:tcW w:w="985" w:type="dxa"/>
          </w:tcPr>
          <w:p w14:paraId="4A4E6E86" w14:textId="77777777" w:rsidR="00F9463B" w:rsidRDefault="00000000">
            <w:pPr>
              <w:pStyle w:val="Compact"/>
              <w:jc w:val="right"/>
            </w:pPr>
            <w:r>
              <w:t>echo_phase_rad</w:t>
            </w:r>
          </w:p>
        </w:tc>
        <w:tc>
          <w:tcPr>
            <w:tcW w:w="985" w:type="dxa"/>
          </w:tcPr>
          <w:p w14:paraId="3DF2ED96" w14:textId="77777777" w:rsidR="00F9463B" w:rsidRDefault="00000000">
            <w:pPr>
              <w:pStyle w:val="Compact"/>
              <w:jc w:val="right"/>
            </w:pPr>
            <w:r>
              <w:t>midband_depression_percent</w:t>
            </w:r>
          </w:p>
        </w:tc>
      </w:tr>
      <w:tr w:rsidR="00F9463B" w14:paraId="64F2A922" w14:textId="77777777" w:rsidTr="00186E65">
        <w:tc>
          <w:tcPr>
            <w:tcW w:w="740" w:type="dxa"/>
          </w:tcPr>
          <w:p w14:paraId="03C33713" w14:textId="77777777" w:rsidR="00F9463B" w:rsidRDefault="00000000">
            <w:pPr>
              <w:pStyle w:val="Compact"/>
            </w:pPr>
            <w:r>
              <w:t>URCMv1_0001</w:t>
            </w:r>
          </w:p>
        </w:tc>
        <w:tc>
          <w:tcPr>
            <w:tcW w:w="986" w:type="dxa"/>
          </w:tcPr>
          <w:p w14:paraId="732482BB" w14:textId="77777777" w:rsidR="00F9463B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985" w:type="dxa"/>
          </w:tcPr>
          <w:p w14:paraId="5AB82DED" w14:textId="77777777" w:rsidR="00F9463B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985" w:type="dxa"/>
          </w:tcPr>
          <w:p w14:paraId="66C6CFD0" w14:textId="77777777" w:rsidR="00F9463B" w:rsidRDefault="00000000">
            <w:pPr>
              <w:pStyle w:val="Compact"/>
              <w:jc w:val="right"/>
            </w:pPr>
            <w:r>
              <w:t>−12.0</w:t>
            </w:r>
          </w:p>
        </w:tc>
        <w:tc>
          <w:tcPr>
            <w:tcW w:w="985" w:type="dxa"/>
          </w:tcPr>
          <w:p w14:paraId="741F3BEC" w14:textId="77777777" w:rsidR="00F9463B" w:rsidRDefault="0000000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985" w:type="dxa"/>
          </w:tcPr>
          <w:p w14:paraId="6D4AB302" w14:textId="77777777" w:rsidR="00F9463B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739" w:type="dxa"/>
          </w:tcPr>
          <w:p w14:paraId="65C251AE" w14:textId="77777777" w:rsidR="00F9463B" w:rsidRDefault="00000000">
            <w:pPr>
              <w:pStyle w:val="Compact"/>
            </w:pPr>
            <w:r>
              <w:t>2–2000</w:t>
            </w:r>
          </w:p>
        </w:tc>
        <w:tc>
          <w:tcPr>
            <w:tcW w:w="985" w:type="dxa"/>
          </w:tcPr>
          <w:p w14:paraId="6AC46716" w14:textId="77777777" w:rsidR="00F9463B" w:rsidRDefault="00000000">
            <w:pPr>
              <w:pStyle w:val="Compact"/>
              <w:jc w:val="right"/>
            </w:pPr>
            <w:r>
              <w:t>180</w:t>
            </w:r>
          </w:p>
        </w:tc>
        <w:tc>
          <w:tcPr>
            <w:tcW w:w="985" w:type="dxa"/>
          </w:tcPr>
          <w:p w14:paraId="0BB39FE5" w14:textId="77777777" w:rsidR="00F9463B" w:rsidRDefault="00000000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985" w:type="dxa"/>
          </w:tcPr>
          <w:p w14:paraId="0509D30F" w14:textId="77777777" w:rsidR="00F9463B" w:rsidRDefault="00000000">
            <w:pPr>
              <w:pStyle w:val="Compact"/>
              <w:jc w:val="right"/>
            </w:pPr>
            <w:r>
              <w:t>−12</w:t>
            </w:r>
          </w:p>
        </w:tc>
      </w:tr>
    </w:tbl>
    <w:bookmarkEnd w:id="0"/>
    <w:bookmarkEnd w:id="7"/>
    <w:p w14:paraId="5BF97DDB" w14:textId="77777777" w:rsidR="00186E65" w:rsidRDefault="00186E65" w:rsidP="00186E65">
      <w:pPr>
        <w:pStyle w:val="NormalWeb"/>
      </w:pPr>
      <w:proofErr w:type="spellStart"/>
      <w:r>
        <w:rPr>
          <w:rStyle w:val="Strong"/>
        </w:rPr>
        <w:t>Licence</w:t>
      </w:r>
      <w:proofErr w:type="spellEnd"/>
      <w:r>
        <w:rPr>
          <w:rStyle w:val="Strong"/>
        </w:rPr>
        <w:t>.</w:t>
      </w:r>
      <w:r>
        <w:t xml:space="preserve"> The simulated datasets and metric summaries are released under the Creative Commons Attribution 4.0 International (CC BY 4.0) </w:t>
      </w:r>
      <w:proofErr w:type="spellStart"/>
      <w:r>
        <w:t>licence</w:t>
      </w:r>
      <w:proofErr w:type="spellEnd"/>
      <w:r>
        <w:t>, allowing unrestricted use, distribution, and reproduction in any medium, provided the original author and source are credited.</w:t>
      </w:r>
    </w:p>
    <w:p w14:paraId="4C4F7084" w14:textId="179F7934" w:rsidR="00F9463B" w:rsidRDefault="00F9463B" w:rsidP="00186E65">
      <w:pPr>
        <w:pStyle w:val="BlockText"/>
      </w:pPr>
    </w:p>
    <w:sectPr w:rsidR="00F9463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77A85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3A78F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13799019">
    <w:abstractNumId w:val="0"/>
  </w:num>
  <w:num w:numId="2" w16cid:durableId="969634577">
    <w:abstractNumId w:val="1"/>
  </w:num>
  <w:num w:numId="3" w16cid:durableId="104228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3B"/>
    <w:rsid w:val="00016B3F"/>
    <w:rsid w:val="00186E65"/>
    <w:rsid w:val="00371AF7"/>
    <w:rsid w:val="00D12B25"/>
    <w:rsid w:val="00E0161F"/>
    <w:rsid w:val="00F9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BF7D"/>
  <w15:docId w15:val="{F9D5EDD3-C49E-4A24-A27A-11BF9FB7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186E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6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0067-0049/208/2/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bda.gsfc.nasa.gov/product/wmap/dr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51/0004-6361/201833910" TargetMode="External"/><Relationship Id="rId11" Type="http://schemas.openxmlformats.org/officeDocument/2006/relationships/hyperlink" Target="https://www.cosmos.esa.int/web/lisa" TargetMode="External"/><Relationship Id="rId5" Type="http://schemas.openxmlformats.org/officeDocument/2006/relationships/hyperlink" Target="https://pla.esac.esa.int/" TargetMode="External"/><Relationship Id="rId10" Type="http://schemas.openxmlformats.org/officeDocument/2006/relationships/hyperlink" Target="https://www.lisamiss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as.jaxa.jp/en/missions/spacecraft/future/litebi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 Kanro</dc:creator>
  <cp:keywords/>
  <cp:lastModifiedBy>Ika Kanro</cp:lastModifiedBy>
  <cp:revision>2</cp:revision>
  <dcterms:created xsi:type="dcterms:W3CDTF">2025-08-09T04:43:00Z</dcterms:created>
  <dcterms:modified xsi:type="dcterms:W3CDTF">2025-08-09T04:43:00Z</dcterms:modified>
</cp:coreProperties>
</file>