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Colossus of Rhodes</w:t>
      </w:r>
    </w:p>
    <w:p>
      <w:pPr>
        <w:pStyle w:val="Subtitle"/>
      </w:pPr>
      <w:r>
        <w:t>History and anthropology of a lost wonder</w:t>
      </w:r>
    </w:p>
    <w:p>
      <w:pPr>
        <w:spacing w:after="480"/>
      </w:pPr>
      <w:r>
        <w:rPr>
          <w:rFonts w:ascii="Liberation Sans" w:hAnsi="Liberation Sans"/>
          <w:sz w:val="18"/>
        </w:rPr>
        <w:t>White paper | Research current to 20 September 2026</w:t>
      </w:r>
    </w:p>
    <w:p>
      <w:r>
        <w:t>The Colossus stood for only part of a century. Its broken body attracted attention for centuries afterward. Its imagined body has lasted longer than either.</w:t>
      </w:r>
    </w:p>
    <w:p>
      <w:r>
        <w:t>This paper follows all three lives. It reconstructs the world that made a giant bronze Helios possible, the siege that gave the monument its immediate purpose, and the religious and political relationships that gave it meaning. It then examines the engineering, the disputed location, the earthquake, and the long transformation of a Rhodian dedication into a universal image of grandeur.</w:t>
      </w:r>
    </w:p>
    <w:p>
      <w:r>
        <w:t>The central argument is that the Colossus was a collective statement made through a god. It expressed a community’s survival, wealth, technical ability, and claim to autonomy. Yet that community contained unequal citizens, powerful families, migrants, women, and enslaved people whose relationships to its public ideals differed. An anthropology of the monument must recover those differences alongside the achievements.</w:t>
      </w:r>
    </w:p>
    <w:p>
      <w:r>
        <w:t>There is no securely identified surviving fragment that supplies the missing statue. The strongest account therefore combines ancient testimony, inscriptions, comparative bronze technology, and critical study of later traditions. Where scholars disagree, the disagreement is part of the history. Recent research even reopens the date of the earthquake.</w:t>
      </w:r>
    </w:p>
    <w:p>
      <w:r>
        <w:t>The narrative is followed by an evidence guide, source notes, and an annotated bibliography. Numbered references identify the sources behind the discussion; they also distinguish full texts consulted from abstracts and books accessed through scholarly reviews.</w:t>
      </w:r>
    </w:p>
    <w:p>
      <w:r>
        <w:br w:type="page"/>
      </w:r>
    </w:p>
    <w:p>
      <w:pPr>
        <w:pStyle w:val="Heading1"/>
      </w:pPr>
      <w:r>
        <w:t>A chronology to keep beside the story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70"/>
        <w:gridCol w:w="3802"/>
        <w:gridCol w:w="4176"/>
      </w:tblGrid>
      <w:tr>
        <w:trPr>
          <w:cantSplit/>
          <w:tblHeader/>
        </w:trPr>
        <w:tc>
          <w:tcPr>
            <w:tcW w:type="dxa" w:w="1670"/>
            <w:vAlign w:val="center"/>
            <w:tcMar>
              <w:top w:w="90" w:type="dxa"/>
              <w:bottom w:w="90" w:type="dxa"/>
              <w:left w:w="105" w:type="dxa"/>
              <w:right w:w="105" w:type="dxa"/>
            </w:tcMar>
            <w:shd w:fill="E8EFF3"/>
          </w:tcPr>
          <w:p>
            <w:pPr>
              <w:keepNext/>
              <w:spacing w:after="20" w:before="20" w:line="254" w:lineRule="auto"/>
              <w:jc w:val="center"/>
            </w:pPr>
            <w:r>
              <w:rPr>
                <w:b/>
                <w:sz w:val="20"/>
              </w:rPr>
              <w:t>Date</w:t>
            </w:r>
          </w:p>
        </w:tc>
        <w:tc>
          <w:tcPr>
            <w:tcW w:type="dxa" w:w="3802"/>
            <w:vAlign w:val="center"/>
            <w:tcMar>
              <w:top w:w="90" w:type="dxa"/>
              <w:bottom w:w="90" w:type="dxa"/>
              <w:left w:w="105" w:type="dxa"/>
              <w:right w:w="105" w:type="dxa"/>
            </w:tcMar>
            <w:shd w:fill="E8EFF3"/>
          </w:tcPr>
          <w:p>
            <w:pPr>
              <w:keepNext/>
              <w:spacing w:after="20" w:before="20" w:line="254" w:lineRule="auto"/>
            </w:pPr>
            <w:r>
              <w:rPr>
                <w:b/>
                <w:sz w:val="20"/>
              </w:rPr>
              <w:t>Event</w:t>
            </w:r>
          </w:p>
        </w:tc>
        <w:tc>
          <w:tcPr>
            <w:tcW w:type="dxa" w:w="4176"/>
            <w:vAlign w:val="center"/>
            <w:tcMar>
              <w:top w:w="90" w:type="dxa"/>
              <w:bottom w:w="90" w:type="dxa"/>
              <w:left w:w="105" w:type="dxa"/>
              <w:right w:w="105" w:type="dxa"/>
            </w:tcMar>
            <w:shd w:fill="E8EFF3"/>
          </w:tcPr>
          <w:p>
            <w:pPr>
              <w:keepNext/>
              <w:spacing w:after="20" w:before="20" w:line="254" w:lineRule="auto"/>
            </w:pPr>
            <w:r>
              <w:rPr>
                <w:b/>
                <w:sz w:val="20"/>
              </w:rPr>
              <w:t>How to read it</w:t>
            </w:r>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464 BCE</w:t>
            </w:r>
          </w:p>
        </w:tc>
        <w:tc>
          <w:tcPr>
            <w:tcW w:type="dxa" w:w="3802"/>
            <w:vAlign w:val="center"/>
            <w:tcMar>
              <w:top w:w="90" w:type="dxa"/>
              <w:bottom w:w="90" w:type="dxa"/>
              <w:left w:w="105" w:type="dxa"/>
              <w:right w:w="105" w:type="dxa"/>
            </w:tcMar>
          </w:tcPr>
          <w:p>
            <w:pPr>
              <w:spacing w:after="20" w:before="20" w:line="254" w:lineRule="auto"/>
            </w:pPr>
            <w:r>
              <w:rPr>
                <w:sz w:val="20"/>
              </w:rPr>
              <w:t>Pindar celebrates Rhodes and its relationship with Helios.</w:t>
            </w:r>
          </w:p>
        </w:tc>
        <w:tc>
          <w:tcPr>
            <w:tcW w:type="dxa" w:w="4176"/>
            <w:vAlign w:val="center"/>
            <w:tcMar>
              <w:top w:w="90" w:type="dxa"/>
              <w:bottom w:w="90" w:type="dxa"/>
              <w:left w:w="105" w:type="dxa"/>
              <w:right w:w="105" w:type="dxa"/>
            </w:tcMar>
          </w:tcPr>
          <w:p>
            <w:pPr>
              <w:spacing w:after="20" w:before="20" w:line="254" w:lineRule="auto"/>
            </w:pPr>
            <w:r>
              <w:rPr>
                <w:sz w:val="20"/>
              </w:rPr>
              <w:t xml:space="preserve">The island’s solar mythology predates the united capital. </w:t>
            </w:r>
            <w:hyperlink w:anchor="ref_3">
              <w:r>
                <w:rPr>
                  <w:color w:val="000000"/>
                  <w:sz w:val="20"/>
                </w:rPr>
                <w:t>[3]</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408/407 BCE</w:t>
            </w:r>
          </w:p>
        </w:tc>
        <w:tc>
          <w:tcPr>
            <w:tcW w:type="dxa" w:w="3802"/>
            <w:vAlign w:val="center"/>
            <w:tcMar>
              <w:top w:w="90" w:type="dxa"/>
              <w:bottom w:w="90" w:type="dxa"/>
              <w:left w:w="105" w:type="dxa"/>
              <w:right w:w="105" w:type="dxa"/>
            </w:tcMar>
          </w:tcPr>
          <w:p>
            <w:pPr>
              <w:spacing w:after="20" w:before="20" w:line="254" w:lineRule="auto"/>
            </w:pPr>
            <w:r>
              <w:rPr>
                <w:sz w:val="20"/>
              </w:rPr>
              <w:t>Lindos, Kamiros, and Ialysos unite politically around a new city of Rhodes.</w:t>
            </w:r>
          </w:p>
        </w:tc>
        <w:tc>
          <w:tcPr>
            <w:tcW w:type="dxa" w:w="4176"/>
            <w:vAlign w:val="center"/>
            <w:tcMar>
              <w:top w:w="90" w:type="dxa"/>
              <w:bottom w:w="90" w:type="dxa"/>
              <w:left w:w="105" w:type="dxa"/>
              <w:right w:w="105" w:type="dxa"/>
            </w:tcMar>
          </w:tcPr>
          <w:p>
            <w:pPr>
              <w:spacing w:after="20" w:before="20" w:line="254" w:lineRule="auto"/>
            </w:pPr>
            <w:r>
              <w:rPr>
                <w:sz w:val="20"/>
              </w:rPr>
              <w:t xml:space="preserve">Older communities and cults continue. </w:t>
            </w:r>
            <w:hyperlink w:anchor="ref_4">
              <w:r>
                <w:rPr>
                  <w:color w:val="000000"/>
                  <w:sz w:val="20"/>
                </w:rPr>
                <w:t>[4]</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305–304 BCE</w:t>
            </w:r>
          </w:p>
        </w:tc>
        <w:tc>
          <w:tcPr>
            <w:tcW w:type="dxa" w:w="3802"/>
            <w:vAlign w:val="center"/>
            <w:tcMar>
              <w:top w:w="90" w:type="dxa"/>
              <w:bottom w:w="90" w:type="dxa"/>
              <w:left w:w="105" w:type="dxa"/>
              <w:right w:w="105" w:type="dxa"/>
            </w:tcMar>
          </w:tcPr>
          <w:p>
            <w:pPr>
              <w:spacing w:after="20" w:before="20" w:line="254" w:lineRule="auto"/>
            </w:pPr>
            <w:r>
              <w:rPr>
                <w:sz w:val="20"/>
              </w:rPr>
              <w:t>Demetrius besieges Rhodes; a negotiated settlement preserves substantial autonomy.</w:t>
            </w:r>
          </w:p>
        </w:tc>
        <w:tc>
          <w:tcPr>
            <w:tcW w:type="dxa" w:w="4176"/>
            <w:vAlign w:val="center"/>
            <w:tcMar>
              <w:top w:w="90" w:type="dxa"/>
              <w:bottom w:w="90" w:type="dxa"/>
              <w:left w:w="105" w:type="dxa"/>
              <w:right w:w="105" w:type="dxa"/>
            </w:tcMar>
          </w:tcPr>
          <w:p>
            <w:pPr>
              <w:spacing w:after="20" w:before="20" w:line="254" w:lineRule="auto"/>
            </w:pPr>
            <w:r>
              <w:rPr>
                <w:sz w:val="20"/>
              </w:rPr>
              <w:t xml:space="preserve">The immediate historical setting of the dedication. </w:t>
            </w:r>
            <w:hyperlink w:anchor="ref_5">
              <w:r>
                <w:rPr>
                  <w:color w:val="000000"/>
                  <w:sz w:val="20"/>
                </w:rPr>
                <w:t>[5–7]</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Early third century BCE</w:t>
            </w:r>
          </w:p>
        </w:tc>
        <w:tc>
          <w:tcPr>
            <w:tcW w:type="dxa" w:w="3802"/>
            <w:vAlign w:val="center"/>
            <w:tcMar>
              <w:top w:w="90" w:type="dxa"/>
              <w:bottom w:w="90" w:type="dxa"/>
              <w:left w:w="105" w:type="dxa"/>
              <w:right w:w="105" w:type="dxa"/>
            </w:tcMar>
          </w:tcPr>
          <w:p>
            <w:pPr>
              <w:spacing w:after="20" w:before="20" w:line="254" w:lineRule="auto"/>
            </w:pPr>
            <w:r>
              <w:rPr>
                <w:sz w:val="20"/>
              </w:rPr>
              <w:t>Chares of Lindos makes the bronze Helios; completion is conventionally placed around 280 BCE.</w:t>
            </w:r>
          </w:p>
        </w:tc>
        <w:tc>
          <w:tcPr>
            <w:tcW w:type="dxa" w:w="4176"/>
            <w:vAlign w:val="center"/>
            <w:tcMar>
              <w:top w:w="90" w:type="dxa"/>
              <w:bottom w:w="90" w:type="dxa"/>
              <w:left w:w="105" w:type="dxa"/>
              <w:right w:w="105" w:type="dxa"/>
            </w:tcMar>
          </w:tcPr>
          <w:p>
            <w:pPr>
              <w:spacing w:after="20" w:before="20" w:line="254" w:lineRule="auto"/>
            </w:pPr>
            <w:r>
              <w:rPr>
                <w:sz w:val="20"/>
              </w:rPr>
              <w:t xml:space="preserve">Twelve years of construction are reported, but precise start and finish dates are insecure. </w:t>
            </w:r>
            <w:hyperlink w:anchor="ref_1">
              <w:r>
                <w:rPr>
                  <w:color w:val="000000"/>
                  <w:sz w:val="20"/>
                </w:rPr>
                <w:t>[1,8]</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Late third century BCE</w:t>
            </w:r>
          </w:p>
        </w:tc>
        <w:tc>
          <w:tcPr>
            <w:tcW w:type="dxa" w:w="3802"/>
            <w:vAlign w:val="center"/>
            <w:tcMar>
              <w:top w:w="90" w:type="dxa"/>
              <w:bottom w:w="90" w:type="dxa"/>
              <w:left w:w="105" w:type="dxa"/>
              <w:right w:w="105" w:type="dxa"/>
            </w:tcMar>
          </w:tcPr>
          <w:p>
            <w:pPr>
              <w:spacing w:after="20" w:before="20" w:line="254" w:lineRule="auto"/>
            </w:pPr>
            <w:r>
              <w:rPr>
                <w:sz w:val="20"/>
              </w:rPr>
              <w:t>An earthquake brings down the Colossus and damages the city.</w:t>
            </w:r>
          </w:p>
        </w:tc>
        <w:tc>
          <w:tcPr>
            <w:tcW w:type="dxa" w:w="4176"/>
            <w:vAlign w:val="center"/>
            <w:tcMar>
              <w:top w:w="90" w:type="dxa"/>
              <w:bottom w:w="90" w:type="dxa"/>
              <w:left w:w="105" w:type="dxa"/>
              <w:right w:w="105" w:type="dxa"/>
            </w:tcMar>
          </w:tcPr>
          <w:p>
            <w:pPr>
              <w:spacing w:after="20" w:before="20" w:line="254" w:lineRule="auto"/>
            </w:pPr>
            <w:r>
              <w:rPr>
                <w:sz w:val="20"/>
              </w:rPr>
              <w:t xml:space="preserve">Conventionally around 227/226 BCE; a recent argument proposes 223/222 BCE. </w:t>
            </w:r>
            <w:hyperlink w:anchor="ref_22">
              <w:r>
                <w:rPr>
                  <w:color w:val="000000"/>
                  <w:sz w:val="20"/>
                </w:rPr>
                <w:t>[22,23]</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Late first century BCE to first century CE</w:t>
            </w:r>
          </w:p>
        </w:tc>
        <w:tc>
          <w:tcPr>
            <w:tcW w:type="dxa" w:w="3802"/>
            <w:vAlign w:val="center"/>
            <w:tcMar>
              <w:top w:w="90" w:type="dxa"/>
              <w:bottom w:w="90" w:type="dxa"/>
              <w:left w:w="105" w:type="dxa"/>
              <w:right w:w="105" w:type="dxa"/>
            </w:tcMar>
          </w:tcPr>
          <w:p>
            <w:pPr>
              <w:spacing w:after="20" w:before="20" w:line="254" w:lineRule="auto"/>
            </w:pPr>
            <w:r>
              <w:rPr>
                <w:sz w:val="20"/>
              </w:rPr>
              <w:t>Strabo and Pliny describe the fallen monument.</w:t>
            </w:r>
          </w:p>
        </w:tc>
        <w:tc>
          <w:tcPr>
            <w:tcW w:type="dxa" w:w="4176"/>
            <w:vAlign w:val="center"/>
            <w:tcMar>
              <w:top w:w="90" w:type="dxa"/>
              <w:bottom w:w="90" w:type="dxa"/>
              <w:left w:w="105" w:type="dxa"/>
              <w:right w:w="105" w:type="dxa"/>
            </w:tcMar>
          </w:tcPr>
          <w:p>
            <w:pPr>
              <w:spacing w:after="20" w:before="20" w:line="254" w:lineRule="auto"/>
            </w:pPr>
            <w:r>
              <w:rPr>
                <w:sz w:val="20"/>
              </w:rPr>
              <w:t xml:space="preserve">Firm evidence for its fame as a ruin. </w:t>
            </w:r>
            <w:hyperlink w:anchor="ref_1">
              <w:r>
                <w:rPr>
                  <w:color w:val="000000"/>
                  <w:sz w:val="20"/>
                </w:rPr>
                <w:t>[1,2]</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Around 653 CE</w:t>
            </w:r>
          </w:p>
        </w:tc>
        <w:tc>
          <w:tcPr>
            <w:tcW w:type="dxa" w:w="3802"/>
            <w:vAlign w:val="center"/>
            <w:tcMar>
              <w:top w:w="90" w:type="dxa"/>
              <w:bottom w:w="90" w:type="dxa"/>
              <w:left w:w="105" w:type="dxa"/>
              <w:right w:w="105" w:type="dxa"/>
            </w:tcMar>
          </w:tcPr>
          <w:p>
            <w:pPr>
              <w:spacing w:after="20" w:before="20" w:line="254" w:lineRule="auto"/>
            </w:pPr>
            <w:r>
              <w:rPr>
                <w:sz w:val="20"/>
              </w:rPr>
              <w:t>An Arab raid becomes associated with a story of the bronze being sold and removed.</w:t>
            </w:r>
          </w:p>
        </w:tc>
        <w:tc>
          <w:tcPr>
            <w:tcW w:type="dxa" w:w="4176"/>
            <w:vAlign w:val="center"/>
            <w:tcMar>
              <w:top w:w="90" w:type="dxa"/>
              <w:bottom w:w="90" w:type="dxa"/>
              <w:left w:w="105" w:type="dxa"/>
              <w:right w:w="105" w:type="dxa"/>
            </w:tcMar>
          </w:tcPr>
          <w:p>
            <w:pPr>
              <w:spacing w:after="20" w:before="20" w:line="254" w:lineRule="auto"/>
            </w:pPr>
            <w:r>
              <w:rPr>
                <w:sz w:val="20"/>
              </w:rPr>
              <w:t xml:space="preserve">The famous account survives in later literary traditions; its details are disputed. </w:t>
            </w:r>
            <w:hyperlink w:anchor="ref_24">
              <w:r>
                <w:rPr>
                  <w:color w:val="000000"/>
                  <w:sz w:val="20"/>
                </w:rPr>
                <w:t>[24,25]</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Sixteenth century onward</w:t>
            </w:r>
          </w:p>
        </w:tc>
        <w:tc>
          <w:tcPr>
            <w:tcW w:type="dxa" w:w="3802"/>
            <w:vAlign w:val="center"/>
            <w:tcMar>
              <w:top w:w="90" w:type="dxa"/>
              <w:bottom w:w="90" w:type="dxa"/>
              <w:left w:w="105" w:type="dxa"/>
              <w:right w:w="105" w:type="dxa"/>
            </w:tcMar>
          </w:tcPr>
          <w:p>
            <w:pPr>
              <w:spacing w:after="20" w:before="20" w:line="254" w:lineRule="auto"/>
            </w:pPr>
            <w:r>
              <w:rPr>
                <w:sz w:val="20"/>
              </w:rPr>
              <w:t>European pictures popularize the giant standing across a harbor.</w:t>
            </w:r>
          </w:p>
        </w:tc>
        <w:tc>
          <w:tcPr>
            <w:tcW w:type="dxa" w:w="4176"/>
            <w:vAlign w:val="center"/>
            <w:tcMar>
              <w:top w:w="90" w:type="dxa"/>
              <w:bottom w:w="90" w:type="dxa"/>
              <w:left w:w="105" w:type="dxa"/>
              <w:right w:w="105" w:type="dxa"/>
            </w:tcMar>
          </w:tcPr>
          <w:p>
            <w:pPr>
              <w:spacing w:after="20" w:before="20" w:line="254" w:lineRule="auto"/>
            </w:pPr>
            <w:r>
              <w:rPr>
                <w:sz w:val="20"/>
              </w:rPr>
              <w:t xml:space="preserve">These images document reception, not the ancient pose. </w:t>
            </w:r>
            <w:hyperlink w:anchor="ref_8">
              <w:r>
                <w:rPr>
                  <w:color w:val="000000"/>
                  <w:sz w:val="20"/>
                </w:rPr>
                <w:t>[8,26]</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1883</w:t>
            </w:r>
          </w:p>
        </w:tc>
        <w:tc>
          <w:tcPr>
            <w:tcW w:type="dxa" w:w="3802"/>
            <w:vAlign w:val="center"/>
            <w:tcMar>
              <w:top w:w="90" w:type="dxa"/>
              <w:bottom w:w="90" w:type="dxa"/>
              <w:left w:w="105" w:type="dxa"/>
              <w:right w:w="105" w:type="dxa"/>
            </w:tcMar>
          </w:tcPr>
          <w:p>
            <w:pPr>
              <w:spacing w:after="20" w:before="20" w:line="254" w:lineRule="auto"/>
            </w:pPr>
            <w:r>
              <w:rPr>
                <w:sz w:val="20"/>
              </w:rPr>
              <w:t>Emma Lazarus writes The New Colossus.</w:t>
            </w:r>
          </w:p>
        </w:tc>
        <w:tc>
          <w:tcPr>
            <w:tcW w:type="dxa" w:w="4176"/>
            <w:vAlign w:val="center"/>
            <w:tcMar>
              <w:top w:w="90" w:type="dxa"/>
              <w:bottom w:w="90" w:type="dxa"/>
              <w:left w:w="105" w:type="dxa"/>
              <w:right w:w="105" w:type="dxa"/>
            </w:tcMar>
          </w:tcPr>
          <w:p>
            <w:pPr>
              <w:spacing w:after="20" w:before="20" w:line="254" w:lineRule="auto"/>
            </w:pPr>
            <w:r>
              <w:rPr>
                <w:sz w:val="20"/>
              </w:rPr>
              <w:t xml:space="preserve">The Rhodian image enters a new argument about liberty and migration. </w:t>
            </w:r>
            <w:hyperlink w:anchor="ref_27">
              <w:r>
                <w:rPr>
                  <w:color w:val="000000"/>
                  <w:sz w:val="20"/>
                </w:rPr>
                <w:t>[27]</w:t>
              </w:r>
            </w:hyperlink>
          </w:p>
        </w:tc>
      </w:tr>
      <w:tr>
        <w:trPr>
          <w:cantSplit/>
        </w:trPr>
        <w:tc>
          <w:tcPr>
            <w:tcW w:type="dxa" w:w="1670"/>
            <w:vAlign w:val="center"/>
            <w:tcMar>
              <w:top w:w="90" w:type="dxa"/>
              <w:bottom w:w="90" w:type="dxa"/>
              <w:left w:w="105" w:type="dxa"/>
              <w:right w:w="105" w:type="dxa"/>
            </w:tcMar>
          </w:tcPr>
          <w:p>
            <w:pPr>
              <w:spacing w:after="20" w:before="20" w:line="254" w:lineRule="auto"/>
              <w:jc w:val="center"/>
            </w:pPr>
            <w:r>
              <w:rPr>
                <w:sz w:val="20"/>
              </w:rPr>
              <w:t>2024–2026</w:t>
            </w:r>
          </w:p>
        </w:tc>
        <w:tc>
          <w:tcPr>
            <w:tcW w:type="dxa" w:w="3802"/>
            <w:vAlign w:val="center"/>
            <w:tcMar>
              <w:top w:w="90" w:type="dxa"/>
              <w:bottom w:w="90" w:type="dxa"/>
              <w:left w:w="105" w:type="dxa"/>
              <w:right w:w="105" w:type="dxa"/>
            </w:tcMar>
          </w:tcPr>
          <w:p>
            <w:pPr>
              <w:spacing w:after="20" w:before="20" w:line="254" w:lineRule="auto"/>
            </w:pPr>
            <w:r>
              <w:rPr>
                <w:sz w:val="20"/>
              </w:rPr>
              <w:t>Major new studies reconsider religion, location, and chronology.</w:t>
            </w:r>
          </w:p>
        </w:tc>
        <w:tc>
          <w:tcPr>
            <w:tcW w:type="dxa" w:w="4176"/>
            <w:vAlign w:val="center"/>
            <w:tcMar>
              <w:top w:w="90" w:type="dxa"/>
              <w:bottom w:w="90" w:type="dxa"/>
              <w:left w:w="105" w:type="dxa"/>
              <w:right w:w="105" w:type="dxa"/>
            </w:tcMar>
          </w:tcPr>
          <w:p>
            <w:pPr>
              <w:spacing w:after="20" w:before="20" w:line="254" w:lineRule="auto"/>
            </w:pPr>
            <w:r>
              <w:rPr>
                <w:sz w:val="20"/>
              </w:rPr>
              <w:t xml:space="preserve">The monument remains an active research problem. </w:t>
            </w:r>
            <w:hyperlink w:anchor="ref_8">
              <w:r>
                <w:rPr>
                  <w:color w:val="000000"/>
                  <w:sz w:val="20"/>
                </w:rPr>
                <w:t>[8,21,23]</w:t>
              </w:r>
            </w:hyperlink>
          </w:p>
        </w:tc>
      </w:tr>
    </w:tbl>
    <w:p>
      <w:pPr>
        <w:spacing w:after="40" w:line="48" w:lineRule="auto"/>
      </w:pPr>
      <w:r>
        <w:rPr>
          <w:sz w:val="4"/>
        </w:rPr>
      </w:r>
    </w:p>
    <w:p>
      <w:r>
        <w:t>Dates with a slash represent an ancient year overlapping two modern calendar years. BCE and CE mean Before Common Era and Common Era. “Around” and “conventionally” are substantive qualifications, not decorative caution.</w:t>
      </w:r>
    </w:p>
    <w:p>
      <w:r>
        <w:br w:type="page"/>
      </w:r>
    </w:p>
    <w:p>
      <w:pPr>
        <w:pStyle w:val="Heading1"/>
      </w:pPr>
      <w:r>
        <w:t>1 Begin with the broken thumb</w:t>
      </w:r>
      <w:bookmarkStart w:id="1" w:name="chapter_1"/>
      <w:bookmarkEnd w:id="1"/>
    </w:p>
    <w:p>
      <w:r>
        <w:t xml:space="preserve">The most vivid ancient description of the Colossus begins, for us, at ground level. Pliny the Elder tells of a thumb so large that few people could encircle it with their arms. The fingers were bigger than ordinary statues. Through breaks in the limbs, viewers could look into immense cavities and see heavy stones inside. The god had fallen, and the accident had made his construction visible. </w:t>
      </w:r>
      <w:hyperlink w:anchor="ref_1">
        <w:r>
          <w:rPr>
            <w:color w:val="000000"/>
          </w:rPr>
          <w:t>[1]</w:t>
        </w:r>
      </w:hyperlink>
    </w:p>
    <w:p>
      <w:r>
        <w:t>This is an unusually intimate way to encounter a wonder. Standing upright, the figure would have imposed distance. Broken, it offered a comparison with the visitor’s own body. An arm around a thumb becomes an impromptu measuring instrument. The visitor could understand enormous scale without knowing a cubit, a casting method, or the original dedication.</w:t>
      </w:r>
    </w:p>
    <w:p>
      <w:r>
        <w:t xml:space="preserve">Pliny was writing in the first century CE, long after the construction and collapse. His account belongs to an encyclopedic discussion of metals, artworks, artists, and exceptional achievements. It is not an excavation report, and he does not establish himself as an eyewitness to this particular statue. Nevertheless, his description preserves something fundamental: the Colossus remained impressive when it could no longer do what its makers had designed it to do. </w:t>
      </w:r>
      <w:hyperlink w:anchor="ref_1">
        <w:r>
          <w:rPr>
            <w:color w:val="000000"/>
          </w:rPr>
          <w:t>[1]</w:t>
        </w:r>
      </w:hyperlink>
    </w:p>
    <w:p>
      <w:r>
        <w:t>That is the starting point for its complete history. A monument has a physical life, but also a social one. People commission it, pay for it, work on it, worship around it or through the traditions it represents, describe it, damage it, and attach new meanings to what survives. Some of those activities continue after the object disappears.</w:t>
      </w:r>
    </w:p>
    <w:p>
      <w:r>
        <w:t>For the Colossus, three questions therefore belong together. What did the Rhodians build? What did building it accomplish in their society? And how did later people manufacture such a confident picture of a statue whose actual appearance had become uncertain?</w:t>
      </w:r>
    </w:p>
    <w:p>
      <w:r>
        <w:t>The answers lead from a Mediterranean trading city to bronze foundries, from citizenship to divine protection, from royal gifts to medieval storytelling. They also lead to a recurring discovery: the missing details are often precisely the ones that later pictures make most definite.</w:t>
      </w:r>
    </w:p>
    <w:p>
      <w:pPr>
        <w:pStyle w:val="Heading1"/>
      </w:pPr>
      <w:r>
        <w:t>2 An island becomes a shared community</w:t>
      </w:r>
      <w:bookmarkStart w:id="2" w:name="chapter_2"/>
      <w:bookmarkEnd w:id="2"/>
    </w:p>
    <w:p>
      <w:r>
        <w:t>Rhodes lies at the southeastern edge of the Aegean, close to the Anatolian mainland and on routes linking the Greek world with the eastern Mediterranean. Its geography made maritime connections a source of wealth and a strategic vulnerability. A city dependent on movement across water had to concern itself with what happened beyond its walls.</w:t>
      </w:r>
    </w:p>
    <w:p>
      <w:r>
        <w:t xml:space="preserve">The political community that built the Colossus was relatively young. In 408/407 BCE, the older Rhodian cities of Lindos, Kamiros, and Ialysos joined in a common state, centered on a newly founded city at the island’s northern tip. Historians call this process synoecism. It did not mean that everyone moved into the new capital or that the older places ceased to matter. Their institutions, sanctuaries, and attachments endured. </w:t>
      </w:r>
      <w:hyperlink w:anchor="ref_4">
        <w:r>
          <w:rPr>
            <w:color w:val="000000"/>
          </w:rPr>
          <w:t>[4]</w:t>
        </w:r>
      </w:hyperlink>
    </w:p>
    <w:p>
      <w:r>
        <w:t xml:space="preserve">The new community needed ways to make unity familiar. Stéphanie Paul’s study of local pantheons shows why religion matters here. Helios could become a shared divine reference while other gods retained strong local associations. The arrangement was cumulative: people could participate in the common Rhodian order and still belong intensely to Lindos or Kamiros. </w:t>
      </w:r>
      <w:hyperlink w:anchor="ref_4">
        <w:r>
          <w:rPr>
            <w:color w:val="000000"/>
          </w:rPr>
          <w:t>[4]</w:t>
        </w:r>
      </w:hyperlink>
    </w:p>
    <w:p>
      <w:r>
        <w:t xml:space="preserve">Helios was not invented for this purpose. In 464 BCE, before the new capital existed, Pindar’s seventh Olympian ode celebrated the boxer Diagoras and told how Rhodes became the sun god’s island. When the gods divided the earth, Helios was absent and received no share. He then saw a fertile island emerging from the sea and claimed it. His descendants supplied a mythical genealogy for the three Rhodian cities. </w:t>
      </w:r>
      <w:hyperlink w:anchor="ref_3">
        <w:r>
          <w:rPr>
            <w:color w:val="000000"/>
          </w:rPr>
          <w:t>[3]</w:t>
        </w:r>
      </w:hyperlink>
    </w:p>
    <w:p>
      <w:r>
        <w:t xml:space="preserve">The story made geography into kinship. Separate communities could understand themselves as related branches of a divine family. Pindar also connected Rhodes with exceptional craftsmanship, describing works so accomplished that they seemed alive. This is not evidence for a plan to build the Colossus more than a century later. It does show that divine favor, inherited distinction, and skilled making already belonged together in Rhodian self-description. </w:t>
      </w:r>
      <w:hyperlink w:anchor="ref_3">
        <w:r>
          <w:rPr>
            <w:color w:val="000000"/>
          </w:rPr>
          <w:t>[3]</w:t>
        </w:r>
      </w:hyperlink>
    </w:p>
    <w:p>
      <w:r>
        <w:t>From an anthropological perspective, such myths are explanations of belonging as well as stories about gods. They establish who has a claim on a place, how communities are related, and why particular achievements seem appropriate to them. The Colossus would enter an existing imaginative world. Its extraordinary scale gave that world a new public form.</w:t>
      </w:r>
    </w:p>
    <w:p>
      <w:pPr>
        <w:pStyle w:val="Heading1"/>
      </w:pPr>
      <w:r>
        <w:t>3 Living with Helios</w:t>
      </w:r>
      <w:bookmarkStart w:id="3" w:name="chapter_3"/>
      <w:bookmarkEnd w:id="3"/>
    </w:p>
    <w:p>
      <w:r>
        <w:t>Calling the Colossus a “statue of the sun” is accurate but incomplete. Helios was a deity with a place in civic institutions, calendars, festivals, and acts of dedication. For the Rhodians, his significance exceeded the astronomical fact that sunlight fell on their island.</w:t>
      </w:r>
    </w:p>
    <w:p>
      <w:r>
        <w:t xml:space="preserve">The annual priest of Helios served as an eponym: his name identified the year. The god’s cult therefore helped organize civic time. Christian Habicht’s work on Rhodian amphora stamps connects this chronology with the names impressed into transport containers. Small, portable objects preserve a network of dated economic activity that the vanished giant cannot supply. The stamps are not miniature inscriptions from the Colossus; their value lies in revealing the institutional world around its god. </w:t>
      </w:r>
      <w:hyperlink w:anchor="ref_18">
        <w:r>
          <w:rPr>
            <w:color w:val="000000"/>
          </w:rPr>
          <w:t>[18]</w:t>
        </w:r>
      </w:hyperlink>
    </w:p>
    <w:p>
      <w:r>
        <w:t xml:space="preserve">The Halieia, the festival of Helios, belonged to the same wider religious setting. Sacrifice and competition created recurring occasions on which membership could be performed publicly. We should resist moving every known solar ritual to the statue’s feet. Neither a festival calendar nor the presence of a giant image proves the route of a procession or the location of an altar. </w:t>
      </w:r>
      <w:hyperlink w:anchor="ref_4">
        <w:r>
          <w:rPr>
            <w:color w:val="000000"/>
          </w:rPr>
          <w:t>[4]</w:t>
        </w:r>
      </w:hyperlink>
    </w:p>
    <w:p>
      <w:r>
        <w:t xml:space="preserve">Juliane Zachhuber’s recent research emphasizes the continuing interaction between common Rhodian religion and local traditions. Athena Lindia remained a powerful focus at Lindos. Religious offices connected individuals and families to public honor. The sacred was embedded in the practical organization of society, rather than confined to a separate sphere of private belief. </w:t>
      </w:r>
      <w:hyperlink w:anchor="ref_21">
        <w:r>
          <w:rPr>
            <w:color w:val="000000"/>
          </w:rPr>
          <w:t>[21]</w:t>
        </w:r>
      </w:hyperlink>
    </w:p>
    <w:p>
      <w:r>
        <w:t>For that reason, “propaganda” is too narrow if it implies that religious language merely disguised political calculation. A dedication could thank a god, express civic pride, advertise resources, and strengthen a community’s public identity at the same time. There is no reason to assume that its commissioners had to choose one of those purposes as the sincere one.</w:t>
      </w:r>
    </w:p>
    <w:p>
      <w:r>
        <w:t xml:space="preserve">There is also a useful distinction between a dedication and the principal cult image inside a temple. Ancient evidence presents the Colossus as an offering to Helios. It does not securely establish the full ritual program attached to the object. We should neither reduce it to municipal decoration nor invent a priesthood, initiation, or daily service specifically for the statue. </w:t>
      </w:r>
      <w:hyperlink w:anchor="ref_2">
        <w:r>
          <w:rPr>
            <w:color w:val="000000"/>
          </w:rPr>
          <w:t>[2]</w:t>
        </w:r>
      </w:hyperlink>
    </w:p>
    <w:p>
      <w:r>
        <w:t>The religious force of scale can nevertheless be considered. A human-shaped god enlarged far beyond human proportions makes the difference between divine and mortal power physically apprehensible. That is an interpretation of the monument’s possible effect, not a recovered Rhodian statement. Different viewers could have experienced pride, protection, technical curiosity, or intimidation in different proportions.</w:t>
      </w:r>
    </w:p>
    <w:p>
      <w:pPr>
        <w:pStyle w:val="Heading1"/>
      </w:pPr>
      <w:r>
        <w:t>4 The year Rhodes had to survive</w:t>
      </w:r>
      <w:bookmarkStart w:id="4" w:name="chapter_4"/>
      <w:bookmarkEnd w:id="4"/>
    </w:p>
    <w:p>
      <w:r>
        <w:t xml:space="preserve">The siege of 305–304 BCE arose from the struggles among Alexander the Great’s successors. Demetrius, acting with his father Antigonus, wanted Rhodes within their strategic system. Rhodian connections with Ptolemaic Egypt made neutrality difficult. Diodorus explains the city’s reluctance to rupture a relationship important to its commerce and supply. </w:t>
      </w:r>
      <w:hyperlink w:anchor="ref_5">
        <w:r>
          <w:rPr>
            <w:color w:val="000000"/>
          </w:rPr>
          <w:t>[5]</w:t>
        </w:r>
      </w:hyperlink>
    </w:p>
    <w:p>
      <w:r>
        <w:t xml:space="preserve">The confrontation escalated through demands over military cooperation, hostages, and access to the harbors. Demetrius brought formidable forces and elaborate siege equipment. Rhodes mobilized its defenses, received outside assistance, and survived repeated attacks. </w:t>
      </w:r>
      <w:hyperlink w:anchor="ref_5">
        <w:r>
          <w:rPr>
            <w:color w:val="000000"/>
          </w:rPr>
          <w:t>[5–7]</w:t>
        </w:r>
      </w:hyperlink>
    </w:p>
    <w:p>
      <w:r>
        <w:t xml:space="preserve">The most famous machine was the Helepolis, the “taker of cities.” Diodorus describes a mobile tower with nine levels, artillery ports, iron protection, and separate stairways for ascending and descending traffic. Its shutters incorporated wool-filled hides to absorb blows. Even allowing for uncertainty in his measurements, the description conveys a formidable integration of carpentry, metalwork, weapons, and human movement. </w:t>
      </w:r>
      <w:hyperlink w:anchor="ref_6">
        <w:r>
          <w:rPr>
            <w:color w:val="000000"/>
          </w:rPr>
          <w:t>[6]</w:t>
        </w:r>
      </w:hyperlink>
    </w:p>
    <w:p>
      <w:r>
        <w:t xml:space="preserve">The defenders attacked its vulnerabilities. In Diodorus’s account of a night action, missiles dislodged iron plates and exposed timber to fire. Demetrius had water ready on the platforms, but eventually withdrew the machine beyond range. Inside the city, the Rhodians built new defensive walls using stone taken from houses, the theater, and even temples, promising the gods better buildings after survival. Material that normally supported civic life was reorganized around the immediate problem of staying alive. </w:t>
      </w:r>
      <w:hyperlink w:anchor="ref_6">
        <w:r>
          <w:rPr>
            <w:color w:val="000000"/>
          </w:rPr>
          <w:t>[6]</w:t>
        </w:r>
      </w:hyperlink>
    </w:p>
    <w:p>
      <w:r>
        <w:t xml:space="preserve">The siege also produced a revealing argument about existing monuments. Some Rhodians wanted to remove statues honoring Antigonus and Demetrius. The assembly rejected the proposal. Diodorus explains the decision through both reputation and prudence: the city would demonstrate its faithfulness to earlier relationships and preserve a possible appeal for mercy if it fell. Before it commissioned its most famous statue, Rhodes was already using statues to negotiate danger. </w:t>
      </w:r>
      <w:hyperlink w:anchor="ref_6">
        <w:r>
          <w:rPr>
            <w:color w:val="000000"/>
          </w:rPr>
          <w:t>[6]</w:t>
        </w:r>
      </w:hyperlink>
    </w:p>
    <w:p>
      <w:r>
        <w:t xml:space="preserve">The result was a negotiated settlement, not the annihilation of the attacking army. Diodorus reports that Rhodes retained autonomy, its revenues, and freedom from a garrison. It accepted an alliance with Antigonus, qualified by an exception concerning war against Ptolemy, and supplied hostages. These terms were a substantial achievement under pressure, but they were still terms negotiated with a king. </w:t>
      </w:r>
      <w:hyperlink w:anchor="ref_6">
        <w:r>
          <w:rPr>
            <w:color w:val="000000"/>
          </w:rPr>
          <w:t>[6]</w:t>
        </w:r>
      </w:hyperlink>
    </w:p>
    <w:p>
      <w:r>
        <w:t>This matters for the monument’s meaning. “Freedom” in this setting concerned the political community’s ability to govern itself and preserve its position. It did not mean isolation from royal power. The Rhodians needed allies and had to manage obligations. Their success consisted partly in preventing one relationship from swallowing all the others.</w:t>
      </w:r>
    </w:p>
    <w:p>
      <w:r>
        <w:t xml:space="preserve">Plutarch supplies a revealing variation on the machinery left behind. In his account, the Rhodians asked Demetrius for siege engines as memorials to both his power and their courage. That story frames the end of the siege as an exchange of recognition between formidable opponents. Pliny’s account makes the equipment the financial basis of the later statue. The traditions should not be flattened into a single cinematic scene of a defeated enemy abandoning everything in panic. </w:t>
      </w:r>
      <w:hyperlink w:anchor="ref_7">
        <w:r>
          <w:rPr>
            <w:color w:val="000000"/>
          </w:rPr>
          <w:t>[7,1]</w:t>
        </w:r>
      </w:hyperlink>
    </w:p>
    <w:p>
      <w:r>
        <w:t>One can see why a colossal offering was appropriate to the public story the city wished to tell. The siege had made Rhodes the object of someone else’s immense effort. The dedication would make the Rhodians the authors of an immense achievement of their own. This is an interpretation of the transition from siege to monument, but it follows the ancient connection between the two closely.</w:t>
      </w:r>
    </w:p>
    <w:p>
      <w:r>
        <w:t xml:space="preserve">Nor did Helios monopolize the city’s gratitude. Diodorus describes honors for royal benefactors and divine honors for Ptolemy, authorized after consultation with the oracle of Ammon in Libya. Independence and the religious honoring of a king were compatible within the same settlement. The world that produced the Colossus was adept at relationships that modern categories can make look contradictory. </w:t>
      </w:r>
      <w:hyperlink w:anchor="ref_6">
        <w:r>
          <w:rPr>
            <w:color w:val="000000"/>
          </w:rPr>
          <w:t>[6]</w:t>
        </w:r>
      </w:hyperlink>
    </w:p>
    <w:p>
      <w:pPr>
        <w:pStyle w:val="Heading1"/>
      </w:pPr>
      <w:r>
        <w:t>5 Who was included in the freedom</w:t>
      </w:r>
      <w:bookmarkStart w:id="5" w:name="chapter_5"/>
      <w:bookmarkEnd w:id="5"/>
    </w:p>
    <w:p>
      <w:r>
        <w:t xml:space="preserve">At the center of the siege narrative are people whose presence complicates a triumphal account. Diodorus distinguishes citizen defenders from resident foreigners and other outsiders. He also reports extraordinary promises to enslaved defenders: the city would compensate their owners and reward conspicuous bravery with freedom and citizenship. After the siege, he says, such rewards were granted. </w:t>
      </w:r>
      <w:hyperlink w:anchor="ref_5">
        <w:r>
          <w:rPr>
            <w:color w:val="000000"/>
          </w:rPr>
          <w:t>[5,6]</w:t>
        </w:r>
      </w:hyperlink>
    </w:p>
    <w:p>
      <w:r>
        <w:t>That is a sharp glimpse of the distance between civic freedom and individual freedom. For citizens, survival meant preserving their community’s autonomy. For an enslaved person, the same emergency could create an exceptional route out of ownership. The exception reveals the normal boundary. Rhodes did not abolish slavery when it celebrated its own freedom.</w:t>
      </w:r>
    </w:p>
    <w:p>
      <w:r>
        <w:t xml:space="preserve">Diodorus also describes public provision for dependents of the fallen and contributions of wealth and skilled work to the defense. These arrangements made sacrifice reciprocal: the community claimed service and offered recognition or support in return. They also made participation unequal. Different people had different things to give, different risks to bear, and different rewards available. </w:t>
      </w:r>
      <w:hyperlink w:anchor="ref_5">
        <w:r>
          <w:rPr>
            <w:color w:val="000000"/>
          </w:rPr>
          <w:t>[5]</w:t>
        </w:r>
      </w:hyperlink>
    </w:p>
    <w:p>
      <w:r>
        <w:t>The surviving evidence does not let us assemble a roster of the Colossus’s workforce. We cannot identify its casters, furnace attendants, haulers, timber workers, or suppliers by name, or reliably divide them into citizens, migrants, freed people, and enslaved people. A large bronze monument necessarily required coordinated work beyond the named sculptor. Its exact labor regime remains unknown.</w:t>
      </w:r>
    </w:p>
    <w:p>
      <w:r>
        <w:t xml:space="preserve">Women are another part of the community whose visibility must be handled carefully. In her study of Rhodian priestesses, Zachhuber finds a striking imbalance in the surviving record of religious offices. Male officeholders dominate, even in some cults of goddesses; the familiar assumption that goddesses normally had priestesses does not explain Rhodes. Women’s relative absence from prestigious recorded offices cannot simply be equated with absence from religious life. </w:t>
      </w:r>
      <w:hyperlink w:anchor="ref_14">
        <w:r>
          <w:rPr>
            <w:color w:val="000000"/>
          </w:rPr>
          <w:t>[14]</w:t>
        </w:r>
      </w:hyperlink>
    </w:p>
    <w:p>
      <w:r>
        <w:t>For an anthropology of the Colossus, the implication is specific. The monument expressed a public identity articulated through institutions in which elite men were highly visible. It does not follow that only those men mattered to the city, or that women and other excluded groups all interpreted its public message identically. Their responses are largely unrecoverable. Giving them a place in the analysis means identifying the silence, rather than filling it with invented testimony.</w:t>
      </w:r>
    </w:p>
    <w:p>
      <w:r>
        <w:t xml:space="preserve">Hellenistic Rhodes also resists an easy opposition between democracy and aristocracy. Christian Thomsen’s work, discussed in Noah Kaye’s review, explains how powerful families could dominate officeholding within institutions that retained democratic forms. Networks, wealth, and associations helped translate social advantage into public influence. A civic commission might speak in the name of the people while emerging from a political world with pronounced inequalities of access. </w:t>
      </w:r>
      <w:hyperlink w:anchor="ref_17">
        <w:r>
          <w:rPr>
            <w:color w:val="000000"/>
          </w:rPr>
          <w:t>[17]</w:t>
        </w:r>
      </w:hyperlink>
    </w:p>
    <w:p>
      <w:r>
        <w:t>The Colossus’s collective voice was therefore real, but selective. “The Rhodians” was a meaningful political community, not a claim that every inhabitant possessed the same status or power.</w:t>
      </w:r>
    </w:p>
    <w:p>
      <w:r>
        <w:t xml:space="preserve">The poem associated with the dedication makes the question still sharper. Greek Anthology 6.171 celebrates escape from war and freedom alongside power on land and sea. It survives as literature, rather than on an excavated pedestal. Kenneth Jones argues for a later historical setting involving Philip V and Alcaeus of Messene; Badoud defends its association with the original dedication. Its status is disputed, but the pairing of liberty with dominion is revealing. A community’s determination to avoid subordination did not necessarily imply opposition to exercising power over others. </w:t>
      </w:r>
      <w:hyperlink w:anchor="ref_12">
        <w:r>
          <w:rPr>
            <w:color w:val="000000"/>
          </w:rPr>
          <w:t>[12,13,8]</w:t>
        </w:r>
      </w:hyperlink>
    </w:p>
    <w:p>
      <w:pPr>
        <w:pStyle w:val="Heading1"/>
      </w:pPr>
      <w:r>
        <w:t>6 The city beneath the monument</w:t>
      </w:r>
      <w:bookmarkStart w:id="6" w:name="chapter_6"/>
      <w:bookmarkEnd w:id="6"/>
    </w:p>
    <w:p>
      <w:r>
        <w:t>The monumental scale can hide the ordinary activities that sustained Rhodes. To bring them back into view, we have to move away from the statue and into the inscriptions of associations, benefactors, and residents. Much of this evidence is later than the commission. It illuminates the society in which the Colossus remained meaningful, rather than documenting its construction team.</w:t>
      </w:r>
    </w:p>
    <w:p>
      <w:r>
        <w:t xml:space="preserve">Stéphanie Maillot’s study of foreigners’ associations shows a world more mixed than a collection of neatly separated ethnic clubs. Membership, cult, occupation, and origin did not always line up. Associations could include people of different places and statuses, use civic forms of organization, honor benefactors, and care for their dead. </w:t>
      </w:r>
      <w:hyperlink w:anchor="ref_15">
        <w:r>
          <w:rPr>
            <w:color w:val="000000"/>
          </w:rPr>
          <w:t>[15]</w:t>
        </w:r>
      </w:hyperlink>
    </w:p>
    <w:p>
      <w:r>
        <w:t xml:space="preserve">One inscription discussed by Maillot records contributions toward a common cemetery from people with several different origins. Another honors Dionysodoros of Alexandria, whose long service linked him to more than one association. These are small-scale achievements of belonging: maintaining institutions, recognizing help, ensuring burial. They show how a person could become socially rooted without the biography of a native citizen. </w:t>
      </w:r>
      <w:hyperlink w:anchor="ref_15">
        <w:r>
          <w:rPr>
            <w:color w:val="000000"/>
          </w:rPr>
          <w:t>[15]</w:t>
        </w:r>
      </w:hyperlink>
    </w:p>
    <w:p>
      <w:r>
        <w:t xml:space="preserve">Thomsen’s article on the “thirteenth deme” of Lindos follows an association of residents and cultivators into increasing public recognition. By 23 CE, a decree involved foreigners in financing festival choruses, with the association serving an institutional role. His interpretation treats this as an expansion of participation and prestige, not simply emergency substitution for impoverished citizens. It is a later case, but an instructive one: civic boundaries could be negotiated through service, resources, and organized loyalty. </w:t>
      </w:r>
      <w:hyperlink w:anchor="ref_16">
        <w:r>
          <w:rPr>
            <w:color w:val="000000"/>
          </w:rPr>
          <w:t>[16]</w:t>
        </w:r>
      </w:hyperlink>
    </w:p>
    <w:p>
      <w:r>
        <w:t>These examples change the scale of the story. The Colossus concentrated attention on a single shared image. Associations distributed belonging through many smaller relationships. The two forms need not have competed. A city could be represented outwardly by a gigantic god and sustained inwardly by repeated contributions, obligations, and acknowledgments among people who occupied very different positions.</w:t>
      </w:r>
    </w:p>
    <w:p>
      <w:r>
        <w:t xml:space="preserve">Local memory was equally active. Jeremy McInerney reads the Lindian Chronicle as a means of reasserting local identity within wider Rhodian and Mediterranean settings. Zachhuber’s work on defensive localism likewise shows that religious narratives could preserve distinctions inside the united state. Lindos was local in relation to Rhodes; Rhodes was local in relation to larger powers. The meaning of “local” shifted with the relationship under discussion. </w:t>
      </w:r>
      <w:hyperlink w:anchor="ref_19">
        <w:r>
          <w:rPr>
            <w:color w:val="000000"/>
          </w:rPr>
          <w:t>[19,20]</w:t>
        </w:r>
      </w:hyperlink>
    </w:p>
    <w:p>
      <w:r>
        <w:t>The Colossus should therefore be imagined within a populated religious landscape. Its fame does not entitle it to stand in for every Rhodian sanctuary or every Rhodian memory. A huge monument can be dominant without being exhaustive.</w:t>
      </w:r>
    </w:p>
    <w:p>
      <w:pPr>
        <w:pStyle w:val="Heading1"/>
      </w:pPr>
      <w:r>
        <w:t>7 Making a god in bronze</w:t>
      </w:r>
      <w:bookmarkStart w:id="7" w:name="chapter_7"/>
      <w:bookmarkEnd w:id="7"/>
    </w:p>
    <w:p>
      <w:r>
        <w:t xml:space="preserve">Ancient testimony names Chares of Lindos as the sculptor and identifies him as a pupil of Lysippus. Pliny reports twelve years of work and a cost of 300 talents, funded from Demetrius’s siege equipment. These are transmitted figures, not surviving accounts. A talent in this financial statement is a unit of value; the number must not be converted directly into the statue’s bronze weight. </w:t>
      </w:r>
      <w:hyperlink w:anchor="ref_1">
        <w:r>
          <w:rPr>
            <w:color w:val="000000"/>
          </w:rPr>
          <w:t>[1]</w:t>
        </w:r>
      </w:hyperlink>
    </w:p>
    <w:p>
      <w:r>
        <w:t xml:space="preserve">The secure scale is already astonishing. The ancient height of seventy cubits is usually understood as roughly 30–35 meters for the figure, depending on the cubit used. Exact pedestal dimensions and combined heights are not secure. At that size, the project required a strategy for models, molds, metal supply, lifting, assembly, support, and the correction of failures. </w:t>
      </w:r>
      <w:hyperlink w:anchor="ref_1">
        <w:r>
          <w:rPr>
            <w:color w:val="000000"/>
          </w:rPr>
          <w:t>[1]</w:t>
        </w:r>
      </w:hyperlink>
    </w:p>
    <w:p>
      <w:r>
        <w:t>Here a little engineering helps. Imagine two geometrically similar objects made of the same material. Double every length and the volume, hence the weight, increases eightfold. The cross-sectional area available to bear that weight increases only fourfold. Under those simplifying assumptions, stress from self-weight doubles. A successful small statue is not automatically a successful large one.</w:t>
      </w:r>
    </w:p>
    <w:p>
      <w:r>
        <w:t>A hollow shell changes the quantities but does not abolish the problem. One must specify shell thickness, internal supports, joints, and the route by which loads reach the foundation. Keeping thickness constant while increasing height produces a different structure from scaling every dimension together. Without those inputs, an apparently precise calculation of the Colossus’s weight can conceal an arbitrary choice.</w:t>
      </w:r>
    </w:p>
    <w:p>
      <w:r>
        <w:t>Wind and earthquakes add further difficulties. A tall body presents area to the wind and gives horizontal forces a long lever arm above its base. Earthquake shaking moves the support beneath the structure; the resulting response depends on mass distribution, stiffness, connections, foundation behavior, and the motion itself. Stones placed inside could influence stability and mass, but their usefulness would depend on where and how they were incorporated. These are general structural considerations, not a recovered engineering specification.</w:t>
      </w:r>
    </w:p>
    <w:p>
      <w:r>
        <w:t xml:space="preserve">Neville Rieger’s engineering study models a possible structure and collapse using ancient descriptions and assumed conditions. Such work can test whether a proposed reconstruction behaves plausibly. It cannot uniquely recover the original from a report that it fell. Several designs may be consistent with the same sparse evidence, and the ancient earthquake has no instrumental record. </w:t>
      </w:r>
      <w:hyperlink w:anchor="ref_11">
        <w:r>
          <w:rPr>
            <w:color w:val="000000"/>
          </w:rPr>
          <w:t>[11]</w:t>
        </w:r>
      </w:hyperlink>
    </w:p>
    <w:p>
      <w:r>
        <w:t>The achievement remains formidable without invented measurements. The builders had to produce a durable, convincing human form on the scale of a building. They did so with accumulated craft knowledge, experiments, organization, and materials that had to work in the world. Attaching Chares’s name to the result should not make the collective intelligence of that work disappear.</w:t>
      </w:r>
    </w:p>
    <w:p>
      <w:pPr>
        <w:pStyle w:val="Heading1"/>
      </w:pPr>
      <w:r>
        <w:t>8 The construction account under examination</w:t>
      </w:r>
      <w:bookmarkStart w:id="8" w:name="chapter_8"/>
      <w:bookmarkEnd w:id="8"/>
    </w:p>
    <w:p>
      <w:r>
        <w:t xml:space="preserve">The construction description attributed to Philo comes from an author often called Pseudo-Philo, distinguished from the Hellenistic engineer. Its date and authority are disputed. Matthew Dickie emphasizes its rhetorical character: this is a text about marvels, not a contemporary workshop log. </w:t>
      </w:r>
      <w:hyperlink w:anchor="ref_9">
        <w:r>
          <w:rPr>
            <w:color w:val="000000"/>
          </w:rPr>
          <w:t>[9]</w:t>
        </w:r>
      </w:hyperlink>
    </w:p>
    <w:p>
      <w:r>
        <w:t xml:space="preserve">The account describes construction in successive horizontal courses, with an earthen embankment rising around completed portions. In the familiar reconstruction, the god gradually grows inside a temporary hill, removed after completion. The image is memorable; the description’s accuracy is harder to establish. </w:t>
      </w:r>
      <w:hyperlink w:anchor="ref_9">
        <w:r>
          <w:rPr>
            <w:color w:val="000000"/>
          </w:rPr>
          <w:t>[9]</w:t>
        </w:r>
      </w:hyperlink>
    </w:p>
    <w:p>
      <w:r>
        <w:t xml:space="preserve">Ursula Vedder argues for casting large sections and assembling them. She draws on excavated Greek bronze workshops and problems in the literary account. Its claim that large sections could not be moved is vulnerable: ancient builders transported extremely heavy architectural members. </w:t>
      </w:r>
      <w:hyperlink w:anchor="ref_10">
        <w:r>
          <w:rPr>
            <w:color w:val="000000"/>
          </w:rPr>
          <w:t>[10]</w:t>
        </w:r>
      </w:hyperlink>
    </w:p>
    <w:p>
      <w:r>
        <w:t xml:space="preserve">Casting in courses is technically possible, as Vedder’s comparison with the Great Buddha at Nara shows. Badoud gives this tradition greater weight. A workable analogy establishes possibility; historical attribution requires further evidence. </w:t>
      </w:r>
      <w:hyperlink w:anchor="ref_10">
        <w:r>
          <w:rPr>
            <w:color w:val="000000"/>
          </w:rPr>
          <w:t>[10,8]</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499"/>
        <w:gridCol w:w="3773"/>
      </w:tblGrid>
      <w:tr>
        <w:trPr>
          <w:cantSplit/>
          <w:tblHeader/>
        </w:trPr>
        <w:tc>
          <w:tcPr>
            <w:tcW w:type="dxa" w:w="2376"/>
            <w:vAlign w:val="center"/>
            <w:tcMar>
              <w:top w:w="90" w:type="dxa"/>
              <w:bottom w:w="90" w:type="dxa"/>
              <w:left w:w="105" w:type="dxa"/>
              <w:right w:w="105" w:type="dxa"/>
            </w:tcMar>
            <w:shd w:fill="E8EFF3"/>
          </w:tcPr>
          <w:p>
            <w:pPr>
              <w:keepNext/>
              <w:spacing w:after="20" w:before="20" w:line="254" w:lineRule="auto"/>
            </w:pPr>
            <w:r>
              <w:rPr>
                <w:b/>
                <w:sz w:val="20"/>
              </w:rPr>
              <w:t>Proposed method</w:t>
            </w:r>
          </w:p>
        </w:tc>
        <w:tc>
          <w:tcPr>
            <w:tcW w:type="dxa" w:w="3499"/>
            <w:vAlign w:val="center"/>
            <w:tcMar>
              <w:top w:w="90" w:type="dxa"/>
              <w:bottom w:w="90" w:type="dxa"/>
              <w:left w:w="105" w:type="dxa"/>
              <w:right w:w="105" w:type="dxa"/>
            </w:tcMar>
            <w:shd w:fill="E8EFF3"/>
          </w:tcPr>
          <w:p>
            <w:pPr>
              <w:keepNext/>
              <w:spacing w:after="20" w:before="20" w:line="254" w:lineRule="auto"/>
            </w:pPr>
            <w:r>
              <w:rPr>
                <w:b/>
                <w:sz w:val="20"/>
              </w:rPr>
              <w:t>What recommends it</w:t>
            </w:r>
          </w:p>
        </w:tc>
        <w:tc>
          <w:tcPr>
            <w:tcW w:type="dxa" w:w="3773"/>
            <w:vAlign w:val="center"/>
            <w:tcMar>
              <w:top w:w="90" w:type="dxa"/>
              <w:bottom w:w="90" w:type="dxa"/>
              <w:left w:w="105" w:type="dxa"/>
              <w:right w:w="105" w:type="dxa"/>
            </w:tcMar>
            <w:shd w:fill="E8EFF3"/>
          </w:tcPr>
          <w:p>
            <w:pPr>
              <w:keepNext/>
              <w:spacing w:after="20" w:before="20" w:line="254" w:lineRule="auto"/>
            </w:pPr>
            <w:r>
              <w:rPr>
                <w:b/>
                <w:sz w:val="20"/>
              </w:rPr>
              <w:t>What prevents certainty</w:t>
            </w:r>
          </w:p>
        </w:tc>
      </w:tr>
      <w:tr>
        <w:trPr>
          <w:cantSplit/>
        </w:trPr>
        <w:tc>
          <w:tcPr>
            <w:tcW w:type="dxa" w:w="2376"/>
            <w:vAlign w:val="center"/>
            <w:tcMar>
              <w:top w:w="90" w:type="dxa"/>
              <w:bottom w:w="90" w:type="dxa"/>
              <w:left w:w="105" w:type="dxa"/>
              <w:right w:w="105" w:type="dxa"/>
            </w:tcMar>
          </w:tcPr>
          <w:p>
            <w:pPr>
              <w:spacing w:after="20" w:before="20" w:line="254" w:lineRule="auto"/>
            </w:pPr>
            <w:r>
              <w:rPr>
                <w:sz w:val="20"/>
              </w:rPr>
              <w:t>Casting in successive courses</w:t>
            </w:r>
          </w:p>
        </w:tc>
        <w:tc>
          <w:tcPr>
            <w:tcW w:type="dxa" w:w="3499"/>
            <w:vAlign w:val="center"/>
            <w:tcMar>
              <w:top w:w="90" w:type="dxa"/>
              <w:bottom w:w="90" w:type="dxa"/>
              <w:left w:w="105" w:type="dxa"/>
              <w:right w:w="105" w:type="dxa"/>
            </w:tcMar>
          </w:tcPr>
          <w:p>
            <w:pPr>
              <w:spacing w:after="20" w:before="20" w:line="254" w:lineRule="auto"/>
            </w:pPr>
            <w:r>
              <w:rPr>
                <w:sz w:val="20"/>
              </w:rPr>
              <w:t>It follows the literary description; later colossal bronze casting offers an analogy.</w:t>
            </w:r>
          </w:p>
        </w:tc>
        <w:tc>
          <w:tcPr>
            <w:tcW w:type="dxa" w:w="3773"/>
            <w:vAlign w:val="center"/>
            <w:tcMar>
              <w:top w:w="90" w:type="dxa"/>
              <w:bottom w:w="90" w:type="dxa"/>
              <w:left w:w="105" w:type="dxa"/>
              <w:right w:w="105" w:type="dxa"/>
            </w:tcMar>
          </w:tcPr>
          <w:p>
            <w:pPr>
              <w:spacing w:after="20" w:before="20" w:line="254" w:lineRule="auto"/>
            </w:pPr>
            <w:r>
              <w:rPr>
                <w:sz w:val="20"/>
              </w:rPr>
              <w:t xml:space="preserve">The account is incomplete and its authority disputed. </w:t>
            </w:r>
            <w:hyperlink w:anchor="ref_9">
              <w:r>
                <w:rPr>
                  <w:color w:val="000000"/>
                  <w:sz w:val="20"/>
                </w:rPr>
                <w:t>[9,10]</w:t>
              </w:r>
            </w:hyperlink>
          </w:p>
        </w:tc>
      </w:tr>
      <w:tr>
        <w:trPr>
          <w:cantSplit/>
        </w:trPr>
        <w:tc>
          <w:tcPr>
            <w:tcW w:type="dxa" w:w="2376"/>
            <w:vAlign w:val="center"/>
            <w:tcMar>
              <w:top w:w="90" w:type="dxa"/>
              <w:bottom w:w="90" w:type="dxa"/>
              <w:left w:w="105" w:type="dxa"/>
              <w:right w:w="105" w:type="dxa"/>
            </w:tcMar>
          </w:tcPr>
          <w:p>
            <w:pPr>
              <w:spacing w:after="20" w:before="20" w:line="254" w:lineRule="auto"/>
            </w:pPr>
            <w:r>
              <w:rPr>
                <w:sz w:val="20"/>
              </w:rPr>
              <w:t>Casting large sections and assembling them</w:t>
            </w:r>
          </w:p>
        </w:tc>
        <w:tc>
          <w:tcPr>
            <w:tcW w:type="dxa" w:w="3499"/>
            <w:vAlign w:val="center"/>
            <w:tcMar>
              <w:top w:w="90" w:type="dxa"/>
              <w:bottom w:w="90" w:type="dxa"/>
              <w:left w:w="105" w:type="dxa"/>
              <w:right w:w="105" w:type="dxa"/>
            </w:tcMar>
          </w:tcPr>
          <w:p>
            <w:pPr>
              <w:spacing w:after="20" w:before="20" w:line="254" w:lineRule="auto"/>
            </w:pPr>
            <w:r>
              <w:rPr>
                <w:sz w:val="20"/>
              </w:rPr>
              <w:t>It has strong comparative support from Greek bronze production.</w:t>
            </w:r>
          </w:p>
        </w:tc>
        <w:tc>
          <w:tcPr>
            <w:tcW w:type="dxa" w:w="3773"/>
            <w:vAlign w:val="center"/>
            <w:tcMar>
              <w:top w:w="90" w:type="dxa"/>
              <w:bottom w:w="90" w:type="dxa"/>
              <w:left w:w="105" w:type="dxa"/>
              <w:right w:w="105" w:type="dxa"/>
            </w:tcMar>
          </w:tcPr>
          <w:p>
            <w:pPr>
              <w:spacing w:after="20" w:before="20" w:line="254" w:lineRule="auto"/>
            </w:pPr>
            <w:r>
              <w:rPr>
                <w:sz w:val="20"/>
              </w:rPr>
              <w:t xml:space="preserve">No identified Colossus workshop or recovered joint establishes the actual sequence. </w:t>
            </w:r>
            <w:hyperlink w:anchor="ref_10">
              <w:r>
                <w:rPr>
                  <w:color w:val="000000"/>
                  <w:sz w:val="20"/>
                </w:rPr>
                <w:t>[10]</w:t>
              </w:r>
            </w:hyperlink>
          </w:p>
        </w:tc>
      </w:tr>
      <w:tr>
        <w:trPr>
          <w:cantSplit/>
        </w:trPr>
        <w:tc>
          <w:tcPr>
            <w:tcW w:type="dxa" w:w="2376"/>
            <w:vAlign w:val="center"/>
            <w:tcMar>
              <w:top w:w="90" w:type="dxa"/>
              <w:bottom w:w="90" w:type="dxa"/>
              <w:left w:w="105" w:type="dxa"/>
              <w:right w:w="105" w:type="dxa"/>
            </w:tcMar>
          </w:tcPr>
          <w:p>
            <w:pPr>
              <w:spacing w:after="20" w:before="20" w:line="254" w:lineRule="auto"/>
            </w:pPr>
            <w:r>
              <w:rPr>
                <w:sz w:val="20"/>
              </w:rPr>
              <w:t>Forming and joining hammered bronze sheets</w:t>
            </w:r>
          </w:p>
        </w:tc>
        <w:tc>
          <w:tcPr>
            <w:tcW w:type="dxa" w:w="3499"/>
            <w:vAlign w:val="center"/>
            <w:tcMar>
              <w:top w:w="90" w:type="dxa"/>
              <w:bottom w:w="90" w:type="dxa"/>
              <w:left w:w="105" w:type="dxa"/>
              <w:right w:w="105" w:type="dxa"/>
            </w:tcMar>
          </w:tcPr>
          <w:p>
            <w:pPr>
              <w:spacing w:after="20" w:before="20" w:line="254" w:lineRule="auto"/>
            </w:pPr>
            <w:r>
              <w:rPr>
                <w:sz w:val="20"/>
              </w:rPr>
              <w:t>It was proposed in the modern technical debate, notably by Herbert Maryon.</w:t>
            </w:r>
          </w:p>
        </w:tc>
        <w:tc>
          <w:tcPr>
            <w:tcW w:type="dxa" w:w="3773"/>
            <w:vAlign w:val="center"/>
            <w:tcMar>
              <w:top w:w="90" w:type="dxa"/>
              <w:bottom w:w="90" w:type="dxa"/>
              <w:left w:w="105" w:type="dxa"/>
              <w:right w:w="105" w:type="dxa"/>
            </w:tcMar>
          </w:tcPr>
          <w:p>
            <w:pPr>
              <w:spacing w:after="20" w:before="20" w:line="254" w:lineRule="auto"/>
            </w:pPr>
            <w:r>
              <w:rPr>
                <w:sz w:val="20"/>
              </w:rPr>
              <w:t xml:space="preserve">It depends on contested readings and reconstruction rather than surviving fabric. </w:t>
            </w:r>
            <w:hyperlink w:anchor="ref_9">
              <w:r>
                <w:rPr>
                  <w:color w:val="000000"/>
                  <w:sz w:val="20"/>
                </w:rPr>
                <w:t>[9]</w:t>
              </w:r>
            </w:hyperlink>
          </w:p>
        </w:tc>
      </w:tr>
    </w:tbl>
    <w:p>
      <w:pPr>
        <w:spacing w:after="40" w:line="48" w:lineRule="auto"/>
      </w:pPr>
      <w:r>
        <w:rPr>
          <w:sz w:val="4"/>
        </w:rPr>
      </w:r>
    </w:p>
    <w:p>
      <w:r>
        <w:t>The process matters archaeologically because different methods would leave different traces. Casting pits, molds, furnace debris, working surfaces, and foundations could help constrain a reconstruction. But debris from an impressive bronze workshop would not automatically identify the Colossus: Rhodes supported substantial sculptural production. Attribution would require context, date, scale, and ideally an explicit connection.</w:t>
      </w:r>
    </w:p>
    <w:p>
      <w:r>
        <w:t xml:space="preserve">Dickie also examines disagreement over when kolossos signified enormous size and what earlier uses implied. The word alone cannot establish the Rhodian statue’s pose or ritual powers. Linguistic evidence needs to be tested alongside other evidence. </w:t>
      </w:r>
      <w:hyperlink w:anchor="ref_9">
        <w:r>
          <w:rPr>
            <w:color w:val="000000"/>
          </w:rPr>
          <w:t>[9]</w:t>
        </w:r>
      </w:hyperlink>
    </w:p>
    <w:p>
      <w:pPr>
        <w:pStyle w:val="Heading1"/>
      </w:pPr>
      <w:r>
        <w:t>9 The statue we cannot yet draw</w:t>
      </w:r>
      <w:bookmarkStart w:id="9" w:name="chapter_9"/>
      <w:bookmarkEnd w:id="9"/>
    </w:p>
    <w:p>
      <w:r>
        <w:t xml:space="preserve">No surviving image is universally accepted as a record of the complete Colossus. </w:t>
      </w:r>
      <w:hyperlink w:anchor="ref_8">
        <w:r>
          <w:rPr>
            <w:color w:val="000000"/>
          </w:rPr>
          <w:t>[8]</w:t>
        </w:r>
      </w:hyperlink>
      <w:r>
        <w:t xml:space="preserve"> That leaves an attribution problem: recognizing Helios in ancient art does not by itself identify a depiction of this particular monument.</w:t>
      </w:r>
    </w:p>
    <w:p>
      <w:r>
        <w:t>A radiate crown or other solar attributes may be plausible. Detailed assertions about the arms, a torch, a spear, drapery, facial features, or surface finish require additional evidence. Plausibility is not confirmation. The difference is particularly important when a modern reconstruction combines several individually possible features into one apparently authoritative whole.</w:t>
      </w:r>
    </w:p>
    <w:p>
      <w:r>
        <w:t xml:space="preserve">The harbor-straddling giant is the clearest example. Neither Pliny nor Strabo says that ships passed between its legs. </w:t>
      </w:r>
      <w:hyperlink w:anchor="ref_1">
        <w:r>
          <w:rPr>
            <w:color w:val="000000"/>
          </w:rPr>
          <w:t>[1,2]</w:t>
        </w:r>
      </w:hyperlink>
      <w:r>
        <w:t xml:space="preserve"> A reconstruction based on their descriptions has no warrant for inserting that spectacular feature. Its later visual history belongs in a different evidentiary category.</w:t>
      </w:r>
    </w:p>
    <w:p>
      <w:r>
        <w:t xml:space="preserve">The proposed settings include the harbor, the acropolis, and the area around the later Palace of the Grand Master. Badoud rejects the harbor and acropolis arguments and favors the palace area. No proposed location is securely established. </w:t>
      </w:r>
      <w:hyperlink w:anchor="ref_8">
        <w:r>
          <w:rPr>
            <w:color w:val="000000"/>
          </w:rPr>
          <w:t>[8]</w:t>
        </w:r>
      </w:hyperlink>
    </w:p>
    <w:p>
      <w:r>
        <w:t xml:space="preserve">Zachhuber argues for identifying Helios’s sanctuary on the acropolis, a view that would give an acropolis setting a religious context. </w:t>
      </w:r>
      <w:hyperlink w:anchor="ref_21">
        <w:r>
          <w:rPr>
            <w:color w:val="000000"/>
          </w:rPr>
          <w:t>[21]</w:t>
        </w:r>
      </w:hyperlink>
      <w:r>
        <w:t xml:space="preserve"> The disagreement concerns the organization of sacred space as well as the statue’s visibility. Locating a sanctuary and locating a particular dedication remain distinct tasks.</w:t>
      </w:r>
    </w:p>
    <w:p>
      <w:r>
        <w:t>It is useful to ask what each hypothesis needs to explain. Was there adequate space for construction? How would materials reach the site? What foundations were required? How did the location relate to Helios’s worship and civic visibility? Are the relevant remains demonstrably of the right period? A persuasive answer must satisfy several constraints together.</w:t>
      </w:r>
    </w:p>
    <w:p>
      <w:r>
        <w:t>In the meantime, any illustration should identify itself as a reconstruction and name its assumptions. A drawing can be valuable precisely because it makes those assumptions visible. The trouble begins when an artist’s necessary decisions become the reader’s supposed facts.</w:t>
      </w:r>
    </w:p>
    <w:p>
      <w:pPr>
        <w:pStyle w:val="Heading1"/>
      </w:pPr>
      <w:r>
        <w:t>10 The earthquake and the politics of generosity</w:t>
      </w:r>
      <w:bookmarkStart w:id="10" w:name="chapter_10"/>
      <w:bookmarkEnd w:id="10"/>
    </w:p>
    <w:p>
      <w:r>
        <w:t xml:space="preserve">An earthquake brought down the Colossus in the late third century BCE. Strabo describes it as broken at the knees. Polybius places its fall within a larger urban disaster affecting walls and dockyards. The loss of the statue was one part of the emergency; recovering the city’s ability to function was another. </w:t>
      </w:r>
      <w:hyperlink w:anchor="ref_2">
        <w:r>
          <w:rPr>
            <w:color w:val="000000"/>
          </w:rPr>
          <w:t>[2,22]</w:t>
        </w:r>
      </w:hyperlink>
    </w:p>
    <w:p>
      <w:r>
        <w:t xml:space="preserve">The conventional date is around 227/226 BCE, often simplified to 226. Stella Skaltsa’s article in Chiron 55, a 2025 volume released online in January 2026, argues for 223/222 BCE. She gives greater weight to the chronographic tradition of Eusebius, preserved in Latin and Armenian transmission, and connects it with the sequence in Polybius. One consequence is a proposed identification of a royal donor as Seleucus III rather than Seleucus II. </w:t>
      </w:r>
      <w:hyperlink w:anchor="ref_23">
        <w:r>
          <w:rPr>
            <w:color w:val="000000"/>
          </w:rPr>
          <w:t>[23]</w:t>
        </w:r>
      </w:hyperlink>
    </w:p>
    <w:p>
      <w:r>
        <w:t>This is a serious scholarly revision, not a new consensus established by repetition. The paper’s publisher abstract was available for this review; its complete argument was not. The appropriate conclusion is that the exact year remains contested. The broader narrative of a late-third-century collapse is much firmer.</w:t>
      </w:r>
    </w:p>
    <w:p>
      <w:r>
        <w:t xml:space="preserve">The relief effort is one of the richest pieces of evidence for Rhodes’s international position. Polybius describes extensive royal and civic contributions, including money, grain, timber, and resources for reconstruction. He admires the Rhodians’ success in attracting generosity. The help was material, but it also made relationships public. </w:t>
      </w:r>
      <w:hyperlink w:anchor="ref_22">
        <w:r>
          <w:rPr>
            <w:color w:val="000000"/>
          </w:rPr>
          <w:t>[22]</w:t>
        </w:r>
      </w:hyperlink>
    </w:p>
    <w:p>
      <w:r>
        <w:t xml:space="preserve">His example from Syracuse is especially revealing. The donors arranged a sculptural group in which the Syracusan people crowned the Rhodian people. Relief acquired a permanent visual expression. One community’s assistance became another community’s obligation to remember who had helped. Promises and deliveries must be distinguished, but the political value of public generosity is clear. </w:t>
      </w:r>
      <w:hyperlink w:anchor="ref_22">
        <w:r>
          <w:rPr>
            <w:color w:val="000000"/>
          </w:rPr>
          <w:t>[22]</w:t>
        </w:r>
      </w:hyperlink>
    </w:p>
    <w:p>
      <w:r>
        <w:t>Here the anthropology of gifts is visible without requiring us to suppose that the gifts were insincere. Grain can feed people and generate prestige. Timber can repair infrastructure and advertise friendship. Gratitude can be felt and institutionally displayed. A gift’s practical usefulness does not remove its political consequences.</w:t>
      </w:r>
    </w:p>
    <w:p>
      <w:r>
        <w:t xml:space="preserve">Ptolemaic assistance included an offer toward restoring the Colossus. Strabo nevertheless says that the Rhodians did not raise it again in accordance with an oracle. He does not identify the oracle as Delphi in the relevant passage, nor supply the familiar story that an angry Helios had punished the city’s pride. Those embellishments should not be presented as the ancient account. </w:t>
      </w:r>
      <w:hyperlink w:anchor="ref_22">
        <w:r>
          <w:rPr>
            <w:color w:val="000000"/>
          </w:rPr>
          <w:t>[22,2]</w:t>
        </w:r>
      </w:hyperlink>
    </w:p>
    <w:p>
      <w:r>
        <w:t>The refusal is often explained away as either superstition or a clever financial decision. Both reactions outrun the evidence. Religion, resources, technical risk, and civic priorities could have interacted, but the surviving text does not let us rank them. We can say that the monument remained fallen while the community continued. Its religious significance did not require a straightforward program of physical restoration.</w:t>
      </w:r>
    </w:p>
    <w:p>
      <w:pPr>
        <w:pStyle w:val="Heading1"/>
      </w:pPr>
      <w:r>
        <w:t>11 How a ruin became a wonder</w:t>
      </w:r>
      <w:bookmarkStart w:id="11" w:name="chapter_11"/>
      <w:bookmarkEnd w:id="11"/>
    </w:p>
    <w:p>
      <w:r>
        <w:t xml:space="preserve">The earthquake did not end the Colossus’s public life. Strabo counts it among the Seven Wonders while describing its broken state. Pliny’s admiration likewise depends on the ruin still being available to describe. The monument’s reputation survived its failure as a standing structure. </w:t>
      </w:r>
      <w:hyperlink w:anchor="ref_1">
        <w:r>
          <w:rPr>
            <w:color w:val="000000"/>
          </w:rPr>
          <w:t>[1,2]</w:t>
        </w:r>
      </w:hyperlink>
    </w:p>
    <w:p>
      <w:r>
        <w:t>That survival changes how we should understand a “wonder.” The category was carried by writers, comparison, memory, and travel. It was not an ancient international heritage designation with a single administrative authority. A place could possess a world-famous marvel without preserving the condition in which its makers had unveiled it.</w:t>
      </w:r>
    </w:p>
    <w:p>
      <w:r>
        <w:t>The fallen figure offered new forms of knowledge and pleasure. Its interior became accessible to view. Body parts could be compared with entire sculptures. What had been elevated became approachable. We cannot reconstruct a guided tour, admission charge, or visitor industry from these descriptions. We can identify the kinds of attention the ruin invited.</w:t>
      </w:r>
    </w:p>
    <w:p>
      <w:r>
        <w:t xml:space="preserve">Pliny’s account also places the Colossus within a much larger sculptural environment. Rhodes, he reports, possessed many other large statues. The famous Helios was exceptional within a flourishing culture of sculptural display, rather than a solitary technical miracle produced in an artistic vacuum. </w:t>
      </w:r>
      <w:hyperlink w:anchor="ref_1">
        <w:r>
          <w:rPr>
            <w:color w:val="000000"/>
          </w:rPr>
          <w:t>[1]</w:t>
        </w:r>
      </w:hyperlink>
    </w:p>
    <w:p>
      <w:r>
        <w:t xml:space="preserve">There is an important second Colossus in the Roman story. Pliny describes the enormous figure made for Nero at Rome and subsequently dedicated to the sun. Later accounts of giant solar statues can be difficult to assign securely. The existence of more than one celebrated colossus makes a casual reference to “the Colossus” less decisive than it appears. </w:t>
      </w:r>
      <w:hyperlink w:anchor="ref_1">
        <w:r>
          <w:rPr>
            <w:color w:val="000000"/>
          </w:rPr>
          <w:t>[1]</w:t>
        </w:r>
      </w:hyperlink>
    </w:p>
    <w:p>
      <w:r>
        <w:t>The Rhodian statue also illustrates how material and narrative durability differ. Bronze can last, but it is useful raw material and can be recast. A famous name can persist even when the object bearing it has become fragmented or inaccessible. That observation does not establish when any specific piece disappeared. It explains why the survival of a story cannot certify the survival of all the metal it describes.</w:t>
      </w:r>
    </w:p>
    <w:p>
      <w:r>
        <w:t>The crucial evidentiary boundary is therefore between the ancient accounts of a fallen wonder and the much later story of its final disposal. It is tempting to join them into a continuous, fully observed history. The intervening centuries do not provide that continuity.</w:t>
      </w:r>
    </w:p>
    <w:p>
      <w:pPr>
        <w:pStyle w:val="Heading1"/>
      </w:pPr>
      <w:r>
        <w:t>12 Nine hundred camels and the missing bronze</w:t>
      </w:r>
      <w:bookmarkStart w:id="12" w:name="chapter_12"/>
      <w:bookmarkEnd w:id="12"/>
    </w:p>
    <w:p>
      <w:r>
        <w:t>The usual ending is wonderfully concrete. After an Arab attack around 653 CE, the story goes, the bronze was sold to a Jewish merchant from Emesa and carried away on nine hundred camels. A lost wonder receives a buyer, a destination, and an unforgettable quantity of transport. It sounds like the final entry in an inventory.</w:t>
      </w:r>
    </w:p>
    <w:p>
      <w:r>
        <w:t xml:space="preserve">It is not contemporary documentation of such a transaction. Lawrence Conrad’s study examines the later Arabic and Syriac historical traditions and the problems of their transmission. Multiple retellings do not necessarily constitute multiple independent witnesses. An account can acquire the appearance of corroboration as dependent authors repeat and adapt it. </w:t>
      </w:r>
      <w:hyperlink w:anchor="ref_24">
        <w:r>
          <w:rPr>
            <w:color w:val="000000"/>
          </w:rPr>
          <w:t>[24]</w:t>
        </w:r>
      </w:hyperlink>
    </w:p>
    <w:p>
      <w:r>
        <w:t xml:space="preserve">David Woods offers a more discriminating alternative to simply accepting or discarding the whole episode. He suggests that a tradition associated with Theophilus of Edessa may incorporate a local story explaining bronze at Emesa, potentially connected with material brought from a raid on Rhodes. That possibility would not authenticate the claim that the famous statue survived intact as salvageable ruins until the seventh century, or the figure of nine hundred camels. </w:t>
      </w:r>
      <w:hyperlink w:anchor="ref_25">
        <w:r>
          <w:rPr>
            <w:color w:val="000000"/>
          </w:rPr>
          <w:t>[25]</w:t>
        </w:r>
      </w:hyperlink>
    </w:p>
    <w:p>
      <w:r>
        <w:t>The secure conclusion is limited: the date and manner of the Colossus’s final disappearance are not established. A later account of sale and transport is evidence for how people explained that disappearance. It is not sufficient evidence for the composition of a cargo.</w:t>
      </w:r>
    </w:p>
    <w:p>
      <w:r>
        <w:t>The caravan also gives the disappearance a comprehensible shape. A huge statue is difficult to picture; a procession of loaded animals turns its mass into a sequence. The number supplies an apparent completeness: enough transport was assembled, the material departed, and the story can end. That is an interpretation of the narrative’s effect, not independent evidence for its logistics.</w:t>
      </w:r>
    </w:p>
    <w:p>
      <w:r>
        <w:t>From an anthropological perspective, the story is compelling because it changes the object’s category. A god’s dedication becomes broken monument, then potentially commercial metal. The thought of a celebrated image being weighed, sold, and transported dramatizes the loss of a world. Whether particular bronze really made that journey is a separate historical question.</w:t>
      </w:r>
    </w:p>
    <w:p>
      <w:r>
        <w:t>That distinction preserves the story’s interest while removing its false certainty. Legends of destruction are themselves part of what happens to monuments. They allocate agency, explain absence, and turn a gap in knowledge into a memorable event.</w:t>
      </w:r>
    </w:p>
    <w:p>
      <w:pPr>
        <w:pStyle w:val="Heading1"/>
      </w:pPr>
      <w:r>
        <w:t>13 The imagined giant inherits the world</w:t>
      </w:r>
      <w:bookmarkStart w:id="13" w:name="chapter_13"/>
      <w:bookmarkEnd w:id="13"/>
    </w:p>
    <w:p>
      <w:r>
        <w:t>Once the statue’s appearance was no longer recoverable, artists had room to supply one. The harbor-straddling figure became an especially powerful solution. It made the giant’s size immediately legible through ships and buildings, and it gave a static body an unmistakable relationship to the city.</w:t>
      </w:r>
    </w:p>
    <w:p>
      <w:r>
        <w:t xml:space="preserve">Maarten van Heemskerck’s influential image helped establish that visual tradition, as Badoud’s reception history explains. </w:t>
      </w:r>
      <w:hyperlink w:anchor="ref_8">
        <w:r>
          <w:rPr>
            <w:color w:val="000000"/>
          </w:rPr>
          <w:t>[8]</w:t>
        </w:r>
      </w:hyperlink>
      <w:r>
        <w:t xml:space="preserve"> A picture can become culturally authoritative through its repeated use. The viewer remembers the image; qualifications in an accompanying paragraph have a much harder time competing.</w:t>
      </w:r>
    </w:p>
    <w:p>
      <w:r>
        <w:t xml:space="preserve">Shakespeare’s Julius Caesar supplies a literary example. Cassius describes Caesar as striding over a diminished world like a colossus, with lesser men beneath his legs. The image expresses resentment of overwhelming personal power. This is early modern dramatic evidence for what a colossus could mean, not testimony about the engineering of third-century BCE Rhodes. </w:t>
      </w:r>
      <w:hyperlink w:anchor="ref_26">
        <w:r>
          <w:rPr>
            <w:color w:val="000000"/>
          </w:rPr>
          <w:t>[26]</w:t>
        </w:r>
      </w:hyperlink>
    </w:p>
    <w:p>
      <w:r>
        <w:t xml:space="preserve">Emma Lazarus makes a different transformation in The New Colossus, written in 1883 for fundraising associated with the Statue of Liberty’s pedestal. Her poem invokes the ancient giant and then imagines a monumental woman whose greatness consists in welcoming displaced people. The National Park Service documents the poem’s connection to Lazarus’s work with refugees and its later installation on a bronze plaque in 1903. </w:t>
      </w:r>
      <w:hyperlink w:anchor="ref_27">
        <w:r>
          <w:rPr>
            <w:color w:val="000000"/>
          </w:rPr>
          <w:t>[27]</w:t>
        </w:r>
      </w:hyperlink>
    </w:p>
    <w:p>
      <w:r>
        <w:t>The comparison is fruitful because the meanings are not identical. Rhodian freedom concerned a particular political community’s survival in a competitive Mediterranean world. Lazarus’s poem proposes a moral identity for a receiving nation. Both connect monument, place, and public values; they make different claims about who is included.</w:t>
      </w:r>
    </w:p>
    <w:p>
      <w:r>
        <w:t>The analogy also warns against projecting the Statue of Liberty backward. A torch-bearing harbor monument familiar to modern viewers can quietly determine what they expect the ancient Helios to have looked like. Resemblance between a modern image and a reconstruction may show influence in the reconstruction, rather than historical continuity in the missing statue.</w:t>
      </w:r>
    </w:p>
    <w:p>
      <w:r>
        <w:t>The same issue applies to proposals for rebuilding the Colossus. Without a securely identified design, a new giant would necessarily be a modern work informed by selected ancient evidence and later imagination. That can be an interesting cultural project. Calling it a faithful recovery would make a stronger claim than the evidence permits.</w:t>
      </w:r>
    </w:p>
    <w:p>
      <w:r>
        <w:t>The Colossus has thus acquired a peculiar form of immortality. Its missing body allows each generation to make it stand for something new: divine favor, civic survival, intimidating power, technological ambition, or the possibility of a different kind of liberty. Those meanings belong to its history even when they differ from its original purpose.</w:t>
      </w:r>
    </w:p>
    <w:p>
      <w:pPr>
        <w:pStyle w:val="Heading1"/>
      </w:pPr>
      <w:r>
        <w:t>14 What remains to be discovered</w:t>
      </w:r>
      <w:bookmarkStart w:id="14" w:name="chapter_14"/>
      <w:bookmarkEnd w:id="14"/>
    </w:p>
    <w:p>
      <w:r>
        <w:t>For someone encountering Rhodes today, the most productive question is not only “Where was the statue?” It is “What kind of place could make it?” The harbor makes the city’s maritime dependence intelligible. The elevated parts of the city invite questions about visibility and sacred space. Lindos and Kamiros make the persistence of local communities harder to overlook. These are ways of reading a landscape, not instructions to treat any candidate site as settled.</w:t>
      </w:r>
    </w:p>
    <w:p>
      <w:r>
        <w:t>A decisive discovery would need to connect several kinds of evidence. A dedication naming Helios and the Rhodian community, securely associated with foundations of appropriate scale and date, would be far stronger than an isolated massive block. Casting debris could constrain construction, particularly if joined to a convincing workshop context. A securely identified representation could change the debate over pose. Even an authenticated fragment would answer only the questions its surviving features allow.</w:t>
      </w:r>
    </w:p>
    <w:p>
      <w:r>
        <w:t>Meanwhile, progress can come from re-reading. The new earthquake proposal depends on taking a neglected chronographic tradition seriously. Studies of priestesses and associations reveal people and institutions that a monument-centered history can miss. Criticism of the construction account changes the archaeological traces researchers should expect. The absence of a spectacular new find does not mean that the subject is exhausted.</w:t>
      </w:r>
    </w:p>
    <w:p>
      <w:r>
        <w:t>The Colossus was an achievement of metal, labor, organization, and imagination. It thanked a god and spoke for a city that had survived coercion. It made common identity visible without dissolving social inequality or local difference. When it fell, people found new reasons to marvel at it. When it disappeared, they supplied new bodies for it in pictures and words.</w:t>
      </w:r>
    </w:p>
    <w:p>
      <w:r>
        <w:t>That is why the lost wonder rewards a deeper history. The statue’s dimensions are only the beginning. Its larger measure is the number of relationships it made visible, and the number of later worlds that found a use for its name.</w:t>
      </w:r>
    </w:p>
    <w:p>
      <w:r>
        <w:br w:type="page"/>
      </w:r>
    </w:p>
    <w:p>
      <w:pPr>
        <w:pStyle w:val="Heading1"/>
      </w:pPr>
      <w:r>
        <w:t>Evidence guide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888"/>
        <w:gridCol w:w="3816"/>
      </w:tblGrid>
      <w:tr>
        <w:trPr>
          <w:cantSplit/>
          <w:tblHeader/>
        </w:trPr>
        <w:tc>
          <w:tcPr>
            <w:tcW w:type="dxa" w:w="1944"/>
            <w:vAlign w:val="center"/>
            <w:tcMar>
              <w:top w:w="90" w:type="dxa"/>
              <w:bottom w:w="90" w:type="dxa"/>
              <w:left w:w="105" w:type="dxa"/>
              <w:right w:w="105" w:type="dxa"/>
            </w:tcMar>
            <w:shd w:fill="E8EFF3"/>
          </w:tcPr>
          <w:p>
            <w:pPr>
              <w:keepNext/>
              <w:spacing w:after="20" w:before="20" w:line="254" w:lineRule="auto"/>
              <w:jc w:val="center"/>
            </w:pPr>
            <w:r>
              <w:rPr>
                <w:b/>
                <w:sz w:val="20"/>
              </w:rPr>
              <w:t>Question</w:t>
            </w:r>
          </w:p>
        </w:tc>
        <w:tc>
          <w:tcPr>
            <w:tcW w:type="dxa" w:w="3888"/>
            <w:vAlign w:val="center"/>
            <w:tcMar>
              <w:top w:w="90" w:type="dxa"/>
              <w:bottom w:w="90" w:type="dxa"/>
              <w:left w:w="105" w:type="dxa"/>
              <w:right w:w="105" w:type="dxa"/>
            </w:tcMar>
            <w:shd w:fill="E8EFF3"/>
          </w:tcPr>
          <w:p>
            <w:pPr>
              <w:keepNext/>
              <w:spacing w:after="20" w:before="20" w:line="254" w:lineRule="auto"/>
            </w:pPr>
            <w:r>
              <w:rPr>
                <w:b/>
                <w:sz w:val="20"/>
              </w:rPr>
              <w:t>Best supported conclusion</w:t>
            </w:r>
          </w:p>
        </w:tc>
        <w:tc>
          <w:tcPr>
            <w:tcW w:type="dxa" w:w="3816"/>
            <w:vAlign w:val="center"/>
            <w:tcMar>
              <w:top w:w="90" w:type="dxa"/>
              <w:bottom w:w="90" w:type="dxa"/>
              <w:left w:w="105" w:type="dxa"/>
              <w:right w:w="105" w:type="dxa"/>
            </w:tcMar>
            <w:shd w:fill="E8EFF3"/>
          </w:tcPr>
          <w:p>
            <w:pPr>
              <w:keepNext/>
              <w:spacing w:after="20" w:before="20" w:line="254" w:lineRule="auto"/>
            </w:pPr>
            <w:r>
              <w:rPr>
                <w:b/>
                <w:sz w:val="20"/>
              </w:rPr>
              <w:t>Remaining limit</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What was it?</w:t>
            </w:r>
          </w:p>
        </w:tc>
        <w:tc>
          <w:tcPr>
            <w:tcW w:type="dxa" w:w="3888"/>
            <w:vAlign w:val="center"/>
            <w:tcMar>
              <w:top w:w="90" w:type="dxa"/>
              <w:bottom w:w="90" w:type="dxa"/>
              <w:left w:w="105" w:type="dxa"/>
              <w:right w:w="105" w:type="dxa"/>
            </w:tcMar>
          </w:tcPr>
          <w:p>
            <w:pPr>
              <w:spacing w:after="20" w:before="20" w:line="254" w:lineRule="auto"/>
            </w:pPr>
            <w:r>
              <w:rPr>
                <w:sz w:val="20"/>
              </w:rPr>
              <w:t xml:space="preserve">A colossal bronze image of Helios, attributed to Chares of Lindos. </w:t>
            </w:r>
            <w:hyperlink w:anchor="ref_1">
              <w:r>
                <w:rPr>
                  <w:color w:val="000000"/>
                  <w:sz w:val="20"/>
                </w:rPr>
                <w:t>[1,2]</w:t>
              </w:r>
            </w:hyperlink>
          </w:p>
        </w:tc>
        <w:tc>
          <w:tcPr>
            <w:tcW w:type="dxa" w:w="3816"/>
            <w:vAlign w:val="center"/>
            <w:tcMar>
              <w:top w:w="90" w:type="dxa"/>
              <w:bottom w:w="90" w:type="dxa"/>
              <w:left w:w="105" w:type="dxa"/>
              <w:right w:w="105" w:type="dxa"/>
            </w:tcMar>
          </w:tcPr>
          <w:p>
            <w:pPr>
              <w:spacing w:after="20" w:before="20" w:line="254" w:lineRule="auto"/>
            </w:pPr>
            <w:r>
              <w:rPr>
                <w:sz w:val="20"/>
              </w:rPr>
              <w:t>No securely identified surviving part supplies the design.</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Why was it made?</w:t>
            </w:r>
          </w:p>
        </w:tc>
        <w:tc>
          <w:tcPr>
            <w:tcW w:type="dxa" w:w="3888"/>
            <w:vAlign w:val="center"/>
            <w:tcMar>
              <w:top w:w="90" w:type="dxa"/>
              <w:bottom w:w="90" w:type="dxa"/>
              <w:left w:w="105" w:type="dxa"/>
              <w:right w:w="105" w:type="dxa"/>
            </w:tcMar>
          </w:tcPr>
          <w:p>
            <w:pPr>
              <w:spacing w:after="20" w:before="20" w:line="254" w:lineRule="auto"/>
            </w:pPr>
            <w:r>
              <w:rPr>
                <w:sz w:val="20"/>
              </w:rPr>
              <w:t xml:space="preserve">A dedication associated with Rhodes’s survival of the siege. </w:t>
            </w:r>
            <w:hyperlink w:anchor="ref_1">
              <w:r>
                <w:rPr>
                  <w:color w:val="000000"/>
                  <w:sz w:val="20"/>
                </w:rPr>
                <w:t>[1,5–7]</w:t>
              </w:r>
            </w:hyperlink>
          </w:p>
        </w:tc>
        <w:tc>
          <w:tcPr>
            <w:tcW w:type="dxa" w:w="3816"/>
            <w:vAlign w:val="center"/>
            <w:tcMar>
              <w:top w:w="90" w:type="dxa"/>
              <w:bottom w:w="90" w:type="dxa"/>
              <w:left w:w="105" w:type="dxa"/>
              <w:right w:w="105" w:type="dxa"/>
            </w:tcMar>
          </w:tcPr>
          <w:p>
            <w:pPr>
              <w:spacing w:after="20" w:before="20" w:line="254" w:lineRule="auto"/>
            </w:pPr>
            <w:r>
              <w:rPr>
                <w:sz w:val="20"/>
              </w:rPr>
              <w:t>The full commissioning decision and accounts are lost.</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How large was it?</w:t>
            </w:r>
          </w:p>
        </w:tc>
        <w:tc>
          <w:tcPr>
            <w:tcW w:type="dxa" w:w="3888"/>
            <w:vAlign w:val="center"/>
            <w:tcMar>
              <w:top w:w="90" w:type="dxa"/>
              <w:bottom w:w="90" w:type="dxa"/>
              <w:left w:w="105" w:type="dxa"/>
              <w:right w:w="105" w:type="dxa"/>
            </w:tcMar>
          </w:tcPr>
          <w:p>
            <w:pPr>
              <w:spacing w:after="20" w:before="20" w:line="254" w:lineRule="auto"/>
            </w:pPr>
            <w:r>
              <w:rPr>
                <w:sz w:val="20"/>
              </w:rPr>
              <w:t xml:space="preserve">Ancient testimony gives seventy cubits, approximately 30–35 meters. </w:t>
            </w:r>
            <w:hyperlink w:anchor="ref_1">
              <w:r>
                <w:rPr>
                  <w:color w:val="000000"/>
                  <w:sz w:val="20"/>
                </w:rPr>
                <w:t>[1,10]</w:t>
              </w:r>
            </w:hyperlink>
          </w:p>
        </w:tc>
        <w:tc>
          <w:tcPr>
            <w:tcW w:type="dxa" w:w="3816"/>
            <w:vAlign w:val="center"/>
            <w:tcMar>
              <w:top w:w="90" w:type="dxa"/>
              <w:bottom w:w="90" w:type="dxa"/>
              <w:left w:w="105" w:type="dxa"/>
              <w:right w:w="105" w:type="dxa"/>
            </w:tcMar>
          </w:tcPr>
          <w:p>
            <w:pPr>
              <w:spacing w:after="20" w:before="20" w:line="254" w:lineRule="auto"/>
            </w:pPr>
            <w:r>
              <w:rPr>
                <w:sz w:val="20"/>
              </w:rPr>
              <w:t>Cubit choice, pedestal height, proportions, and mass are uncertain.</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How was it built?</w:t>
            </w:r>
          </w:p>
        </w:tc>
        <w:tc>
          <w:tcPr>
            <w:tcW w:type="dxa" w:w="3888"/>
            <w:vAlign w:val="center"/>
            <w:tcMar>
              <w:top w:w="90" w:type="dxa"/>
              <w:bottom w:w="90" w:type="dxa"/>
              <w:left w:w="105" w:type="dxa"/>
              <w:right w:w="105" w:type="dxa"/>
            </w:tcMar>
          </w:tcPr>
          <w:p>
            <w:pPr>
              <w:spacing w:after="20" w:before="20" w:line="254" w:lineRule="auto"/>
            </w:pPr>
            <w:r>
              <w:rPr>
                <w:sz w:val="20"/>
              </w:rPr>
              <w:t xml:space="preserve">It required hollow bronze work and an effective support system. </w:t>
            </w:r>
            <w:hyperlink w:anchor="ref_1">
              <w:r>
                <w:rPr>
                  <w:color w:val="000000"/>
                  <w:sz w:val="20"/>
                </w:rPr>
                <w:t>[1,9,10]</w:t>
              </w:r>
            </w:hyperlink>
          </w:p>
        </w:tc>
        <w:tc>
          <w:tcPr>
            <w:tcW w:type="dxa" w:w="3816"/>
            <w:vAlign w:val="center"/>
            <w:tcMar>
              <w:top w:w="90" w:type="dxa"/>
              <w:bottom w:w="90" w:type="dxa"/>
              <w:left w:w="105" w:type="dxa"/>
              <w:right w:w="105" w:type="dxa"/>
            </w:tcMar>
          </w:tcPr>
          <w:p>
            <w:pPr>
              <w:spacing w:after="20" w:before="20" w:line="254" w:lineRule="auto"/>
            </w:pPr>
            <w:r>
              <w:rPr>
                <w:sz w:val="20"/>
              </w:rPr>
              <w:t>The casting sequence, joints, and internal structure are disputed.</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Where did it stand?</w:t>
            </w:r>
          </w:p>
        </w:tc>
        <w:tc>
          <w:tcPr>
            <w:tcW w:type="dxa" w:w="3888"/>
            <w:vAlign w:val="center"/>
            <w:tcMar>
              <w:top w:w="90" w:type="dxa"/>
              <w:bottom w:w="90" w:type="dxa"/>
              <w:left w:w="105" w:type="dxa"/>
              <w:right w:w="105" w:type="dxa"/>
            </w:tcMar>
          </w:tcPr>
          <w:p>
            <w:pPr>
              <w:spacing w:after="20" w:before="20" w:line="254" w:lineRule="auto"/>
            </w:pPr>
            <w:r>
              <w:rPr>
                <w:sz w:val="20"/>
              </w:rPr>
              <w:t xml:space="preserve">Somewhere in the ancient city of Rhodes. </w:t>
            </w:r>
            <w:hyperlink w:anchor="ref_1">
              <w:r>
                <w:rPr>
                  <w:color w:val="000000"/>
                  <w:sz w:val="20"/>
                </w:rPr>
                <w:t>[1,2]</w:t>
              </w:r>
            </w:hyperlink>
          </w:p>
        </w:tc>
        <w:tc>
          <w:tcPr>
            <w:tcW w:type="dxa" w:w="3816"/>
            <w:vAlign w:val="center"/>
            <w:tcMar>
              <w:top w:w="90" w:type="dxa"/>
              <w:bottom w:w="90" w:type="dxa"/>
              <w:left w:w="105" w:type="dxa"/>
              <w:right w:w="105" w:type="dxa"/>
            </w:tcMar>
          </w:tcPr>
          <w:p>
            <w:pPr>
              <w:spacing w:after="20" w:before="20" w:line="254" w:lineRule="auto"/>
            </w:pPr>
            <w:r>
              <w:rPr>
                <w:sz w:val="20"/>
              </w:rPr>
              <w:t>Harbor, acropolis, and palace-area proposals remain unconfirmed.</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When did it fall?</w:t>
            </w:r>
          </w:p>
        </w:tc>
        <w:tc>
          <w:tcPr>
            <w:tcW w:type="dxa" w:w="3888"/>
            <w:vAlign w:val="center"/>
            <w:tcMar>
              <w:top w:w="90" w:type="dxa"/>
              <w:bottom w:w="90" w:type="dxa"/>
              <w:left w:w="105" w:type="dxa"/>
              <w:right w:w="105" w:type="dxa"/>
            </w:tcMar>
          </w:tcPr>
          <w:p>
            <w:pPr>
              <w:spacing w:after="20" w:before="20" w:line="254" w:lineRule="auto"/>
            </w:pPr>
            <w:r>
              <w:rPr>
                <w:sz w:val="20"/>
              </w:rPr>
              <w:t xml:space="preserve">In a late-third-century BCE earthquake. </w:t>
            </w:r>
            <w:hyperlink w:anchor="ref_2">
              <w:r>
                <w:rPr>
                  <w:color w:val="000000"/>
                  <w:sz w:val="20"/>
                </w:rPr>
                <w:t>[2,22]</w:t>
              </w:r>
            </w:hyperlink>
          </w:p>
        </w:tc>
        <w:tc>
          <w:tcPr>
            <w:tcW w:type="dxa" w:w="3816"/>
            <w:vAlign w:val="center"/>
            <w:tcMar>
              <w:top w:w="90" w:type="dxa"/>
              <w:bottom w:w="90" w:type="dxa"/>
              <w:left w:w="105" w:type="dxa"/>
              <w:right w:w="105" w:type="dxa"/>
            </w:tcMar>
          </w:tcPr>
          <w:p>
            <w:pPr>
              <w:spacing w:after="20" w:before="20" w:line="254" w:lineRule="auto"/>
            </w:pPr>
            <w:r>
              <w:rPr>
                <w:sz w:val="20"/>
              </w:rPr>
              <w:t xml:space="preserve">Around 227/226 and 223/222 BCE are competing chronologies. </w:t>
            </w:r>
            <w:hyperlink w:anchor="ref_23">
              <w:r>
                <w:rPr>
                  <w:color w:val="000000"/>
                  <w:sz w:val="20"/>
                </w:rPr>
                <w:t>[23]</w:t>
              </w:r>
            </w:hyperlink>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Why was it not raised?</w:t>
            </w:r>
          </w:p>
        </w:tc>
        <w:tc>
          <w:tcPr>
            <w:tcW w:type="dxa" w:w="3888"/>
            <w:vAlign w:val="center"/>
            <w:tcMar>
              <w:top w:w="90" w:type="dxa"/>
              <w:bottom w:w="90" w:type="dxa"/>
              <w:left w:w="105" w:type="dxa"/>
              <w:right w:w="105" w:type="dxa"/>
            </w:tcMar>
          </w:tcPr>
          <w:p>
            <w:pPr>
              <w:spacing w:after="20" w:before="20" w:line="254" w:lineRule="auto"/>
            </w:pPr>
            <w:r>
              <w:rPr>
                <w:sz w:val="20"/>
              </w:rPr>
              <w:t xml:space="preserve">Strabo reports an oracle as the reason. </w:t>
            </w:r>
            <w:hyperlink w:anchor="ref_2">
              <w:r>
                <w:rPr>
                  <w:color w:val="000000"/>
                  <w:sz w:val="20"/>
                </w:rPr>
                <w:t>[2]</w:t>
              </w:r>
            </w:hyperlink>
          </w:p>
        </w:tc>
        <w:tc>
          <w:tcPr>
            <w:tcW w:type="dxa" w:w="3816"/>
            <w:vAlign w:val="center"/>
            <w:tcMar>
              <w:top w:w="90" w:type="dxa"/>
              <w:bottom w:w="90" w:type="dxa"/>
              <w:left w:w="105" w:type="dxa"/>
              <w:right w:w="105" w:type="dxa"/>
            </w:tcMar>
          </w:tcPr>
          <w:p>
            <w:pPr>
              <w:spacing w:after="20" w:before="20" w:line="254" w:lineRule="auto"/>
            </w:pPr>
            <w:r>
              <w:rPr>
                <w:sz w:val="20"/>
              </w:rPr>
              <w:t>The oracle’s identity and the full decision process are unknown.</w:t>
            </w:r>
          </w:p>
        </w:tc>
      </w:tr>
      <w:tr>
        <w:trPr>
          <w:cantSplit/>
        </w:trPr>
        <w:tc>
          <w:tcPr>
            <w:tcW w:type="dxa" w:w="1944"/>
            <w:vAlign w:val="center"/>
            <w:tcMar>
              <w:top w:w="90" w:type="dxa"/>
              <w:bottom w:w="90" w:type="dxa"/>
              <w:left w:w="105" w:type="dxa"/>
              <w:right w:w="105" w:type="dxa"/>
            </w:tcMar>
          </w:tcPr>
          <w:p>
            <w:pPr>
              <w:spacing w:after="20" w:before="20" w:line="254" w:lineRule="auto"/>
              <w:jc w:val="center"/>
            </w:pPr>
            <w:r>
              <w:rPr>
                <w:sz w:val="20"/>
              </w:rPr>
              <w:t>Where did the bronze go?</w:t>
            </w:r>
          </w:p>
        </w:tc>
        <w:tc>
          <w:tcPr>
            <w:tcW w:type="dxa" w:w="3888"/>
            <w:vAlign w:val="center"/>
            <w:tcMar>
              <w:top w:w="90" w:type="dxa"/>
              <w:bottom w:w="90" w:type="dxa"/>
              <w:left w:w="105" w:type="dxa"/>
              <w:right w:w="105" w:type="dxa"/>
            </w:tcMar>
          </w:tcPr>
          <w:p>
            <w:pPr>
              <w:spacing w:after="20" w:before="20" w:line="254" w:lineRule="auto"/>
            </w:pPr>
            <w:r>
              <w:rPr>
                <w:sz w:val="20"/>
              </w:rPr>
              <w:t>Its eventual disappearance is certain.</w:t>
            </w:r>
          </w:p>
        </w:tc>
        <w:tc>
          <w:tcPr>
            <w:tcW w:type="dxa" w:w="3816"/>
            <w:vAlign w:val="center"/>
            <w:tcMar>
              <w:top w:w="90" w:type="dxa"/>
              <w:bottom w:w="90" w:type="dxa"/>
              <w:left w:w="105" w:type="dxa"/>
              <w:right w:w="105" w:type="dxa"/>
            </w:tcMar>
          </w:tcPr>
          <w:p>
            <w:pPr>
              <w:spacing w:after="20" w:before="20" w:line="254" w:lineRule="auto"/>
            </w:pPr>
            <w:r>
              <w:rPr>
                <w:sz w:val="20"/>
              </w:rPr>
              <w:t xml:space="preserve">The seventh-century sale and camel story is not secure documentation. </w:t>
            </w:r>
            <w:hyperlink w:anchor="ref_24">
              <w:r>
                <w:rPr>
                  <w:color w:val="000000"/>
                  <w:sz w:val="20"/>
                </w:rPr>
                <w:t>[24,25]</w:t>
              </w:r>
            </w:hyperlink>
          </w:p>
        </w:tc>
      </w:tr>
    </w:tbl>
    <w:p>
      <w:pPr>
        <w:spacing w:after="40" w:line="48" w:lineRule="auto"/>
      </w:pPr>
      <w:r>
        <w:rPr>
          <w:sz w:val="4"/>
        </w:rPr>
      </w:r>
    </w:p>
    <w:p>
      <w:pPr>
        <w:pStyle w:val="Heading1"/>
      </w:pPr>
      <w:r>
        <w:t>Notes on consequential uncertainties</w:t>
      </w:r>
    </w:p>
    <w:p>
      <w:r>
        <w:rPr>
          <w:b/>
        </w:rPr>
        <w:t>Chares and the missing biography.</w:t>
      </w:r>
      <w:r>
        <w:t xml:space="preserve"> The story of Chares’s suicide and completion of the statue by another sculptor is rejected in Badoud’s reassessment. It should not supply a confident biographical ending. </w:t>
      </w:r>
      <w:hyperlink w:anchor="ref_8">
        <w:r>
          <w:rPr>
            <w:color w:val="000000"/>
          </w:rPr>
          <w:t>[8]</w:t>
        </w:r>
      </w:hyperlink>
      <w:r>
        <w:t xml:space="preserve"> The wider methodological point is simple: a named maker does not guarantee a recoverable life story.</w:t>
      </w:r>
    </w:p>
    <w:p>
      <w:r>
        <w:rPr>
          <w:b/>
        </w:rPr>
        <w:t>The years standing.</w:t>
      </w:r>
      <w:r>
        <w:t xml:space="preserve"> Pliny is frequently cited for fifty-six years, but the Latin text checked for this paper prints LXVI, sixty-six, and the English version at Attalus agrees. This paper does not adjudicate the textual history of the numeral. It avoids deriving an exact construction chronology from it. Badoud’s publisher summary dates the work to 295–283 BCE, illustrating the variation behind the familiar approximate completion date of 280. The twelve-year building period is a transmitted report rather than an independently documented schedule. </w:t>
      </w:r>
      <w:hyperlink w:anchor="ref_1">
        <w:r>
          <w:rPr>
            <w:color w:val="000000"/>
          </w:rPr>
          <w:t>[1,8,23]</w:t>
        </w:r>
      </w:hyperlink>
    </w:p>
    <w:p>
      <w:r>
        <w:rPr>
          <w:b/>
        </w:rPr>
        <w:t>Helios and Apollo.</w:t>
      </w:r>
      <w:r>
        <w:t xml:space="preserve"> The acropolis sanctuary’s identification remains disputed. </w:t>
      </w:r>
      <w:hyperlink w:anchor="ref_21">
        <w:r>
          <w:rPr>
            <w:color w:val="000000"/>
          </w:rPr>
          <w:t>[21,8]</w:t>
        </w:r>
      </w:hyperlink>
      <w:r>
        <w:t xml:space="preserve"> It would be circular to identify the temple as Helios’s because the Colossus supposedly stood there, then locate the Colossus there because it was Helios’s temple. Each claim requires independent support.</w:t>
      </w:r>
    </w:p>
    <w:p>
      <w:r>
        <w:rPr>
          <w:b/>
        </w:rPr>
        <w:t>The scope of anthropology.</w:t>
      </w:r>
      <w:r>
        <w:t xml:space="preserve"> Here anthropology means the analysis of social relations, institutions, religious practice, belonging, and the changing meanings of an object. It is historical anthropology based on texts and material evidence. It is not an ethnography based on interviews with ancient inhabitants, and it cannot recover their individual experiences uniformly. The interpretive passages in the paper are synthesis, not quotations from a lost Rhodian explanation.</w:t>
      </w:r>
    </w:p>
    <w:p>
      <w:r>
        <w:rPr>
          <w:b/>
        </w:rPr>
        <w:t>How the sources were used.</w:t>
      </w:r>
      <w:r>
        <w:t xml:space="preserve"> Ancient passages were checked in accessible editions or translations. Modern full texts were used where available; publisher abstracts and extracts supported narrower statements where access was limited. Books accessed through reviews are explicitly identified below. This is a researched synthesis with a selected bibliography, not a systematic review of every publication. It incorporates scholarship available through 20 September 2026 without claiming that the newest proposal has already become consensus.</w:t>
      </w:r>
    </w:p>
    <w:p>
      <w:pPr>
        <w:pStyle w:val="Heading1"/>
      </w:pPr>
      <w:r>
        <w:t>References and paths for further reading</w:t>
      </w:r>
    </w:p>
    <w:p>
      <w:r>
        <w:t>The numbered entries correspond to citations in the paper. Ancient works are cited by their standard book and section numbers so that readers can use other editions. Links lead to an accessible text, publisher record, author copy, or the scholarly review actually used.</w:t>
      </w:r>
    </w:p>
    <w:p>
      <w:pPr>
        <w:keepLines/>
        <w:spacing w:after="180" w:line="264" w:lineRule="auto"/>
      </w:pPr>
      <w:bookmarkStart w:id="15" w:name="ref_1"/>
      <w:bookmarkEnd w:id="15"/>
      <w:r>
        <w:rPr>
          <w:sz w:val="21"/>
        </w:rPr>
        <w:t>[1]</w:t>
      </w:r>
      <w:r>
        <w:rPr>
          <w:sz w:val="21"/>
        </w:rPr>
        <w:t xml:space="preserve"> Pliny the Elder. </w:t>
      </w:r>
      <w:r>
        <w:rPr>
          <w:i/>
          <w:sz w:val="21"/>
        </w:rPr>
        <w:t>Natural History</w:t>
      </w:r>
      <w:r>
        <w:rPr>
          <w:sz w:val="21"/>
        </w:rPr>
        <w:t xml:space="preserve"> 34.36–46, especially 34.41–42. First century CE. The essential ancient account of Chares, height, construction time, financing, and the fallen statue. Latin text and English translation consulted; Pliny’s own wording distinguishes reported information from direct observation. </w:t>
      </w:r>
      <w:hyperlink r:id="rId12">
        <w:r>
          <w:rPr>
            <w:color w:val="204A67"/>
            <w:u w:val="single"/>
          </w:rPr>
          <w:t>Latin text</w:t>
        </w:r>
      </w:hyperlink>
      <w:r>
        <w:rPr>
          <w:sz w:val="21"/>
        </w:rPr>
        <w:t xml:space="preserve"> · </w:t>
      </w:r>
      <w:hyperlink r:id="rId13">
        <w:r>
          <w:rPr>
            <w:color w:val="204A67"/>
            <w:u w:val="single"/>
          </w:rPr>
          <w:t>English translation</w:t>
        </w:r>
      </w:hyperlink>
      <w:r>
        <w:rPr>
          <w:sz w:val="21"/>
        </w:rPr>
        <w:t>.</w:t>
      </w:r>
    </w:p>
    <w:p>
      <w:pPr>
        <w:keepLines/>
        <w:spacing w:after="180" w:line="264" w:lineRule="auto"/>
      </w:pPr>
      <w:bookmarkStart w:id="16" w:name="ref_2"/>
      <w:bookmarkEnd w:id="16"/>
      <w:r>
        <w:rPr>
          <w:sz w:val="21"/>
        </w:rPr>
        <w:t>[2]</w:t>
      </w:r>
      <w:r>
        <w:rPr>
          <w:sz w:val="21"/>
        </w:rPr>
        <w:t xml:space="preserve"> Strabo. </w:t>
      </w:r>
      <w:r>
        <w:rPr>
          <w:i/>
          <w:sz w:val="21"/>
        </w:rPr>
        <w:t>Geography</w:t>
      </w:r>
      <w:r>
        <w:rPr>
          <w:sz w:val="21"/>
        </w:rPr>
        <w:t xml:space="preserve"> 14.2.5. Late first century BCE to early first century CE. Important for the fallen statue, the oracle, and its status as a wonder. Text consulted. </w:t>
      </w:r>
      <w:hyperlink r:id="rId14">
        <w:r>
          <w:rPr>
            <w:color w:val="204A67"/>
            <w:u w:val="single"/>
          </w:rPr>
          <w:t>Read the passage</w:t>
        </w:r>
      </w:hyperlink>
      <w:r>
        <w:rPr>
          <w:sz w:val="21"/>
        </w:rPr>
        <w:t>.</w:t>
      </w:r>
    </w:p>
    <w:p>
      <w:pPr>
        <w:keepLines/>
        <w:spacing w:after="180" w:line="264" w:lineRule="auto"/>
      </w:pPr>
      <w:bookmarkStart w:id="17" w:name="ref_3"/>
      <w:bookmarkEnd w:id="17"/>
      <w:r>
        <w:rPr>
          <w:sz w:val="21"/>
        </w:rPr>
        <w:t>[3]</w:t>
      </w:r>
      <w:r>
        <w:rPr>
          <w:sz w:val="21"/>
        </w:rPr>
        <w:t xml:space="preserve"> Pindar. </w:t>
      </w:r>
      <w:r>
        <w:rPr>
          <w:i/>
          <w:sz w:val="21"/>
        </w:rPr>
        <w:t>Olympian</w:t>
      </w:r>
      <w:r>
        <w:rPr>
          <w:sz w:val="21"/>
        </w:rPr>
        <w:t xml:space="preserve"> 7, especially lines 54–76. 464 BCE. A primary source for Rhodes’s solar mythology before synoecism. Translation consulted; the ode celebrates Diagoras, not the later Colossus. </w:t>
      </w:r>
      <w:hyperlink r:id="rId15">
        <w:r>
          <w:rPr>
            <w:color w:val="204A67"/>
            <w:u w:val="single"/>
          </w:rPr>
          <w:t>Read the ode</w:t>
        </w:r>
      </w:hyperlink>
      <w:r>
        <w:rPr>
          <w:sz w:val="21"/>
        </w:rPr>
        <w:t>.</w:t>
      </w:r>
    </w:p>
    <w:p>
      <w:pPr>
        <w:keepLines/>
        <w:spacing w:after="180" w:line="264" w:lineRule="auto"/>
      </w:pPr>
      <w:bookmarkStart w:id="18" w:name="ref_4"/>
      <w:bookmarkEnd w:id="18"/>
      <w:r>
        <w:rPr>
          <w:sz w:val="21"/>
        </w:rPr>
        <w:t>[4]</w:t>
      </w:r>
      <w:r>
        <w:rPr>
          <w:sz w:val="21"/>
        </w:rPr>
        <w:t xml:space="preserve"> Paul, Stéphanie. 2015. “Local Pantheons in Motion: Synoecism and Patron Deities in Hellenistic Rhodes.” </w:t>
      </w:r>
      <w:r>
        <w:rPr>
          <w:i/>
          <w:sz w:val="21"/>
        </w:rPr>
        <w:t>CHS Research Bulletin</w:t>
      </w:r>
      <w:r>
        <w:rPr>
          <w:sz w:val="21"/>
        </w:rPr>
        <w:t xml:space="preserve"> 3.2. A scholarly research essay on the religious consequences of political union. Full text consulted in republication. </w:t>
      </w:r>
      <w:hyperlink r:id="rId16">
        <w:r>
          <w:rPr>
            <w:color w:val="204A67"/>
            <w:u w:val="single"/>
          </w:rPr>
          <w:t>Read the essay</w:t>
        </w:r>
      </w:hyperlink>
      <w:r>
        <w:rPr>
          <w:sz w:val="21"/>
        </w:rPr>
        <w:t>.</w:t>
      </w:r>
    </w:p>
    <w:p>
      <w:pPr>
        <w:keepLines/>
        <w:spacing w:after="180" w:line="264" w:lineRule="auto"/>
      </w:pPr>
      <w:bookmarkStart w:id="19" w:name="ref_5"/>
      <w:bookmarkEnd w:id="19"/>
      <w:r>
        <w:rPr>
          <w:sz w:val="21"/>
        </w:rPr>
        <w:t>[5]</w:t>
      </w:r>
      <w:r>
        <w:rPr>
          <w:sz w:val="21"/>
        </w:rPr>
        <w:t xml:space="preserve"> Diodorus Siculus. </w:t>
      </w:r>
      <w:r>
        <w:rPr>
          <w:i/>
          <w:sz w:val="21"/>
        </w:rPr>
        <w:t>Library of History</w:t>
      </w:r>
      <w:r>
        <w:rPr>
          <w:sz w:val="21"/>
        </w:rPr>
        <w:t xml:space="preserve"> 20.81–88. First century BCE. Main narrative source for the siege’s causes, mobilization, and emergency social measures. Text consulted. </w:t>
      </w:r>
      <w:hyperlink r:id="rId17">
        <w:r>
          <w:rPr>
            <w:color w:val="204A67"/>
            <w:u w:val="single"/>
          </w:rPr>
          <w:t>Read the first siege passages</w:t>
        </w:r>
      </w:hyperlink>
      <w:r>
        <w:rPr>
          <w:sz w:val="21"/>
        </w:rPr>
        <w:t>.</w:t>
      </w:r>
    </w:p>
    <w:p>
      <w:pPr>
        <w:keepLines/>
        <w:spacing w:after="180" w:line="264" w:lineRule="auto"/>
      </w:pPr>
      <w:bookmarkStart w:id="20" w:name="ref_6"/>
      <w:bookmarkEnd w:id="20"/>
      <w:r>
        <w:rPr>
          <w:sz w:val="21"/>
        </w:rPr>
        <w:t>[6]</w:t>
      </w:r>
      <w:r>
        <w:rPr>
          <w:sz w:val="21"/>
        </w:rPr>
        <w:t xml:space="preserve"> Diodorus Siculus. </w:t>
      </w:r>
      <w:r>
        <w:rPr>
          <w:i/>
          <w:sz w:val="21"/>
        </w:rPr>
        <w:t>Library of History</w:t>
      </w:r>
      <w:r>
        <w:rPr>
          <w:sz w:val="21"/>
        </w:rPr>
        <w:t xml:space="preserve"> 20.91–100, especially 20.99–100. The later siege, settlement, and postwar honors. Text consulted. </w:t>
      </w:r>
      <w:hyperlink r:id="rId18">
        <w:r>
          <w:rPr>
            <w:color w:val="204A67"/>
            <w:u w:val="single"/>
          </w:rPr>
          <w:t>Read the settlement passages</w:t>
        </w:r>
      </w:hyperlink>
      <w:r>
        <w:rPr>
          <w:sz w:val="21"/>
        </w:rPr>
        <w:t>.</w:t>
      </w:r>
    </w:p>
    <w:p>
      <w:pPr>
        <w:keepLines/>
        <w:spacing w:after="180" w:line="264" w:lineRule="auto"/>
      </w:pPr>
      <w:bookmarkStart w:id="21" w:name="ref_7"/>
      <w:bookmarkEnd w:id="21"/>
      <w:r>
        <w:rPr>
          <w:sz w:val="21"/>
        </w:rPr>
        <w:t>[7]</w:t>
      </w:r>
      <w:r>
        <w:rPr>
          <w:sz w:val="21"/>
        </w:rPr>
        <w:t xml:space="preserve"> Plutarch. </w:t>
      </w:r>
      <w:r>
        <w:rPr>
          <w:i/>
          <w:sz w:val="21"/>
        </w:rPr>
        <w:t>Demetrius</w:t>
      </w:r>
      <w:r>
        <w:rPr>
          <w:sz w:val="21"/>
        </w:rPr>
        <w:t xml:space="preserve"> 20–22. Late first to early second century CE. A complementary narrative of the siege and the equipment retained as a memorial. Text consulted. </w:t>
      </w:r>
      <w:hyperlink r:id="rId19">
        <w:r>
          <w:rPr>
            <w:color w:val="204A67"/>
            <w:u w:val="single"/>
          </w:rPr>
          <w:t>Read the Life</w:t>
        </w:r>
      </w:hyperlink>
      <w:r>
        <w:rPr>
          <w:sz w:val="21"/>
        </w:rPr>
        <w:t>.</w:t>
      </w:r>
    </w:p>
    <w:p>
      <w:pPr>
        <w:keepLines/>
        <w:spacing w:after="180" w:line="264" w:lineRule="auto"/>
      </w:pPr>
      <w:bookmarkStart w:id="22" w:name="ref_8"/>
      <w:bookmarkEnd w:id="22"/>
      <w:r>
        <w:rPr>
          <w:sz w:val="21"/>
        </w:rPr>
        <w:t>[8]</w:t>
      </w:r>
      <w:r>
        <w:rPr>
          <w:sz w:val="21"/>
        </w:rPr>
        <w:t xml:space="preserve"> Badoud, Nathan. 2024. </w:t>
      </w:r>
      <w:r>
        <w:rPr>
          <w:i/>
          <w:sz w:val="21"/>
        </w:rPr>
        <w:t>The Colossus of Rhodes: Archaeology of a Lost Wonder</w:t>
      </w:r>
      <w:r>
        <w:rPr>
          <w:sz w:val="21"/>
        </w:rPr>
        <w:t xml:space="preserve">. Oxford University Press. The major recent monograph on the monument and its reception. Consultation was limited to publisher material and Janric van Rookhuijzen’s detailed review, </w:t>
      </w:r>
      <w:r>
        <w:rPr>
          <w:i/>
          <w:sz w:val="21"/>
        </w:rPr>
        <w:t>Bryn Mawr Classical Review</w:t>
      </w:r>
      <w:r>
        <w:rPr>
          <w:sz w:val="21"/>
        </w:rPr>
        <w:t xml:space="preserve"> 2025.06.27; the complete book was not available. Interpretations are reported through the review; construction dates also use the publisher summary. </w:t>
      </w:r>
      <w:hyperlink r:id="rId20">
        <w:r>
          <w:rPr>
            <w:color w:val="204A67"/>
            <w:u w:val="single"/>
          </w:rPr>
          <w:t>Publisher record</w:t>
        </w:r>
      </w:hyperlink>
      <w:r>
        <w:rPr>
          <w:sz w:val="21"/>
        </w:rPr>
        <w:t xml:space="preserve"> · </w:t>
      </w:r>
      <w:hyperlink r:id="rId21">
        <w:r>
          <w:rPr>
            <w:color w:val="204A67"/>
            <w:u w:val="single"/>
          </w:rPr>
          <w:t>Review consulted</w:t>
        </w:r>
      </w:hyperlink>
      <w:r>
        <w:rPr>
          <w:sz w:val="21"/>
        </w:rPr>
        <w:t>.</w:t>
      </w:r>
    </w:p>
    <w:p>
      <w:pPr>
        <w:keepLines/>
        <w:spacing w:after="180" w:line="264" w:lineRule="auto"/>
      </w:pPr>
      <w:bookmarkStart w:id="23" w:name="ref_9"/>
      <w:bookmarkEnd w:id="23"/>
      <w:r>
        <w:rPr>
          <w:sz w:val="21"/>
        </w:rPr>
        <w:t>[9]</w:t>
      </w:r>
      <w:r>
        <w:rPr>
          <w:sz w:val="21"/>
        </w:rPr>
        <w:t xml:space="preserve"> Dickie, Matthew W. 1996. “What Is a Kolossos and How Were Kolossoi Made in the Hellenistic Period?” </w:t>
      </w:r>
      <w:r>
        <w:rPr>
          <w:i/>
          <w:sz w:val="21"/>
        </w:rPr>
        <w:t>Greek, Roman, and Byzantine Studies</w:t>
      </w:r>
      <w:r>
        <w:rPr>
          <w:sz w:val="21"/>
        </w:rPr>
        <w:t xml:space="preserve"> 37.3: 237–257. Full text consulted. Essential criticism of the terminology and the authority assigned to the construction narrative; also an entry into the Maryon and Haynes debate. </w:t>
      </w:r>
      <w:hyperlink r:id="rId22">
        <w:r>
          <w:rPr>
            <w:color w:val="204A67"/>
            <w:u w:val="single"/>
          </w:rPr>
          <w:t>Open PDF</w:t>
        </w:r>
      </w:hyperlink>
      <w:r>
        <w:rPr>
          <w:sz w:val="21"/>
        </w:rPr>
        <w:t>.</w:t>
      </w:r>
    </w:p>
    <w:p>
      <w:pPr>
        <w:keepLines/>
        <w:spacing w:after="180" w:line="264" w:lineRule="auto"/>
      </w:pPr>
      <w:bookmarkStart w:id="24" w:name="ref_10"/>
      <w:bookmarkEnd w:id="24"/>
      <w:r>
        <w:rPr>
          <w:sz w:val="21"/>
        </w:rPr>
        <w:t>[10]</w:t>
      </w:r>
      <w:r>
        <w:rPr>
          <w:sz w:val="21"/>
        </w:rPr>
        <w:t xml:space="preserve"> Vedder, Ursula. 2017. “Was the Colossus of Rhodes Cast in Courses or in Large Sections?” In </w:t>
      </w:r>
      <w:r>
        <w:rPr>
          <w:i/>
          <w:sz w:val="21"/>
        </w:rPr>
        <w:t>Artistry in Bronze: The Greeks and Their Legacy</w:t>
      </w:r>
      <w:r>
        <w:rPr>
          <w:sz w:val="21"/>
        </w:rPr>
        <w:t xml:space="preserve">, edited by Jens M. Daehner, Kenneth Lapatin, and Ambra Spinelli, chapter 2. Getty Publications. Full text consulted. The strongest accessible presentation of the section-casting argument and comparative foundry evidence. </w:t>
      </w:r>
      <w:hyperlink r:id="rId23">
        <w:r>
          <w:rPr>
            <w:color w:val="204A67"/>
            <w:u w:val="single"/>
          </w:rPr>
          <w:t>Read the chapter</w:t>
        </w:r>
      </w:hyperlink>
      <w:r>
        <w:rPr>
          <w:sz w:val="21"/>
        </w:rPr>
        <w:t>.</w:t>
      </w:r>
    </w:p>
    <w:p>
      <w:pPr>
        <w:keepLines/>
        <w:spacing w:after="180" w:line="264" w:lineRule="auto"/>
      </w:pPr>
      <w:bookmarkStart w:id="25" w:name="ref_11"/>
      <w:bookmarkEnd w:id="25"/>
      <w:r>
        <w:rPr>
          <w:sz w:val="21"/>
        </w:rPr>
        <w:t>[11]</w:t>
      </w:r>
      <w:r>
        <w:rPr>
          <w:sz w:val="21"/>
        </w:rPr>
        <w:t xml:space="preserve"> Rieger, Neville F. 2004. “Engineering Aspects of the Collapse of the Colossus of Rhodes Statue.” In </w:t>
      </w:r>
      <w:r>
        <w:rPr>
          <w:i/>
          <w:sz w:val="21"/>
        </w:rPr>
        <w:t>International Symposium on History of Machines and Mechanisms</w:t>
      </w:r>
      <w:r>
        <w:rPr>
          <w:sz w:val="21"/>
        </w:rPr>
        <w:t xml:space="preserve">, edited by Marco Ceccarelli, 69–85. DOI 10.1007/1-4020-2204-2_7. Publisher abstract consulted. A conditional engineering reconstruction, not an excavated structural specification. </w:t>
      </w:r>
      <w:hyperlink r:id="rId24">
        <w:r>
          <w:rPr>
            <w:color w:val="204A67"/>
            <w:u w:val="single"/>
          </w:rPr>
          <w:t>Publisher record</w:t>
        </w:r>
      </w:hyperlink>
      <w:r>
        <w:rPr>
          <w:sz w:val="21"/>
        </w:rPr>
        <w:t>.</w:t>
      </w:r>
    </w:p>
    <w:p>
      <w:pPr>
        <w:keepLines/>
        <w:spacing w:after="180" w:line="264" w:lineRule="auto"/>
      </w:pPr>
      <w:bookmarkStart w:id="26" w:name="ref_12"/>
      <w:bookmarkEnd w:id="26"/>
      <w:r>
        <w:rPr>
          <w:sz w:val="21"/>
        </w:rPr>
        <w:t>[12]</w:t>
      </w:r>
      <w:r>
        <w:rPr>
          <w:sz w:val="21"/>
        </w:rPr>
        <w:t xml:space="preserve"> Jones, Kenneth R. 2014. “Alcaeus of Messene, Philip V and the Colossus of Rhodes: A Re-examination of Anth. Pal. 6.171.” </w:t>
      </w:r>
      <w:r>
        <w:rPr>
          <w:i/>
          <w:sz w:val="21"/>
        </w:rPr>
        <w:t>Classical Quarterly</w:t>
      </w:r>
      <w:r>
        <w:rPr>
          <w:sz w:val="21"/>
        </w:rPr>
        <w:t xml:space="preserve"> 64.1: 136–151. DOI 10.1017/S0009838813000591. Publisher extract consulted. Challenges a straightforward use of the poem as the original dedicatory inscription. </w:t>
      </w:r>
      <w:hyperlink r:id="rId25">
        <w:r>
          <w:rPr>
            <w:color w:val="204A67"/>
            <w:u w:val="single"/>
          </w:rPr>
          <w:t>Publisher record</w:t>
        </w:r>
      </w:hyperlink>
      <w:r>
        <w:rPr>
          <w:sz w:val="21"/>
        </w:rPr>
        <w:t>.</w:t>
      </w:r>
    </w:p>
    <w:p>
      <w:pPr>
        <w:keepLines/>
        <w:spacing w:after="180" w:line="264" w:lineRule="auto"/>
      </w:pPr>
      <w:bookmarkStart w:id="27" w:name="ref_13"/>
      <w:bookmarkEnd w:id="27"/>
      <w:r>
        <w:rPr>
          <w:sz w:val="21"/>
        </w:rPr>
        <w:t>[13]</w:t>
      </w:r>
      <w:r>
        <w:rPr>
          <w:sz w:val="21"/>
        </w:rPr>
        <w:t xml:space="preserve"> </w:t>
      </w:r>
      <w:r>
        <w:rPr>
          <w:i/>
          <w:sz w:val="21"/>
        </w:rPr>
        <w:t>Greek Anthology</w:t>
      </w:r>
      <w:r>
        <w:rPr>
          <w:sz w:val="21"/>
        </w:rPr>
        <w:t xml:space="preserve"> 6.171. The poem conventionally associated with the Colossus’s dedication. Translation consulted; authenticity and historical setting are disputed. </w:t>
      </w:r>
      <w:hyperlink r:id="rId26">
        <w:r>
          <w:rPr>
            <w:color w:val="204A67"/>
            <w:u w:val="single"/>
          </w:rPr>
          <w:t>Read the poem</w:t>
        </w:r>
      </w:hyperlink>
      <w:r>
        <w:rPr>
          <w:sz w:val="21"/>
        </w:rPr>
        <w:t>.</w:t>
      </w:r>
    </w:p>
    <w:p>
      <w:pPr>
        <w:keepLines/>
        <w:spacing w:after="180" w:line="264" w:lineRule="auto"/>
      </w:pPr>
      <w:bookmarkStart w:id="28" w:name="ref_14"/>
      <w:bookmarkEnd w:id="28"/>
      <w:r>
        <w:rPr>
          <w:sz w:val="21"/>
        </w:rPr>
        <w:t>[14]</w:t>
      </w:r>
      <w:r>
        <w:rPr>
          <w:sz w:val="21"/>
        </w:rPr>
        <w:t xml:space="preserve"> Zachhuber, Juliane. 2018. “The Lost Priestesses of Rhodes? Female Religious Offices and Social Standing in Hellenistic Rhodes.” </w:t>
      </w:r>
      <w:r>
        <w:rPr>
          <w:i/>
          <w:sz w:val="21"/>
        </w:rPr>
        <w:t>Kernos</w:t>
      </w:r>
      <w:r>
        <w:rPr>
          <w:sz w:val="21"/>
        </w:rPr>
        <w:t xml:space="preserve"> 31: 83–110. DOI 10.4000/kernos.2686. Full text consulted through an author copy. Central to the discussion of gender, officeholding, and the limits of epigraphic visibility. </w:t>
      </w:r>
      <w:hyperlink r:id="rId27">
        <w:r>
          <w:rPr>
            <w:color w:val="204A67"/>
            <w:u w:val="single"/>
          </w:rPr>
          <w:t>Publisher record</w:t>
        </w:r>
      </w:hyperlink>
      <w:r>
        <w:rPr>
          <w:sz w:val="21"/>
        </w:rPr>
        <w:t xml:space="preserve"> · </w:t>
      </w:r>
      <w:hyperlink r:id="rId28">
        <w:r>
          <w:rPr>
            <w:color w:val="204A67"/>
            <w:u w:val="single"/>
          </w:rPr>
          <w:t>Author copy</w:t>
        </w:r>
      </w:hyperlink>
      <w:r>
        <w:rPr>
          <w:sz w:val="21"/>
        </w:rPr>
        <w:t>.</w:t>
      </w:r>
    </w:p>
    <w:p>
      <w:pPr>
        <w:keepLines/>
        <w:spacing w:after="180" w:line="264" w:lineRule="auto"/>
      </w:pPr>
      <w:bookmarkStart w:id="29" w:name="ref_15"/>
      <w:bookmarkEnd w:id="29"/>
      <w:r>
        <w:rPr>
          <w:sz w:val="21"/>
        </w:rPr>
        <w:t>[15]</w:t>
      </w:r>
      <w:r>
        <w:rPr>
          <w:sz w:val="21"/>
        </w:rPr>
        <w:t xml:space="preserve"> Maillot, Stéphanie. 2015. “Foreigners’ Associations and the Rhodian State.” In </w:t>
      </w:r>
      <w:r>
        <w:rPr>
          <w:i/>
          <w:sz w:val="21"/>
        </w:rPr>
        <w:t>Private Associations and the Public Sphere</w:t>
      </w:r>
      <w:r>
        <w:rPr>
          <w:sz w:val="21"/>
        </w:rPr>
        <w:t xml:space="preserve">, edited by Vincent Gabrielsen and Christian A. Thomsen, 136–182. Copenhagen: Royal Danish Academy of Sciences and Letters. Full text consulted through an author copy. A detailed corrective to treating foreign residents as socially isolated ethnic blocs. </w:t>
      </w:r>
      <w:hyperlink r:id="rId29">
        <w:r>
          <w:rPr>
            <w:color w:val="204A67"/>
            <w:u w:val="single"/>
          </w:rPr>
          <w:t>Author copy</w:t>
        </w:r>
      </w:hyperlink>
      <w:r>
        <w:rPr>
          <w:sz w:val="21"/>
        </w:rPr>
        <w:t>.</w:t>
      </w:r>
    </w:p>
    <w:p>
      <w:pPr>
        <w:keepLines/>
        <w:spacing w:after="180" w:line="264" w:lineRule="auto"/>
      </w:pPr>
      <w:bookmarkStart w:id="30" w:name="ref_16"/>
      <w:bookmarkEnd w:id="30"/>
      <w:r>
        <w:rPr>
          <w:sz w:val="21"/>
        </w:rPr>
        <w:t>[16]</w:t>
      </w:r>
      <w:r>
        <w:rPr>
          <w:sz w:val="21"/>
        </w:rPr>
        <w:t xml:space="preserve"> Thomsen, Christian Ammitzbøll. 2018. “The ‘Thirteenth Deme’ of Lindos.” In </w:t>
      </w:r>
      <w:r>
        <w:rPr>
          <w:i/>
          <w:sz w:val="21"/>
        </w:rPr>
        <w:t>Tell Me Who You Are: Labelling Status in the Graeco-Roman World</w:t>
      </w:r>
      <w:r>
        <w:rPr>
          <w:sz w:val="21"/>
        </w:rPr>
        <w:t xml:space="preserve">, edited by Maria Nowak, Adam Łajtar, and Jakub Urbanik. </w:t>
      </w:r>
      <w:r>
        <w:rPr>
          <w:i/>
          <w:sz w:val="21"/>
        </w:rPr>
        <w:t>U schyłku starożytności</w:t>
      </w:r>
      <w:r>
        <w:rPr>
          <w:sz w:val="21"/>
        </w:rPr>
        <w:t xml:space="preserve"> 16, dated 2017: 283–307. DOI 10.26394/issn.2080-8097.xvi.283-307. Full article available; relevant arguments and inscription discussion consulted. A case study of foreigners, agricultural activity, association, and civic incorporation. </w:t>
      </w:r>
      <w:hyperlink r:id="rId30">
        <w:r>
          <w:rPr>
            <w:color w:val="204A67"/>
            <w:u w:val="single"/>
          </w:rPr>
          <w:t>Open PDF</w:t>
        </w:r>
      </w:hyperlink>
      <w:r>
        <w:rPr>
          <w:sz w:val="21"/>
        </w:rPr>
        <w:t>.</w:t>
      </w:r>
    </w:p>
    <w:p>
      <w:pPr>
        <w:keepLines/>
        <w:spacing w:after="180" w:line="264" w:lineRule="auto"/>
      </w:pPr>
      <w:bookmarkStart w:id="31" w:name="ref_17"/>
      <w:bookmarkEnd w:id="31"/>
      <w:r>
        <w:rPr>
          <w:sz w:val="21"/>
        </w:rPr>
        <w:t>[17]</w:t>
      </w:r>
      <w:r>
        <w:rPr>
          <w:sz w:val="21"/>
        </w:rPr>
        <w:t xml:space="preserve"> Thomsen, Christian A. 2020. </w:t>
      </w:r>
      <w:r>
        <w:rPr>
          <w:i/>
          <w:sz w:val="21"/>
        </w:rPr>
        <w:t>The Politics of Association in Hellenistic Rhodes</w:t>
      </w:r>
      <w:r>
        <w:rPr>
          <w:sz w:val="21"/>
        </w:rPr>
        <w:t xml:space="preserve">. Edinburgh University Press. Consulted through Noah Kaye’s review, </w:t>
      </w:r>
      <w:r>
        <w:rPr>
          <w:i/>
          <w:sz w:val="21"/>
        </w:rPr>
        <w:t>Bryn Mawr Classical Review</w:t>
      </w:r>
      <w:r>
        <w:rPr>
          <w:sz w:val="21"/>
        </w:rPr>
        <w:t xml:space="preserve"> 2021.10.08, rather than the full book. Useful for the relationship between democratic institutions, officeholding elites, and private associations. </w:t>
      </w:r>
      <w:hyperlink r:id="rId31">
        <w:r>
          <w:rPr>
            <w:color w:val="204A67"/>
            <w:u w:val="single"/>
          </w:rPr>
          <w:t>Review consulted</w:t>
        </w:r>
      </w:hyperlink>
      <w:r>
        <w:rPr>
          <w:sz w:val="21"/>
        </w:rPr>
        <w:t>.</w:t>
      </w:r>
    </w:p>
    <w:p>
      <w:pPr>
        <w:keepLines/>
        <w:spacing w:after="180" w:line="264" w:lineRule="auto"/>
      </w:pPr>
      <w:bookmarkStart w:id="32" w:name="ref_18"/>
      <w:bookmarkEnd w:id="32"/>
      <w:r>
        <w:rPr>
          <w:sz w:val="21"/>
        </w:rPr>
        <w:t>[18]</w:t>
      </w:r>
      <w:r>
        <w:rPr>
          <w:sz w:val="21"/>
        </w:rPr>
        <w:t xml:space="preserve"> Habicht, Christian. 2003. “Rhodian Amphora Stamps and Rhodian Eponyms.” </w:t>
      </w:r>
      <w:r>
        <w:rPr>
          <w:i/>
          <w:sz w:val="21"/>
        </w:rPr>
        <w:t>Revue des Études Anciennes</w:t>
      </w:r>
      <w:r>
        <w:rPr>
          <w:sz w:val="21"/>
        </w:rPr>
        <w:t xml:space="preserve"> 105.2: 541–578. DOI 10.3406/rea.2003.5672. Record and introductory material consulted. Connects stamped names with Rhodian eponymous chronology. </w:t>
      </w:r>
      <w:hyperlink r:id="rId32">
        <w:r>
          <w:rPr>
            <w:color w:val="204A67"/>
            <w:u w:val="single"/>
          </w:rPr>
          <w:t>Article record</w:t>
        </w:r>
      </w:hyperlink>
      <w:r>
        <w:rPr>
          <w:sz w:val="21"/>
        </w:rPr>
        <w:t>.</w:t>
      </w:r>
    </w:p>
    <w:p>
      <w:pPr>
        <w:keepLines/>
        <w:spacing w:after="180" w:line="264" w:lineRule="auto"/>
      </w:pPr>
      <w:bookmarkStart w:id="33" w:name="ref_19"/>
      <w:bookmarkEnd w:id="33"/>
      <w:r>
        <w:rPr>
          <w:sz w:val="21"/>
        </w:rPr>
        <w:t>[19]</w:t>
      </w:r>
      <w:r>
        <w:rPr>
          <w:sz w:val="21"/>
        </w:rPr>
        <w:t xml:space="preserve"> Zachhuber, Juliane. 2023. “Shifting Identities and Defensive Localism: Conflicts of Religious Narratives in Post-Synoikism Rhodes.” In </w:t>
      </w:r>
      <w:r>
        <w:rPr>
          <w:i/>
          <w:sz w:val="21"/>
        </w:rPr>
        <w:t>The Local Horizon of Ancient Greek Religion</w:t>
      </w:r>
      <w:r>
        <w:rPr>
          <w:sz w:val="21"/>
        </w:rPr>
        <w:t xml:space="preserve">, edited by Hans Beck and Julia Kindt, 262–289. DOI 10.1017/9781009301862.010. Publisher summary consulted. </w:t>
      </w:r>
      <w:hyperlink r:id="rId33">
        <w:r>
          <w:rPr>
            <w:color w:val="204A67"/>
            <w:u w:val="single"/>
          </w:rPr>
          <w:t>Publisher record</w:t>
        </w:r>
      </w:hyperlink>
      <w:r>
        <w:rPr>
          <w:sz w:val="21"/>
        </w:rPr>
        <w:t>.</w:t>
      </w:r>
    </w:p>
    <w:p>
      <w:pPr>
        <w:keepLines/>
        <w:spacing w:after="180" w:line="264" w:lineRule="auto"/>
      </w:pPr>
      <w:bookmarkStart w:id="34" w:name="ref_20"/>
      <w:bookmarkEnd w:id="34"/>
      <w:r>
        <w:rPr>
          <w:sz w:val="21"/>
        </w:rPr>
        <w:t>[20]</w:t>
      </w:r>
      <w:r>
        <w:rPr>
          <w:sz w:val="21"/>
        </w:rPr>
        <w:t xml:space="preserve"> McInerney, Jeremy. 2023. “The Lindian Chronicle and Local Identity.” In </w:t>
      </w:r>
      <w:r>
        <w:rPr>
          <w:i/>
          <w:sz w:val="21"/>
        </w:rPr>
        <w:t>The Local Horizon of Ancient Greek Religion</w:t>
      </w:r>
      <w:r>
        <w:rPr>
          <w:sz w:val="21"/>
        </w:rPr>
        <w:t xml:space="preserve">, edited by Hans Beck and Julia Kindt, 232–261. DOI 10.1017/9781009301862.009. Publisher summary consulted. Explains why local and wider identities must be understood relationally. </w:t>
      </w:r>
      <w:hyperlink r:id="rId34">
        <w:r>
          <w:rPr>
            <w:color w:val="204A67"/>
            <w:u w:val="single"/>
          </w:rPr>
          <w:t>Publisher record</w:t>
        </w:r>
      </w:hyperlink>
      <w:r>
        <w:rPr>
          <w:sz w:val="21"/>
        </w:rPr>
        <w:t>.</w:t>
      </w:r>
    </w:p>
    <w:p>
      <w:pPr>
        <w:keepLines/>
        <w:spacing w:after="180" w:line="264" w:lineRule="auto"/>
      </w:pPr>
      <w:bookmarkStart w:id="35" w:name="ref_21"/>
      <w:bookmarkEnd w:id="35"/>
      <w:r>
        <w:rPr>
          <w:sz w:val="21"/>
        </w:rPr>
        <w:t>[21]</w:t>
      </w:r>
      <w:r>
        <w:rPr>
          <w:sz w:val="21"/>
        </w:rPr>
        <w:t xml:space="preserve"> Zachhuber, Juliane. 2024. </w:t>
      </w:r>
      <w:r>
        <w:rPr>
          <w:i/>
          <w:sz w:val="21"/>
        </w:rPr>
        <w:t>Religious Life in Late Classical and Hellenistic Rhodes</w:t>
      </w:r>
      <w:r>
        <w:rPr>
          <w:sz w:val="21"/>
        </w:rPr>
        <w:t xml:space="preserve">. Oxford University Press. Consulted through Gaia De Luca’s review, </w:t>
      </w:r>
      <w:r>
        <w:rPr>
          <w:i/>
          <w:sz w:val="21"/>
        </w:rPr>
        <w:t>Bryn Mawr Classical Review</w:t>
      </w:r>
      <w:r>
        <w:rPr>
          <w:sz w:val="21"/>
        </w:rPr>
        <w:t xml:space="preserve"> 2025.10.04, rather than the full book. A recent synthesis of the island’s religious institutions and geography. </w:t>
      </w:r>
      <w:hyperlink r:id="rId35">
        <w:r>
          <w:rPr>
            <w:color w:val="204A67"/>
            <w:u w:val="single"/>
          </w:rPr>
          <w:t>Review consulted</w:t>
        </w:r>
      </w:hyperlink>
      <w:r>
        <w:rPr>
          <w:sz w:val="21"/>
        </w:rPr>
        <w:t>.</w:t>
      </w:r>
    </w:p>
    <w:p>
      <w:pPr>
        <w:keepLines/>
        <w:spacing w:after="180" w:line="264" w:lineRule="auto"/>
      </w:pPr>
      <w:bookmarkStart w:id="36" w:name="ref_22"/>
      <w:bookmarkEnd w:id="36"/>
      <w:r>
        <w:rPr>
          <w:sz w:val="21"/>
        </w:rPr>
        <w:t>[22]</w:t>
      </w:r>
      <w:r>
        <w:rPr>
          <w:sz w:val="21"/>
        </w:rPr>
        <w:t xml:space="preserve"> Polybius. </w:t>
      </w:r>
      <w:r>
        <w:rPr>
          <w:i/>
          <w:sz w:val="21"/>
        </w:rPr>
        <w:t>Histories</w:t>
      </w:r>
      <w:r>
        <w:rPr>
          <w:sz w:val="21"/>
        </w:rPr>
        <w:t xml:space="preserve"> 5.88–90. Second century BCE. Principal account of earthquake damage and the international relief effort. Text consulted. Particularly important for the political relationships expressed in gifts. </w:t>
      </w:r>
      <w:hyperlink r:id="rId36">
        <w:r>
          <w:rPr>
            <w:color w:val="204A67"/>
            <w:u w:val="single"/>
          </w:rPr>
          <w:t>Read the passages</w:t>
        </w:r>
      </w:hyperlink>
      <w:r>
        <w:rPr>
          <w:sz w:val="21"/>
        </w:rPr>
        <w:t>.</w:t>
      </w:r>
    </w:p>
    <w:p>
      <w:pPr>
        <w:keepLines/>
        <w:spacing w:after="180" w:line="264" w:lineRule="auto"/>
      </w:pPr>
      <w:bookmarkStart w:id="37" w:name="ref_23"/>
      <w:bookmarkEnd w:id="37"/>
      <w:r>
        <w:rPr>
          <w:sz w:val="21"/>
        </w:rPr>
        <w:t>[23]</w:t>
      </w:r>
      <w:r>
        <w:rPr>
          <w:sz w:val="21"/>
        </w:rPr>
        <w:t xml:space="preserve"> Skaltsa, Stella. 2025. “The Date of the Earthquake That Caused the Colossus of Rhodes to Collapse: 223/222 BC (not 227/226 BC).” </w:t>
      </w:r>
      <w:r>
        <w:rPr>
          <w:i/>
          <w:sz w:val="21"/>
        </w:rPr>
        <w:t>Chiron</w:t>
      </w:r>
      <w:r>
        <w:rPr>
          <w:sz w:val="21"/>
        </w:rPr>
        <w:t xml:space="preserve"> 55: 189–209. Published online 12 January 2026. DOI 10.34780/wz946f89. Publisher abstract consulted; full article unavailable in this review. The new date is presented as a proposal, not an established consensus. </w:t>
      </w:r>
      <w:hyperlink r:id="rId37">
        <w:r>
          <w:rPr>
            <w:color w:val="204A67"/>
            <w:u w:val="single"/>
          </w:rPr>
          <w:t>Publisher record and abstract</w:t>
        </w:r>
      </w:hyperlink>
      <w:r>
        <w:rPr>
          <w:sz w:val="21"/>
        </w:rPr>
        <w:t>.</w:t>
      </w:r>
    </w:p>
    <w:p>
      <w:pPr>
        <w:keepLines/>
        <w:spacing w:after="180" w:line="264" w:lineRule="auto"/>
      </w:pPr>
      <w:bookmarkStart w:id="38" w:name="ref_24"/>
      <w:bookmarkEnd w:id="38"/>
      <w:r>
        <w:rPr>
          <w:sz w:val="21"/>
        </w:rPr>
        <w:t>[24]</w:t>
      </w:r>
      <w:r>
        <w:rPr>
          <w:sz w:val="21"/>
        </w:rPr>
        <w:t xml:space="preserve"> Conrad, Lawrence I. 1996. “The Arabs and the Colossus.” </w:t>
      </w:r>
      <w:r>
        <w:rPr>
          <w:i/>
          <w:sz w:val="21"/>
        </w:rPr>
        <w:t>Journal of the Royal Asiatic Society</w:t>
      </w:r>
      <w:r>
        <w:rPr>
          <w:sz w:val="21"/>
        </w:rPr>
        <w:t xml:space="preserve">, third series, 6.2: 165–187. DOI 10.1017/S1356186300007173. Publisher extract and displayed reference material consulted. A major study of the later historiographical traditions. </w:t>
      </w:r>
      <w:hyperlink r:id="rId38">
        <w:r>
          <w:rPr>
            <w:color w:val="204A67"/>
            <w:u w:val="single"/>
          </w:rPr>
          <w:t>Publisher record</w:t>
        </w:r>
      </w:hyperlink>
      <w:r>
        <w:rPr>
          <w:sz w:val="21"/>
        </w:rPr>
        <w:t>.</w:t>
      </w:r>
    </w:p>
    <w:p>
      <w:pPr>
        <w:keepLines/>
        <w:spacing w:after="180" w:line="264" w:lineRule="auto"/>
      </w:pPr>
      <w:bookmarkStart w:id="39" w:name="ref_25"/>
      <w:bookmarkEnd w:id="39"/>
      <w:r>
        <w:rPr>
          <w:sz w:val="21"/>
        </w:rPr>
        <w:t>[25]</w:t>
      </w:r>
      <w:r>
        <w:rPr>
          <w:sz w:val="21"/>
        </w:rPr>
        <w:t xml:space="preserve"> Woods, David. 2016. “On the Alleged Arab Destruction of the Colossus of Rhodes c. 653.” </w:t>
      </w:r>
      <w:r>
        <w:rPr>
          <w:i/>
          <w:sz w:val="21"/>
        </w:rPr>
        <w:t>Byzantion</w:t>
      </w:r>
      <w:r>
        <w:rPr>
          <w:sz w:val="21"/>
        </w:rPr>
        <w:t xml:space="preserve"> 86: 441–451. DOI 10.2143/BYZ.86.0.3180833. Publisher abstract consulted. Distinguishes possible historical memories of bronze movement from the literal salvage story. </w:t>
      </w:r>
      <w:hyperlink r:id="rId39">
        <w:r>
          <w:rPr>
            <w:color w:val="204A67"/>
            <w:u w:val="single"/>
          </w:rPr>
          <w:t>Publisher abstract</w:t>
        </w:r>
      </w:hyperlink>
      <w:r>
        <w:rPr>
          <w:sz w:val="21"/>
        </w:rPr>
        <w:t>.</w:t>
      </w:r>
    </w:p>
    <w:p>
      <w:pPr>
        <w:keepLines/>
        <w:spacing w:after="180" w:line="264" w:lineRule="auto"/>
      </w:pPr>
      <w:bookmarkStart w:id="40" w:name="ref_26"/>
      <w:bookmarkEnd w:id="40"/>
      <w:r>
        <w:rPr>
          <w:sz w:val="21"/>
        </w:rPr>
        <w:t>[26]</w:t>
      </w:r>
      <w:r>
        <w:rPr>
          <w:sz w:val="21"/>
        </w:rPr>
        <w:t xml:space="preserve"> Shakespeare, William. </w:t>
      </w:r>
      <w:r>
        <w:rPr>
          <w:i/>
          <w:sz w:val="21"/>
        </w:rPr>
        <w:t>Julius Caesar</w:t>
      </w:r>
      <w:r>
        <w:rPr>
          <w:sz w:val="21"/>
        </w:rPr>
        <w:t xml:space="preserve"> 1.2. Folger Shakespeare Library text. The Cassius passage is used as primary evidence for literary reception, not ancient Rhodes. </w:t>
      </w:r>
      <w:hyperlink r:id="rId40">
        <w:r>
          <w:rPr>
            <w:color w:val="204A67"/>
            <w:u w:val="single"/>
          </w:rPr>
          <w:t>Read the scene</w:t>
        </w:r>
      </w:hyperlink>
      <w:r>
        <w:rPr>
          <w:sz w:val="21"/>
        </w:rPr>
        <w:t>.</w:t>
      </w:r>
    </w:p>
    <w:p>
      <w:pPr>
        <w:keepLines/>
        <w:spacing w:after="180" w:line="264" w:lineRule="auto"/>
      </w:pPr>
      <w:bookmarkStart w:id="41" w:name="ref_27"/>
      <w:bookmarkEnd w:id="41"/>
      <w:r>
        <w:rPr>
          <w:sz w:val="21"/>
        </w:rPr>
        <w:t>[27]</w:t>
      </w:r>
      <w:r>
        <w:rPr>
          <w:sz w:val="21"/>
        </w:rPr>
        <w:t xml:space="preserve"> Lazarus, Emma. 1883. “The New Colossus.” Historical context and plaque history from the US National Park Service, “Emma Lazarus,” Statue of Liberty National Monument. Page consulted. </w:t>
      </w:r>
      <w:hyperlink r:id="rId41">
        <w:r>
          <w:rPr>
            <w:color w:val="204A67"/>
            <w:u w:val="single"/>
          </w:rPr>
          <w:t>Poem and historical context</w:t>
        </w:r>
      </w:hyperlink>
      <w:r>
        <w:rPr>
          <w:sz w:val="21"/>
        </w:rPr>
        <w:t>.</w:t>
      </w:r>
    </w:p>
    <w:p>
      <w:pPr>
        <w:pStyle w:val="Heading1"/>
      </w:pPr>
      <w:r>
        <w:t>A rewarding reading sequence</w:t>
      </w:r>
    </w:p>
    <w:p>
      <w:r>
        <w:t xml:space="preserve">Start with Pliny and Strabo </w:t>
      </w:r>
      <w:hyperlink w:anchor="ref_1">
        <w:r>
          <w:rPr>
            <w:color w:val="000000"/>
          </w:rPr>
          <w:t>[1–2]</w:t>
        </w:r>
      </w:hyperlink>
      <w:r>
        <w:t xml:space="preserve"> for the ancient object, then Diodorus </w:t>
      </w:r>
      <w:hyperlink w:anchor="ref_5">
        <w:r>
          <w:rPr>
            <w:color w:val="000000"/>
          </w:rPr>
          <w:t>[5–6]</w:t>
        </w:r>
      </w:hyperlink>
      <w:r>
        <w:t xml:space="preserve"> for the human emergency that preceded it. Read Vedder alongside Dickie </w:t>
      </w:r>
      <w:hyperlink w:anchor="ref_10">
        <w:r>
          <w:rPr>
            <w:color w:val="000000"/>
          </w:rPr>
          <w:t>[10,9]</w:t>
        </w:r>
      </w:hyperlink>
      <w:r>
        <w:t xml:space="preserve"> to see how a vivid technical account becomes a research problem. Paul and Zachhuber </w:t>
      </w:r>
      <w:hyperlink w:anchor="ref_4">
        <w:r>
          <w:rPr>
            <w:color w:val="000000"/>
          </w:rPr>
          <w:t>[4,14]</w:t>
        </w:r>
      </w:hyperlink>
      <w:r>
        <w:t xml:space="preserve"> bring religion and social structure into focus; Maillot and Thomsen </w:t>
      </w:r>
      <w:hyperlink w:anchor="ref_15">
        <w:r>
          <w:rPr>
            <w:color w:val="000000"/>
          </w:rPr>
          <w:t>[15–16]</w:t>
        </w:r>
      </w:hyperlink>
      <w:r>
        <w:t xml:space="preserve"> restore the smaller communities behind the public image. For an extended modern treatment, Badoud’s monograph </w:t>
      </w:r>
      <w:hyperlink w:anchor="ref_8">
        <w:r>
          <w:rPr>
            <w:color w:val="000000"/>
          </w:rPr>
          <w:t>[8]</w:t>
        </w:r>
      </w:hyperlink>
      <w:r>
        <w:t xml:space="preserve"> is the natural next book, with its interpretations tested against the specialist studies rather than treated as the end of debate.</w:t>
      </w:r>
    </w:p>
    <w:sectPr w:rsidR="00FC693F" w:rsidRPr="0006063C" w:rsidSect="00034616">
      <w:headerReference w:type="default" r:id="rId9"/>
      <w:footerReference w:type="default" r:id="rId10"/>
      <w:footerReference w:type="first" r:id="rId11"/>
      <w:pgSz w:w="12240" w:h="15840"/>
      <w:pgMar w:top="1152" w:right="1296" w:bottom="1080" w:left="1296"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 September 2026    ·    </w:t>
    </w:r>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 September 2026    ·    </w:t>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THE COLOSSUS OF RHODES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4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360"/>
      <w:contextualSpacing/>
    </w:pPr>
    <w:rPr>
      <w:rFonts w:ascii="Liberation Serif" w:hAnsi="Liberation Serif"/>
      <w:b w:val="0"/>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Liberation Serif" w:hAnsi="Liberation Serif"/>
      <w:i w:val="0"/>
      <w:iCs/>
      <w:color w:val="000000"/>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erif" w:hAnsi="Liberation Serif"/>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penelope.uchicago.edu/Thayer/L/Roman/Texts/Pliny_the_Elder/34%2A.html" TargetMode="External"/><Relationship Id="rId13" Type="http://schemas.openxmlformats.org/officeDocument/2006/relationships/hyperlink" Target="https://www.attalus.org/pliny/hn34a.html" TargetMode="External"/><Relationship Id="rId14" Type="http://schemas.openxmlformats.org/officeDocument/2006/relationships/hyperlink" Target="https://penelope.uchicago.edu/Thayer/E/Roman/Texts/Strabo/14B%2A.html" TargetMode="External"/><Relationship Id="rId15" Type="http://schemas.openxmlformats.org/officeDocument/2006/relationships/hyperlink" Target="https://topostext.org/work/18" TargetMode="External"/><Relationship Id="rId16" Type="http://schemas.openxmlformats.org/officeDocument/2006/relationships/hyperlink" Target="https://brewminate.com/local-pantheons-in-motion-synoecism-and-patron-deities-in-hellenistic-rhodes/" TargetMode="External"/><Relationship Id="rId17" Type="http://schemas.openxmlformats.org/officeDocument/2006/relationships/hyperlink" Target="https://penelope.uchicago.edu/Thayer/E/Roman/Texts/Diodorus_Siculus/20D%2A.html" TargetMode="External"/><Relationship Id="rId18" Type="http://schemas.openxmlformats.org/officeDocument/2006/relationships/hyperlink" Target="https://penelope.uchicago.edu/Thayer/E/Roman/Texts/Diodorus_Siculus/20E%2A.html" TargetMode="External"/><Relationship Id="rId19" Type="http://schemas.openxmlformats.org/officeDocument/2006/relationships/hyperlink" Target="https://penelope.uchicago.edu/Thayer/E/Roman/Texts/Plutarch/Lives/Demetrius%2A.html" TargetMode="External"/><Relationship Id="rId20" Type="http://schemas.openxmlformats.org/officeDocument/2006/relationships/hyperlink" Target="https://academic.oup.com/book/58178" TargetMode="External"/><Relationship Id="rId21" Type="http://schemas.openxmlformats.org/officeDocument/2006/relationships/hyperlink" Target="https://bmcr.brynmawr.edu/2025/2025.06.27/" TargetMode="External"/><Relationship Id="rId22" Type="http://schemas.openxmlformats.org/officeDocument/2006/relationships/hyperlink" Target="https://grbs.library.duke.edu/article/viewFile/2801/5855" TargetMode="External"/><Relationship Id="rId23" Type="http://schemas.openxmlformats.org/officeDocument/2006/relationships/hyperlink" Target="https://www.getty.edu/publications/artistryinbronze/large-scale-bronzes/2-vedder/" TargetMode="External"/><Relationship Id="rId24" Type="http://schemas.openxmlformats.org/officeDocument/2006/relationships/hyperlink" Target="https://link.springer.com/chapter/10.1007/1-4020-2204-2_7" TargetMode="External"/><Relationship Id="rId25" Type="http://schemas.openxmlformats.org/officeDocument/2006/relationships/hyperlink" Target="https://www.cambridge.org/core/journals/classical-quarterly/article/alcaeus-of-messene-philip-v-and-the-colossus-of-rhodes-a-reexamination-of-anth-pal-6171/D30097CCCD88760A685B73CE71BB26D4" TargetMode="External"/><Relationship Id="rId26" Type="http://schemas.openxmlformats.org/officeDocument/2006/relationships/hyperlink" Target="https://www.attalus.org/poetry/anth6.html#171" TargetMode="External"/><Relationship Id="rId27" Type="http://schemas.openxmlformats.org/officeDocument/2006/relationships/hyperlink" Target="https://doi.org/10.4000/kernos.2686" TargetMode="External"/><Relationship Id="rId28" Type="http://schemas.openxmlformats.org/officeDocument/2006/relationships/hyperlink" Target="https://www.academia.edu/34866384/The_Lost_Priestesses_of_Rhodes_Female_Religious_Offices_and_Social_Standing_in_Hellenistic_Rhodes" TargetMode="External"/><Relationship Id="rId29" Type="http://schemas.openxmlformats.org/officeDocument/2006/relationships/hyperlink" Target="https://www.academia.edu/23759081/Foreigners_Associations_and_the_Rhodian_State_in_Private_Associations_and_the_Public_Sphere_International_Symposium_University_of_Copenhagen_2010_Copenhagen_2015" TargetMode="External"/><Relationship Id="rId30" Type="http://schemas.openxmlformats.org/officeDocument/2006/relationships/hyperlink" Target="https://uss.uw.edu.pl/api/wp-content/uploads/2020/04/16-2017-Thomsen.pdf" TargetMode="External"/><Relationship Id="rId31" Type="http://schemas.openxmlformats.org/officeDocument/2006/relationships/hyperlink" Target="https://bmcr.brynmawr.edu/2021/2021.10.08/" TargetMode="External"/><Relationship Id="rId32" Type="http://schemas.openxmlformats.org/officeDocument/2006/relationships/hyperlink" Target="https://www.persee.fr/doc/rea_0035-2004_2003_num_105_2_5672" TargetMode="External"/><Relationship Id="rId33" Type="http://schemas.openxmlformats.org/officeDocument/2006/relationships/hyperlink" Target="https://www.cambridge.org/core/books/local-horizon-of-ancient-greek-religion/shifting-identities-and-defensive-localism-conflicts-of-religious-narratives-in-postsynoikism-rhodes/1B83C350127786A2D200DA24B59E7965" TargetMode="External"/><Relationship Id="rId34" Type="http://schemas.openxmlformats.org/officeDocument/2006/relationships/hyperlink" Target="https://www.cambridge.org/core/books/local-horizon-of-ancient-greek-religion/lindian-chronicle-and-local-identity/98DD204CFFD9FF6AF11BA935EB2BC645" TargetMode="External"/><Relationship Id="rId35" Type="http://schemas.openxmlformats.org/officeDocument/2006/relationships/hyperlink" Target="https://bmcr.brynmawr.edu/2025/2025.10.04/" TargetMode="External"/><Relationship Id="rId36" Type="http://schemas.openxmlformats.org/officeDocument/2006/relationships/hyperlink" Target="https://penelope.uchicago.edu/Thayer/E/Roman/Texts/Polybius/5%2A.html" TargetMode="External"/><Relationship Id="rId37" Type="http://schemas.openxmlformats.org/officeDocument/2006/relationships/hyperlink" Target="https://publications.dainst.org/journals/chiron/article/view/5150" TargetMode="External"/><Relationship Id="rId38" Type="http://schemas.openxmlformats.org/officeDocument/2006/relationships/hyperlink" Target="https://www.cambridge.org/core/journals/journal-of-the-royal-asiatic-society/article/arabs-and-the-colossus/0909F7773B243B07CEFDD862EC8E5673" TargetMode="External"/><Relationship Id="rId39" Type="http://schemas.openxmlformats.org/officeDocument/2006/relationships/hyperlink" Target="https://poj.peeters-leuven.be/content.php?id=3180833&amp;journal_code=BYZ&amp;url=article" TargetMode="External"/><Relationship Id="rId40" Type="http://schemas.openxmlformats.org/officeDocument/2006/relationships/hyperlink" Target="https://www.folger.edu/explore/shakespeares-works/julius-caesar/read/1/2/" TargetMode="External"/><Relationship Id="rId41" Type="http://schemas.openxmlformats.org/officeDocument/2006/relationships/hyperlink" Target="https://www.nps.gov/stli/learn/historyculture/emma-lazaru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Colossus of Rhodes</dc:title>
  <dc:subject>History and anthropology of a lost wonder</dc:subject>
  <dc:creator>OpenAI</dc:creator>
  <cp:keywords>Rhodes, Colossus, Helios, Hellenistic history, anthropology, bronze, archaeology</cp:keywords>
  <dc:description>Research synthesis prepared 20 September 2026. Source access and uncertainties are documented in the paper.</dc:description>
  <cp:lastModifiedBy/>
  <cp:revision>1</cp:revision>
  <dcterms:created xsi:type="dcterms:W3CDTF">2013-12-23T23:15:00Z</dcterms:created>
  <dcterms:modified xsi:type="dcterms:W3CDTF">2013-12-23T23:15:00Z</dcterms:modified>
  <cp:category/>
</cp:coreProperties>
</file>