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val="clear" w:fill="17365D" w:color="auto"/>
            <w:tcBorders>
              <w:left w:val="single" w:sz="0" w:color="17365D"/>
              <w:top w:val="single" w:sz="0" w:color="17365D"/>
              <w:right w:val="single" w:sz="0" w:color="17365D"/>
              <w:bottom w:val="single" w:sz="0" w:color="17365D"/>
            </w:tcBorders>
            <w:tcMar>
              <w:top w:w="220" w:type="dxa"/>
              <w:start w:w="240" w:type="dxa"/>
              <w:bottom w:w="220" w:type="dxa"/>
              <w:end w:w="240" w:type="dxa"/>
            </w:tcMar>
          </w:tcPr>
          <w:p>
            <w:pPr>
              <w:jc w:val="left"/>
            </w:pPr>
            <w:r>
              <w:rPr>
                <w:b/>
                <w:color w:val="FFFFFF"/>
                <w:sz w:val="52"/>
              </w:rPr>
              <w:t>SafeBrowse SDK vf</w:t>
            </w:r>
          </w:p>
          <w:p>
            <w:pPr>
              <w:jc w:val="left"/>
            </w:pPr>
            <w:r>
              <w:rPr>
                <w:color w:val="DDE7F5"/>
                <w:sz w:val="27"/>
              </w:rPr>
              <w:t>Development plan and modular knowledge-plane package</w:t>
            </w:r>
          </w:p>
        </w:tc>
      </w:tr>
    </w:tbl>
    <w:p/>
    <w:p>
      <w:pPr>
        <w:spacing w:after="240"/>
      </w:pPr>
      <w:r>
        <w:rPr>
          <w:color w:val="374151"/>
          <w:sz w:val="26"/>
        </w:rPr>
        <w:t>Deep-research revision of the framework-only safety middleware for browsing agents.</w:t>
      </w:r>
    </w:p>
    <w:tbl>
      <w:tblPr>
        <w:tblW w:type="auto" w:w="0"/>
        <w:jc w:val="left"/>
        <w:tblLayout w:type="fixed"/>
        <w:tblLook w:firstColumn="1" w:firstRow="1" w:lastColumn="0" w:lastRow="0" w:noHBand="0" w:noVBand="1" w:val="04A0"/>
      </w:tblPr>
      <w:tblGrid>
        <w:gridCol w:w="4968"/>
        <w:gridCol w:w="4968"/>
      </w:tblGrid>
      <w:tr>
        <w:tc>
          <w:tcPr>
            <w:tcW w:type="dxa" w:w="2232"/>
            <w:vAlign w:val="center"/>
            <w:tcMar>
              <w:top w:w="90" w:type="dxa"/>
              <w:start w:w="110" w:type="dxa"/>
              <w:bottom w:w="90" w:type="dxa"/>
              <w:end w:w="110" w:type="dxa"/>
            </w:tcMar>
            <w:tcBorders>
              <w:left w:val="single" w:sz="8" w:color="D9E2F0"/>
              <w:top w:val="single" w:sz="8" w:color="D9E2F0"/>
              <w:right w:val="single" w:sz="8" w:color="D9E2F0"/>
              <w:bottom w:val="single" w:sz="8" w:color="D9E2F0"/>
            </w:tcBorders>
            <w:shd w:val="clear" w:fill="EAF1FB" w:color="auto"/>
          </w:tcPr>
          <w:p>
            <w:r>
              <w:rPr>
                <w:b/>
                <w:color w:val="17365D"/>
                <w:sz w:val="21"/>
              </w:rPr>
              <w:t>Version</w:t>
            </w:r>
          </w:p>
        </w:tc>
        <w:tc>
          <w:tcPr>
            <w:tcW w:type="dxa" w:w="7128"/>
            <w:vAlign w:val="center"/>
            <w:tcMar>
              <w:top w:w="90" w:type="dxa"/>
              <w:start w:w="110" w:type="dxa"/>
              <w:bottom w:w="90" w:type="dxa"/>
              <w:end w:w="110" w:type="dxa"/>
            </w:tcMar>
            <w:tcBorders>
              <w:left w:val="single" w:sz="8" w:color="D9E2F0"/>
              <w:top w:val="single" w:sz="8" w:color="D9E2F0"/>
              <w:right w:val="single" w:sz="8" w:color="D9E2F0"/>
              <w:bottom w:val="single" w:sz="8" w:color="D9E2F0"/>
            </w:tcBorders>
            <w:shd w:val="clear" w:fill="FFFFFF" w:color="auto"/>
          </w:tcPr>
          <w:p>
            <w:r>
              <w:t>vf (final)</w:t>
            </w:r>
          </w:p>
        </w:tc>
      </w:tr>
      <w:tr>
        <w:tc>
          <w:tcPr>
            <w:tcW w:type="dxa" w:w="2232"/>
            <w:vAlign w:val="center"/>
            <w:tcMar>
              <w:top w:w="90" w:type="dxa"/>
              <w:start w:w="110" w:type="dxa"/>
              <w:bottom w:w="90" w:type="dxa"/>
              <w:end w:w="110" w:type="dxa"/>
            </w:tcMar>
            <w:tcBorders>
              <w:left w:val="single" w:sz="8" w:color="D9E2F0"/>
              <w:top w:val="single" w:sz="8" w:color="D9E2F0"/>
              <w:right w:val="single" w:sz="8" w:color="D9E2F0"/>
              <w:bottom w:val="single" w:sz="8" w:color="D9E2F0"/>
            </w:tcBorders>
            <w:shd w:val="clear" w:fill="EAF1FB" w:color="auto"/>
          </w:tcPr>
          <w:p>
            <w:r>
              <w:rPr>
                <w:b/>
                <w:color w:val="17365D"/>
                <w:sz w:val="21"/>
              </w:rPr>
              <w:t>Date</w:t>
            </w:r>
          </w:p>
        </w:tc>
        <w:tc>
          <w:tcPr>
            <w:tcW w:type="dxa" w:w="7128"/>
            <w:vAlign w:val="center"/>
            <w:tcMar>
              <w:top w:w="90" w:type="dxa"/>
              <w:start w:w="110" w:type="dxa"/>
              <w:bottom w:w="90" w:type="dxa"/>
              <w:end w:w="110" w:type="dxa"/>
            </w:tcMar>
            <w:tcBorders>
              <w:left w:val="single" w:sz="8" w:color="D9E2F0"/>
              <w:top w:val="single" w:sz="8" w:color="D9E2F0"/>
              <w:right w:val="single" w:sz="8" w:color="D9E2F0"/>
              <w:bottom w:val="single" w:sz="8" w:color="D9E2F0"/>
            </w:tcBorders>
            <w:shd w:val="clear" w:fill="FFFFFF" w:color="auto"/>
          </w:tcPr>
          <w:p>
            <w:r>
              <w:rPr>
                <w:color w:val="222222"/>
                <w:sz w:val="21"/>
              </w:rPr>
              <w:t>2026-03-28</w:t>
            </w:r>
          </w:p>
        </w:tc>
      </w:tr>
      <w:tr>
        <w:tc>
          <w:tcPr>
            <w:tcW w:type="dxa" w:w="2232"/>
            <w:vAlign w:val="center"/>
            <w:tcMar>
              <w:top w:w="90" w:type="dxa"/>
              <w:start w:w="110" w:type="dxa"/>
              <w:bottom w:w="90" w:type="dxa"/>
              <w:end w:w="110" w:type="dxa"/>
            </w:tcMar>
            <w:tcBorders>
              <w:left w:val="single" w:sz="8" w:color="D9E2F0"/>
              <w:top w:val="single" w:sz="8" w:color="D9E2F0"/>
              <w:right w:val="single" w:sz="8" w:color="D9E2F0"/>
              <w:bottom w:val="single" w:sz="8" w:color="D9E2F0"/>
            </w:tcBorders>
            <w:shd w:val="clear" w:fill="EAF1FB" w:color="auto"/>
          </w:tcPr>
          <w:p>
            <w:r>
              <w:rPr>
                <w:b/>
                <w:color w:val="17365D"/>
                <w:sz w:val="21"/>
              </w:rPr>
              <w:t>Primary decision</w:t>
            </w:r>
          </w:p>
        </w:tc>
        <w:tc>
          <w:tcPr>
            <w:tcW w:type="dxa" w:w="7128"/>
            <w:vAlign w:val="center"/>
            <w:tcMar>
              <w:top w:w="90" w:type="dxa"/>
              <w:start w:w="110" w:type="dxa"/>
              <w:bottom w:w="90" w:type="dxa"/>
              <w:end w:w="110" w:type="dxa"/>
            </w:tcMar>
            <w:tcBorders>
              <w:left w:val="single" w:sz="8" w:color="D9E2F0"/>
              <w:top w:val="single" w:sz="8" w:color="D9E2F0"/>
              <w:right w:val="single" w:sz="8" w:color="D9E2F0"/>
              <w:bottom w:val="single" w:sz="8" w:color="D9E2F0"/>
            </w:tcBorders>
            <w:shd w:val="clear" w:fill="FFFFFF" w:color="auto"/>
          </w:tcPr>
          <w:p>
            <w:r>
              <w:rPr>
                <w:color w:val="222222"/>
                <w:sz w:val="21"/>
              </w:rPr>
              <w:t>Keep SafeBrowse framework-only; do not add native browsing capability.</w:t>
            </w:r>
          </w:p>
        </w:tc>
      </w:tr>
      <w:tr>
        <w:tc>
          <w:tcPr>
            <w:tcW w:type="dxa" w:w="2232"/>
            <w:vAlign w:val="center"/>
            <w:tcMar>
              <w:top w:w="90" w:type="dxa"/>
              <w:start w:w="110" w:type="dxa"/>
              <w:bottom w:w="90" w:type="dxa"/>
              <w:end w:w="110" w:type="dxa"/>
            </w:tcMar>
            <w:tcBorders>
              <w:left w:val="single" w:sz="8" w:color="D9E2F0"/>
              <w:top w:val="single" w:sz="8" w:color="D9E2F0"/>
              <w:right w:val="single" w:sz="8" w:color="D9E2F0"/>
              <w:bottom w:val="single" w:sz="8" w:color="D9E2F0"/>
            </w:tcBorders>
            <w:shd w:val="clear" w:fill="EAF1FB" w:color="auto"/>
          </w:tcPr>
          <w:p>
            <w:r>
              <w:rPr>
                <w:b/>
                <w:color w:val="17365D"/>
                <w:sz w:val="21"/>
              </w:rPr>
              <w:t>Research basis</w:t>
            </w:r>
          </w:p>
        </w:tc>
        <w:tc>
          <w:tcPr>
            <w:tcW w:type="dxa" w:w="7128"/>
            <w:vAlign w:val="center"/>
            <w:tcMar>
              <w:top w:w="90" w:type="dxa"/>
              <w:start w:w="110" w:type="dxa"/>
              <w:bottom w:w="90" w:type="dxa"/>
              <w:end w:w="110" w:type="dxa"/>
            </w:tcMar>
            <w:tcBorders>
              <w:left w:val="single" w:sz="8" w:color="D9E2F0"/>
              <w:top w:val="single" w:sz="8" w:color="D9E2F0"/>
              <w:right w:val="single" w:sz="8" w:color="D9E2F0"/>
              <w:bottom w:val="single" w:sz="8" w:color="D9E2F0"/>
            </w:tcBorders>
            <w:shd w:val="clear" w:fill="FFFFFF" w:color="auto"/>
          </w:tcPr>
          <w:p>
            <w:r>
              <w:rPr>
                <w:color w:val="222222"/>
                <w:sz w:val="21"/>
              </w:rPr>
              <w:t>Official engineering guidance, government and OWASP guidance, benchmark documentation, and academic work across NDSS, ACL, and EMNLP.</w:t>
            </w:r>
          </w:p>
        </w:tc>
      </w:tr>
    </w:tbl>
    <w:p/>
    <w:tbl>
      <w:tblPr>
        <w:tblW w:type="auto" w:w="0"/>
        <w:jc w:val="center"/>
        <w:tblLook w:firstColumn="1" w:firstRow="1" w:lastColumn="0" w:lastRow="0" w:noHBand="0" w:noVBand="1" w:val="04A0"/>
      </w:tblPr>
      <w:tblGrid>
        <w:gridCol w:w="9936"/>
      </w:tblGrid>
      <w:tr>
        <w:tc>
          <w:tcPr>
            <w:tcW w:type="dxa" w:w="9936"/>
            <w:shd w:val="clear" w:fill="EEF7F0" w:color="auto"/>
            <w:tcBorders>
              <w:left w:val="single" w:sz="10" w:color="8BB99A"/>
              <w:top w:val="single" w:sz="10" w:color="8BB99A"/>
              <w:right w:val="single" w:sz="10" w:color="8BB99A"/>
              <w:bottom w:val="single" w:sz="10" w:color="8BB99A"/>
            </w:tcBorders>
            <w:tcMar>
              <w:top w:w="130" w:type="dxa"/>
              <w:start w:w="150" w:type="dxa"/>
              <w:bottom w:w="130" w:type="dxa"/>
              <w:end w:w="150" w:type="dxa"/>
            </w:tcMar>
          </w:tcPr>
          <w:p>
            <w:pPr>
              <w:spacing w:after="80"/>
            </w:pPr>
            <w:r>
              <w:rPr>
                <w:b/>
                <w:color w:val="2F5D43"/>
                <w:sz w:val="24"/>
              </w:rPr>
              <w:t>Core additions in vf</w:t>
            </w:r>
          </w:p>
          <w:p>
            <w:pPr>
              <w:spacing w:after="40"/>
              <w:ind w:left="216"/>
            </w:pPr>
            <w:r>
              <w:rPr>
                <w:color w:val="23412D"/>
                <w:sz w:val="21"/>
              </w:rPr>
              <w:t>• Adds a Tool / Protocol Guard for MCP, OAuth, SSRF, and tool-manifest risks.</w:t>
            </w:r>
          </w:p>
          <w:p>
            <w:pPr>
              <w:spacing w:after="40"/>
              <w:ind w:left="216"/>
            </w:pPr>
            <w:r>
              <w:rPr>
                <w:color w:val="23412D"/>
                <w:sz w:val="21"/>
              </w:rPr>
              <w:t>• Adds a Memory &amp; Context Guard for persistent poisoning, rollback, and corroboration.</w:t>
            </w:r>
          </w:p>
          <w:p>
            <w:pPr>
              <w:spacing w:after="40"/>
              <w:ind w:left="216"/>
            </w:pPr>
            <w:r>
              <w:rPr>
                <w:color w:val="23412D"/>
                <w:sz w:val="21"/>
              </w:rPr>
              <w:t>• Splits the knowledge plane into multiple packs instead of one monolithic prompt-injection base.</w:t>
            </w:r>
          </w:p>
          <w:p>
            <w:pPr>
              <w:spacing w:after="40"/>
              <w:ind w:left="216"/>
            </w:pPr>
            <w:r>
              <w:rPr>
                <w:color w:val="23412D"/>
                <w:sz w:val="21"/>
              </w:rPr>
              <w:t>• Formalizes safe artifact handoff for PDFs, scholarly pages, online documents, OCR layers, and non-standard surfaces.</w:t>
            </w:r>
          </w:p>
          <w:p>
            <w:pPr>
              <w:spacing w:after="40"/>
              <w:ind w:left="216"/>
            </w:pPr>
            <w:r>
              <w:rPr>
                <w:color w:val="23412D"/>
                <w:sz w:val="21"/>
              </w:rPr>
              <w:t>• Moves the primary safety guarantee to action containment and task alignment rather than prompt detection alone.</w:t>
            </w:r>
          </w:p>
          <w:p>
            <w:pPr>
              <w:pStyle w:val="SmallGray"/>
            </w:pPr>
            <w:r>
              <w:t>Key research basis: source-sink analysis and consented transmission controls, isolated action critics, read-only vs writable origin separation, tool/protocol hardening, and memory rollback mechanisms [S01, S03, S09, S12]</w:t>
            </w:r>
          </w:p>
        </w:tc>
      </w:tr>
    </w:tbl>
    <w:p>
      <w:r>
        <w:br w:type="page"/>
      </w:r>
    </w:p>
    <w:p>
      <w:pPr>
        <w:pStyle w:val="Heading1"/>
      </w:pPr>
      <w:r>
        <w:t>1. Executive summary</w:t>
      </w:r>
    </w:p>
    <w:p>
      <w:pPr/>
      <w:r>
        <w:t>This finalized plan keeps the core product boundary intact: SafeBrowse should remain a framework-only safety layer that sits between a host agent and external browsing/tool adapters. It should not become another browsing agent or general automation framework. That boundary is consistent with research that treats the safest architecture as one where untrusted content cannot directly steer program flow or capability use; instead, trusted logic mediates observations, actions, and policy decisions. [S19, S20, S01]</w:t>
      </w:r>
    </w:p>
    <w:p>
      <w:pPr/>
      <w:r>
        <w:t>The main conceptual emphasis is that prompt injection should not be treated primarily as a content-filtering problem. The latest evidence says that is not enough. OpenAI describes the most effective current attacks as social-engineering-like manipulations rather than simple override strings; the UK NCSC argues that present LLMs do not enforce a hard security boundary between instructions and data; Anthropic says no browser agent is immune; and Google’s Chrome architecture responds by isolating user-alignment checks from untrusted content and separating read-only from writable origins. [S01, S02, S04, S03]</w:t>
      </w:r>
    </w:p>
    <w:p>
      <w:pPr/>
      <w:r>
        <w:t>Accordingly, SafeBrowse vf should treat prompt injection as one threat family inside a broader browsing-safety problem. The recommended package is a modular decision layer composed of an Observation Sanitizer, PromptInjectionGuard, Action Integrity Firewall, Artifact &amp; Surface Guard, Tool / Protocol Guard, Memory &amp; Context Guard, Policy Compiler, and Replay / Telemetry layer. The primary guarantee should be action containment: even when a planner has seen hostile content, the SDK should still be able to veto, downgrade, or quarantine unsafe execution. [S01, S03, S06, S12]</w:t>
      </w:r>
    </w:p>
    <w:p>
      <w:pPr>
        <w:pStyle w:val="Heading3"/>
      </w:pPr>
      <w:r>
        <w:t>Key vf decisions</w:t>
      </w:r>
    </w:p>
    <w:tbl>
      <w:tblPr>
        <w:tblW w:type="auto" w:w="0"/>
        <w:jc w:val="center"/>
        <w:tblLayout w:type="fixed"/>
        <w:tblLook w:firstColumn="1" w:firstRow="1" w:lastColumn="0" w:lastRow="0" w:noHBand="0" w:noVBand="1" w:val="04A0"/>
      </w:tblPr>
      <w:tblGrid>
        <w:gridCol w:w="4968"/>
        <w:gridCol w:w="4968"/>
      </w:tblGrid>
      <w:tr>
        <w:tc>
          <w:tcPr>
            <w:tcW w:type="dxa" w:w="2304"/>
            <w:vAlign w:val="center"/>
            <w:tcMar>
              <w:top w:w="90" w:type="dxa"/>
              <w:start w:w="90" w:type="dxa"/>
              <w:bottom w:w="90" w:type="dxa"/>
              <w:end w:w="90" w:type="dxa"/>
            </w:tcMar>
            <w:shd w:val="clear" w:fill="EAF1FB" w:color="auto"/>
            <w:tcBorders>
              <w:left w:val="single" w:sz="10" w:color="AFC3DD"/>
              <w:top w:val="single" w:sz="10" w:color="AFC3DD"/>
              <w:right w:val="single" w:sz="10" w:color="AFC3DD"/>
              <w:bottom w:val="single" w:sz="10" w:color="AFC3DD"/>
            </w:tcBorders>
          </w:tcPr>
          <w:p>
            <w:pPr>
              <w:jc w:val="center"/>
            </w:pPr>
            <w:r>
              <w:rPr>
                <w:b/>
                <w:color w:val="17365D"/>
                <w:sz w:val="20"/>
              </w:rPr>
              <w:t>Decision</w:t>
            </w:r>
          </w:p>
        </w:tc>
        <w:tc>
          <w:tcPr>
            <w:tcW w:type="dxa" w:w="7056"/>
            <w:vAlign w:val="center"/>
            <w:tcMar>
              <w:top w:w="90" w:type="dxa"/>
              <w:start w:w="90" w:type="dxa"/>
              <w:bottom w:w="90" w:type="dxa"/>
              <w:end w:w="90" w:type="dxa"/>
            </w:tcMar>
            <w:shd w:val="clear" w:fill="EAF1FB" w:color="auto"/>
            <w:tcBorders>
              <w:left w:val="single" w:sz="10" w:color="AFC3DD"/>
              <w:top w:val="single" w:sz="10" w:color="AFC3DD"/>
              <w:right w:val="single" w:sz="10" w:color="AFC3DD"/>
              <w:bottom w:val="single" w:sz="10" w:color="AFC3DD"/>
            </w:tcBorders>
          </w:tcPr>
          <w:p>
            <w:pPr>
              <w:jc w:val="center"/>
            </w:pPr>
            <w:r>
              <w:rPr>
                <w:b/>
                <w:color w:val="17365D"/>
                <w:sz w:val="20"/>
              </w:rPr>
              <w:t>Final recommendation and basis</w:t>
            </w:r>
          </w:p>
        </w:tc>
      </w:tr>
      <w:tr>
        <w:tc>
          <w:tcPr>
            <w:tcW w:type="dxa" w:w="2304"/>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Framework-only boundary</w:t>
            </w:r>
          </w:p>
        </w:tc>
        <w:tc>
          <w:tcPr>
            <w:tcW w:type="dxa" w:w="7056"/>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Do not add native browsing to the SDK. Accept observations, artifacts, and action proposals from external adapters instead. [S19, S20]</w:t>
            </w:r>
          </w:p>
        </w:tc>
      </w:tr>
      <w:tr>
        <w:tc>
          <w:tcPr>
            <w:tcW w:type="dxa" w:w="2304"/>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Multiple KBs</w:t>
            </w:r>
          </w:p>
        </w:tc>
        <w:tc>
          <w:tcPr>
            <w:tcW w:type="dxa" w:w="7056"/>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Yes. Split hot-path, warm-path, and cold-path knowledge instead of loading one monolithic prompt-injection base. [S11, S09, S12]</w:t>
            </w:r>
          </w:p>
        </w:tc>
      </w:tr>
      <w:tr>
        <w:tc>
          <w:tcPr>
            <w:tcW w:type="dxa" w:w="2304"/>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New core modules</w:t>
            </w:r>
          </w:p>
        </w:tc>
        <w:tc>
          <w:tcPr>
            <w:tcW w:type="dxa" w:w="7056"/>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Add Tool / Protocol Guard and Memory &amp; Context Guard; strengthen Artifact &amp; Surface Guard and Action Integrity Firewall. [S21, S09, S12]</w:t>
            </w:r>
          </w:p>
        </w:tc>
      </w:tr>
      <w:tr>
        <w:tc>
          <w:tcPr>
            <w:tcW w:type="dxa" w:w="2304"/>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Primary safety mechanism</w:t>
            </w:r>
          </w:p>
        </w:tc>
        <w:tc>
          <w:tcPr>
            <w:tcW w:type="dxa" w:w="7056"/>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Task-envelope enforcement plus structured action gating, not prompt detection alone. [S01, S03]</w:t>
            </w:r>
          </w:p>
        </w:tc>
      </w:tr>
      <w:tr>
        <w:tc>
          <w:tcPr>
            <w:tcW w:type="dxa" w:w="2304"/>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Evaluation philosophy</w:t>
            </w:r>
          </w:p>
        </w:tc>
        <w:tc>
          <w:tcPr>
            <w:tcW w:type="dxa" w:w="7056"/>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Use adaptive, repeated, task-specific attacks with utility and security metrics together. [S07, S18, S17, S28]</w:t>
            </w:r>
          </w:p>
        </w:tc>
      </w:tr>
    </w:tbl>
    <w:tbl>
      <w:tblPr>
        <w:tblW w:type="auto" w:w="0"/>
        <w:jc w:val="center"/>
        <w:tblLook w:firstColumn="1" w:firstRow="1" w:lastColumn="0" w:lastRow="0" w:noHBand="0" w:noVBand="1" w:val="04A0"/>
      </w:tblPr>
      <w:tblGrid>
        <w:gridCol w:w="9936"/>
      </w:tblGrid>
      <w:tr>
        <w:tc>
          <w:tcPr>
            <w:tcW w:type="dxa" w:w="9936"/>
            <w:shd w:val="clear" w:fill="F8FAFC" w:color="auto"/>
            <w:tcBorders>
              <w:left w:val="single" w:sz="10" w:color="CBD5E1"/>
              <w:top w:val="single" w:sz="10" w:color="CBD5E1"/>
              <w:right w:val="single" w:sz="10" w:color="CBD5E1"/>
              <w:bottom w:val="single" w:sz="10" w:color="CBD5E1"/>
            </w:tcBorders>
            <w:tcMar>
              <w:top w:w="120" w:type="dxa"/>
              <w:start w:w="140" w:type="dxa"/>
              <w:bottom w:w="120" w:type="dxa"/>
              <w:end w:w="140" w:type="dxa"/>
            </w:tcMar>
          </w:tcPr>
          <w:p>
            <w:pPr>
              <w:spacing w:after="80"/>
            </w:pPr>
            <w:r>
              <w:rPr>
                <w:b/>
                <w:color w:val="17365D"/>
                <w:sz w:val="23"/>
              </w:rPr>
              <w:t>Bottom-line recommendation</w:t>
            </w:r>
          </w:p>
          <w:p>
            <w:pPr>
              <w:spacing w:after="0"/>
            </w:pPr>
            <w:r>
              <w:t>Build SafeBrowse vf as a low-overhead, TypeScript-first middleware/daemon with a thin Python client. Keep all hot-path controls deterministic and fast. Use optional model-based critics only for risky transitions such as new origins, write-capable actions, tainted-data transmission, and durable memory writes.</w:t>
            </w:r>
          </w:p>
        </w:tc>
      </w:tr>
    </w:tbl>
    <w:p>
      <w:pPr>
        <w:pStyle w:val="Heading1"/>
      </w:pPr>
      <w:r>
        <w:t>2. Research method and source credibility</w:t>
      </w:r>
    </w:p>
    <w:p>
      <w:pPr/>
      <w:r>
        <w:t>This revision was informed by both academic and non-academic sources. To keep the plan credible, sources were weighted by how directly they document real controls, real benchmarks, or reproducible research results. Official engineering and government guidance were used for current operational patterns; benchmark documentation was used for evaluation design; peer-reviewed and archival research was used for attack and defense mechanics; and adjacent OSS product documentation was used only to understand capabilities publicly described by those systems.</w:t>
      </w:r>
      <w:r>
        <w:t xml:space="preserve"> [S01, S02, S03, S17, S18]</w:t>
      </w:r>
    </w:p>
    <w:p>
      <w:pPr>
        <w:pStyle w:val="Heading3"/>
      </w:pPr>
      <w:r>
        <w:t>Source-weighting approach</w:t>
      </w:r>
    </w:p>
    <w:tbl>
      <w:tblPr>
        <w:tblW w:type="auto" w:w="0"/>
        <w:jc w:val="center"/>
        <w:tblLayout w:type="fixed"/>
        <w:tblLook w:firstColumn="1" w:firstRow="1" w:lastColumn="0" w:lastRow="0" w:noHBand="0" w:noVBand="1" w:val="04A0"/>
      </w:tblPr>
      <w:tblGrid>
        <w:gridCol w:w="3312"/>
        <w:gridCol w:w="3312"/>
        <w:gridCol w:w="3312"/>
      </w:tblGrid>
      <w:tr>
        <w:tc>
          <w:tcPr>
            <w:tcW w:type="dxa" w:w="2520"/>
            <w:vAlign w:val="center"/>
            <w:tcMar>
              <w:top w:w="90" w:type="dxa"/>
              <w:start w:w="90" w:type="dxa"/>
              <w:bottom w:w="90" w:type="dxa"/>
              <w:end w:w="90" w:type="dxa"/>
            </w:tcMar>
            <w:shd w:val="clear" w:fill="EAF1FB" w:color="auto"/>
            <w:tcBorders>
              <w:left w:val="single" w:sz="10" w:color="AFC3DD"/>
              <w:top w:val="single" w:sz="10" w:color="AFC3DD"/>
              <w:right w:val="single" w:sz="10" w:color="AFC3DD"/>
              <w:bottom w:val="single" w:sz="10" w:color="AFC3DD"/>
            </w:tcBorders>
          </w:tcPr>
          <w:p>
            <w:pPr>
              <w:jc w:val="center"/>
            </w:pPr>
            <w:r>
              <w:rPr>
                <w:b/>
                <w:color w:val="17365D"/>
                <w:sz w:val="20"/>
              </w:rPr>
              <w:t>Source class</w:t>
            </w:r>
          </w:p>
        </w:tc>
        <w:tc>
          <w:tcPr>
            <w:tcW w:type="dxa" w:w="3024"/>
            <w:vAlign w:val="center"/>
            <w:tcMar>
              <w:top w:w="90" w:type="dxa"/>
              <w:start w:w="90" w:type="dxa"/>
              <w:bottom w:w="90" w:type="dxa"/>
              <w:end w:w="90" w:type="dxa"/>
            </w:tcMar>
            <w:shd w:val="clear" w:fill="EAF1FB" w:color="auto"/>
            <w:tcBorders>
              <w:left w:val="single" w:sz="10" w:color="AFC3DD"/>
              <w:top w:val="single" w:sz="10" w:color="AFC3DD"/>
              <w:right w:val="single" w:sz="10" w:color="AFC3DD"/>
              <w:bottom w:val="single" w:sz="10" w:color="AFC3DD"/>
            </w:tcBorders>
          </w:tcPr>
          <w:p>
            <w:pPr>
              <w:jc w:val="center"/>
            </w:pPr>
            <w:r>
              <w:rPr>
                <w:b/>
                <w:color w:val="17365D"/>
                <w:sz w:val="20"/>
              </w:rPr>
              <w:t>Examples</w:t>
            </w:r>
          </w:p>
        </w:tc>
        <w:tc>
          <w:tcPr>
            <w:tcW w:type="dxa" w:w="3816"/>
            <w:vAlign w:val="center"/>
            <w:tcMar>
              <w:top w:w="90" w:type="dxa"/>
              <w:start w:w="90" w:type="dxa"/>
              <w:bottom w:w="90" w:type="dxa"/>
              <w:end w:w="90" w:type="dxa"/>
            </w:tcMar>
            <w:shd w:val="clear" w:fill="EAF1FB" w:color="auto"/>
            <w:tcBorders>
              <w:left w:val="single" w:sz="10" w:color="AFC3DD"/>
              <w:top w:val="single" w:sz="10" w:color="AFC3DD"/>
              <w:right w:val="single" w:sz="10" w:color="AFC3DD"/>
              <w:bottom w:val="single" w:sz="10" w:color="AFC3DD"/>
            </w:tcBorders>
          </w:tcPr>
          <w:p>
            <w:pPr>
              <w:jc w:val="center"/>
            </w:pPr>
            <w:r>
              <w:rPr>
                <w:b/>
                <w:color w:val="17365D"/>
                <w:sz w:val="20"/>
              </w:rPr>
              <w:t>How it was used</w:t>
            </w:r>
          </w:p>
        </w:tc>
      </w:tr>
      <w:tr>
        <w:tc>
          <w:tcPr>
            <w:tcW w:type="dxa" w:w="252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Official engineering / product guidance</w:t>
            </w:r>
          </w:p>
        </w:tc>
        <w:tc>
          <w:tcPr>
            <w:tcW w:type="dxa" w:w="3024"/>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OpenAI, Google, Microsoft, Anthropic, MCP docs</w:t>
            </w:r>
          </w:p>
        </w:tc>
        <w:tc>
          <w:tcPr>
            <w:tcW w:type="dxa" w:w="3816"/>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Highest weight for current architecture and control patterns</w:t>
            </w:r>
          </w:p>
        </w:tc>
      </w:tr>
      <w:tr>
        <w:tc>
          <w:tcPr>
            <w:tcW w:type="dxa" w:w="252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Government / standards / OWASP guidance</w:t>
            </w:r>
          </w:p>
        </w:tc>
        <w:tc>
          <w:tcPr>
            <w:tcW w:type="dxa" w:w="3024"/>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NCSC, NIST, OWASP</w:t>
            </w:r>
          </w:p>
        </w:tc>
        <w:tc>
          <w:tcPr>
            <w:tcW w:type="dxa" w:w="3816"/>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Highest weight for threat framing, operational safety, and control taxonomies</w:t>
            </w:r>
          </w:p>
        </w:tc>
      </w:tr>
      <w:tr>
        <w:tc>
          <w:tcPr>
            <w:tcW w:type="dxa" w:w="252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Benchmarks / tooling docs</w:t>
            </w:r>
          </w:p>
        </w:tc>
        <w:tc>
          <w:tcPr>
            <w:tcW w:type="dxa" w:w="3024"/>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BrowserGym, AgentDojo</w:t>
            </w:r>
          </w:p>
        </w:tc>
        <w:tc>
          <w:tcPr>
            <w:tcW w:type="dxa" w:w="3816"/>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High weight for testing strategy and measurable evaluation loops</w:t>
            </w:r>
          </w:p>
        </w:tc>
      </w:tr>
      <w:tr>
        <w:tc>
          <w:tcPr>
            <w:tcW w:type="dxa" w:w="252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Peer-reviewed or archival research</w:t>
            </w:r>
          </w:p>
        </w:tc>
        <w:tc>
          <w:tcPr>
            <w:tcW w:type="dxa" w:w="3024"/>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NDSS, ACL, EMNLP</w:t>
            </w:r>
          </w:p>
        </w:tc>
        <w:tc>
          <w:tcPr>
            <w:tcW w:type="dxa" w:w="3816"/>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High weight for attack mechanics and defense claims; checked against practical guidance</w:t>
            </w:r>
          </w:p>
        </w:tc>
      </w:tr>
      <w:tr>
        <w:tc>
          <w:tcPr>
            <w:tcW w:type="dxa" w:w="252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Preprints / vendor docs for adjacent OSS</w:t>
            </w:r>
          </w:p>
        </w:tc>
        <w:tc>
          <w:tcPr>
            <w:tcW w:type="dxa" w:w="3024"/>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CaMeL arXiv, NeMo Guardrails docs, Guardrails AI docs, LlamaFirewall docs, OpenGuardrails docs</w:t>
            </w:r>
          </w:p>
        </w:tc>
        <w:tc>
          <w:tcPr>
            <w:tcW w:type="dxa" w:w="3816"/>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Used carefully for design inspiration and public-feature evidence, not as sole proof of efficacy</w:t>
            </w:r>
          </w:p>
        </w:tc>
      </w:tr>
    </w:tbl>
    <w:p>
      <w:pPr/>
      <w:r>
        <w:t>A practical consequence of this weighting is that some recommendations in vf are presented as design inferences rather than established facts. For example, the decision to split the knowledge plane into multiple packs is not copied from a single paper; it is an engineering conclusion drawn from the way current threats and controls are distributed across prompt injection, tool protocols, memory poisoning, and benchmarking guidance. [S06, S09, S12, S07]</w:t>
      </w:r>
    </w:p>
    <w:p>
      <w:pPr>
        <w:pStyle w:val="Heading1"/>
      </w:pPr>
      <w:r>
        <w:t>3. Final design focus</w:t>
      </w:r>
    </w:p>
    <w:p>
      <w:pPr/>
      <w:r>
        <w:t>The literature and production guidance show that browsing safety depends not only on prompt-injection handling, but also on action integrity, document and artifact handling, tool-protocol hardening, persistent-memory protection, and stronger evaluation methodology. The table below summarizes the most important design priorities reflected in the final package. [S01, S03, S21, S12]</w:t>
      </w:r>
    </w:p>
    <w:p>
      <w:pPr>
        <w:pStyle w:val="Heading3"/>
      </w:pPr>
      <w:r>
        <w:t>Deep-research design priorities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088"/>
            <w:vAlign w:val="center"/>
            <w:tcMar>
              <w:top w:w="90" w:type="dxa"/>
              <w:start w:w="90" w:type="dxa"/>
              <w:bottom w:w="90" w:type="dxa"/>
              <w:end w:w="90" w:type="dxa"/>
            </w:tcMar>
            <w:shd w:val="clear" w:fill="EAF1FB" w:color="auto"/>
            <w:tcBorders>
              <w:left w:val="single" w:sz="10" w:color="AFC3DD"/>
              <w:top w:val="single" w:sz="10" w:color="AFC3DD"/>
              <w:right w:val="single" w:sz="10" w:color="AFC3DD"/>
              <w:bottom w:val="single" w:sz="10" w:color="AFC3DD"/>
            </w:tcBorders>
          </w:tcPr>
          <w:p>
            <w:pPr>
              <w:jc w:val="center"/>
            </w:pPr>
            <w:r>
              <w:rPr>
                <w:b/>
                <w:color w:val="17365D"/>
                <w:sz w:val="20"/>
              </w:rPr>
              <w:t>Risk area</w:t>
            </w:r>
          </w:p>
        </w:tc>
        <w:tc>
          <w:tcPr>
            <w:tcW w:type="dxa" w:w="2664"/>
            <w:vAlign w:val="center"/>
            <w:tcMar>
              <w:top w:w="90" w:type="dxa"/>
              <w:start w:w="90" w:type="dxa"/>
              <w:bottom w:w="90" w:type="dxa"/>
              <w:end w:w="90" w:type="dxa"/>
            </w:tcMar>
            <w:shd w:val="clear" w:fill="EAF1FB" w:color="auto"/>
            <w:tcBorders>
              <w:left w:val="single" w:sz="10" w:color="AFC3DD"/>
              <w:top w:val="single" w:sz="10" w:color="AFC3DD"/>
              <w:right w:val="single" w:sz="10" w:color="AFC3DD"/>
              <w:bottom w:val="single" w:sz="10" w:color="AFC3DD"/>
            </w:tcBorders>
          </w:tcPr>
          <w:p>
            <w:pPr>
              <w:jc w:val="center"/>
            </w:pPr>
            <w:r>
              <w:rPr>
                <w:b/>
                <w:color w:val="17365D"/>
                <w:sz w:val="20"/>
              </w:rPr>
              <w:t>Why it matters</w:t>
            </w:r>
          </w:p>
        </w:tc>
        <w:tc>
          <w:tcPr>
            <w:tcW w:type="dxa" w:w="2880"/>
            <w:vAlign w:val="center"/>
            <w:tcMar>
              <w:top w:w="90" w:type="dxa"/>
              <w:start w:w="90" w:type="dxa"/>
              <w:bottom w:w="90" w:type="dxa"/>
              <w:end w:w="90" w:type="dxa"/>
            </w:tcMar>
            <w:shd w:val="clear" w:fill="EAF1FB" w:color="auto"/>
            <w:tcBorders>
              <w:left w:val="single" w:sz="10" w:color="AFC3DD"/>
              <w:top w:val="single" w:sz="10" w:color="AFC3DD"/>
              <w:right w:val="single" w:sz="10" w:color="AFC3DD"/>
              <w:bottom w:val="single" w:sz="10" w:color="AFC3DD"/>
            </w:tcBorders>
          </w:tcPr>
          <w:p>
            <w:pPr>
              <w:jc w:val="center"/>
            </w:pPr>
            <w:r>
              <w:rPr>
                <w:b/>
                <w:color w:val="17365D"/>
                <w:sz w:val="20"/>
              </w:rPr>
              <w:t>Final control</w:t>
            </w:r>
          </w:p>
        </w:tc>
        <w:tc>
          <w:tcPr>
            <w:tcW w:type="dxa" w:w="1800"/>
            <w:vAlign w:val="center"/>
            <w:tcMar>
              <w:top w:w="90" w:type="dxa"/>
              <w:start w:w="90" w:type="dxa"/>
              <w:bottom w:w="90" w:type="dxa"/>
              <w:end w:w="90" w:type="dxa"/>
            </w:tcMar>
            <w:shd w:val="clear" w:fill="EAF1FB" w:color="auto"/>
            <w:tcBorders>
              <w:left w:val="single" w:sz="10" w:color="AFC3DD"/>
              <w:top w:val="single" w:sz="10" w:color="AFC3DD"/>
              <w:right w:val="single" w:sz="10" w:color="AFC3DD"/>
              <w:bottom w:val="single" w:sz="10" w:color="AFC3DD"/>
            </w:tcBorders>
          </w:tcPr>
          <w:p>
            <w:pPr>
              <w:jc w:val="center"/>
            </w:pPr>
            <w:r>
              <w:rPr>
                <w:b/>
                <w:color w:val="17365D"/>
                <w:sz w:val="20"/>
              </w:rPr>
              <w:t>Evidence</w:t>
            </w:r>
          </w:p>
        </w:tc>
      </w:tr>
      <w:tr>
        <w:tc>
          <w:tcPr>
            <w:tcW w:type="dxa" w:w="208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Single prompt-injection knowledge base</w:t>
            </w:r>
          </w:p>
        </w:tc>
        <w:tc>
          <w:tcPr>
            <w:tcW w:type="dxa" w:w="2664"/>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Knowledge sprawl; weak fit for hot-path vs warm-path vs governance data</w:t>
            </w:r>
          </w:p>
        </w:tc>
        <w:tc>
          <w:tcPr>
            <w:tcW w:type="dxa" w:w="288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Split into specialized packs plus a source registry and versioned index</w:t>
            </w:r>
          </w:p>
        </w:tc>
        <w:tc>
          <w:tcPr>
            <w:tcW w:type="dxa" w:w="180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[S11, S12]</w:t>
            </w:r>
          </w:p>
        </w:tc>
      </w:tr>
      <w:tr>
        <w:tc>
          <w:tcPr>
            <w:tcW w:type="dxa" w:w="208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Prompt-centric framing</w:t>
            </w:r>
          </w:p>
        </w:tc>
        <w:tc>
          <w:tcPr>
            <w:tcW w:type="dxa" w:w="2664"/>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A detector can miss social-engineering-style injections and still leave unsafe actions executable</w:t>
            </w:r>
          </w:p>
        </w:tc>
        <w:tc>
          <w:tcPr>
            <w:tcW w:type="dxa" w:w="288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Make action containment the primary guarantee via Action Integrity Firewall</w:t>
            </w:r>
          </w:p>
        </w:tc>
        <w:tc>
          <w:tcPr>
            <w:tcW w:type="dxa" w:w="180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[S01, S03]</w:t>
            </w:r>
          </w:p>
        </w:tc>
      </w:tr>
      <w:tr>
        <w:tc>
          <w:tcPr>
            <w:tcW w:type="dxa" w:w="208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Limited tool/connector hardening</w:t>
            </w:r>
          </w:p>
        </w:tc>
        <w:tc>
          <w:tcPr>
            <w:tcW w:type="dxa" w:w="2664"/>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Tool manifests, MCP flows, OAuth redirects, and SSRF paths remain exposed</w:t>
            </w:r>
          </w:p>
        </w:tc>
        <w:tc>
          <w:tcPr>
            <w:tcW w:type="dxa" w:w="288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Add Tool / Protocol Guard with registry linting and auth-flow policies</w:t>
            </w:r>
          </w:p>
        </w:tc>
        <w:tc>
          <w:tcPr>
            <w:tcW w:type="dxa" w:w="180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[S21, S09, S10]</w:t>
            </w:r>
          </w:p>
        </w:tc>
      </w:tr>
      <w:tr>
        <w:tc>
          <w:tcPr>
            <w:tcW w:type="dxa" w:w="208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No first-class memory poisoning layer</w:t>
            </w:r>
          </w:p>
        </w:tc>
        <w:tc>
          <w:tcPr>
            <w:tcW w:type="dxa" w:w="2664"/>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Attacker-authored rules can persist into later sessions or summaries</w:t>
            </w:r>
          </w:p>
        </w:tc>
        <w:tc>
          <w:tcPr>
            <w:tcW w:type="dxa" w:w="288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Add Memory &amp; Context Guard with write policies, snapshots, and rollback</w:t>
            </w:r>
          </w:p>
        </w:tc>
        <w:tc>
          <w:tcPr>
            <w:tcW w:type="dxa" w:w="180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[S12, S26, S27]</w:t>
            </w:r>
          </w:p>
        </w:tc>
      </w:tr>
      <w:tr>
        <w:tc>
          <w:tcPr>
            <w:tcW w:type="dxa" w:w="208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Document handling under-specified</w:t>
            </w:r>
          </w:p>
        </w:tc>
        <w:tc>
          <w:tcPr>
            <w:tcW w:type="dxa" w:w="2664"/>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PDFs, OCR layers, online viewers, annotations, and scholarly readers can carry hidden instructions</w:t>
            </w:r>
          </w:p>
        </w:tc>
        <w:tc>
          <w:tcPr>
            <w:tcW w:type="dxa" w:w="288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Expand Artifact &amp; Surface Guard and formalize safe artifact handoff</w:t>
            </w:r>
          </w:p>
        </w:tc>
        <w:tc>
          <w:tcPr>
            <w:tcW w:type="dxa" w:w="180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[S04, S06]</w:t>
            </w:r>
          </w:p>
        </w:tc>
      </w:tr>
      <w:tr>
        <w:tc>
          <w:tcPr>
            <w:tcW w:type="dxa" w:w="208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Evaluation not strict enough</w:t>
            </w:r>
          </w:p>
        </w:tc>
        <w:tc>
          <w:tcPr>
            <w:tcW w:type="dxa" w:w="2664"/>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Single-shot or static tests can overestimate safety</w:t>
            </w:r>
          </w:p>
        </w:tc>
        <w:tc>
          <w:tcPr>
            <w:tcW w:type="dxa" w:w="288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Require adaptive, repeated, task-specific evaluation using BrowserGym, AgentDojo, and custom corpora</w:t>
            </w:r>
          </w:p>
        </w:tc>
        <w:tc>
          <w:tcPr>
            <w:tcW w:type="dxa" w:w="180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[S07, S18, S17, S28]</w:t>
            </w:r>
          </w:p>
        </w:tc>
      </w:tr>
    </w:tbl>
    <w:p>
      <w:pPr>
        <w:pStyle w:val="Heading1"/>
      </w:pPr>
      <w:r>
        <w:t>4. Product boundary and design principles</w:t>
      </w:r>
    </w:p>
    <w:p>
      <w:pPr/>
      <w:r>
        <w:t>SafeBrowse vf should remain a policy-aware substrate, not a planner and not a browser. The host application supplies the task goal, the external adapter supplies observations and proposed actions, and SafeBrowse emits only one of four trusted outputs: a sanitized observation, a brokered artifact reference, a safe action verdict, or an incident/telemetry record. This keeps secrets, policy, and forensic logic out of the untrusted planning loop. [S19, S20, S01]</w:t>
      </w:r>
    </w:p>
    <w:p>
      <w:pPr>
        <w:ind w:left="288" w:hanging="216"/>
      </w:pPr>
      <w:r>
        <w:rPr>
          <w:b/>
        </w:rPr>
        <w:t xml:space="preserve">• </w:t>
      </w:r>
      <w:r>
        <w:t>Keep untrusted content in data channels only; never blend external text into system or developer instructions.</w:t>
      </w:r>
    </w:p>
    <w:p>
      <w:pPr>
        <w:ind w:left="288" w:hanging="216"/>
      </w:pPr>
      <w:r>
        <w:rPr>
          <w:b/>
        </w:rPr>
        <w:t xml:space="preserve">• </w:t>
      </w:r>
      <w:r>
        <w:t>Force all tool and browser requests into structured action proposals.</w:t>
      </w:r>
    </w:p>
    <w:p>
      <w:pPr>
        <w:ind w:left="288" w:hanging="216"/>
      </w:pPr>
      <w:r>
        <w:rPr>
          <w:b/>
        </w:rPr>
        <w:t xml:space="preserve">• </w:t>
      </w:r>
      <w:r>
        <w:t>Make provenance first-class: origin, visibility, extraction mode, and taint should travel with every observation and artifact.</w:t>
      </w:r>
    </w:p>
    <w:p>
      <w:pPr>
        <w:ind w:left="288" w:hanging="216"/>
      </w:pPr>
      <w:r>
        <w:rPr>
          <w:b/>
        </w:rPr>
        <w:t xml:space="preserve">• </w:t>
      </w:r>
      <w:r>
        <w:t>Prefer deterministic controls on the hot path and defer expensive critics to high-risk transitions.</w:t>
      </w:r>
    </w:p>
    <w:p>
      <w:pPr>
        <w:ind w:left="288" w:hanging="216"/>
      </w:pPr>
      <w:r>
        <w:rPr>
          <w:b/>
        </w:rPr>
        <w:t xml:space="preserve">• </w:t>
      </w:r>
      <w:r>
        <w:t>Treat authenticated tools and durable memory as privileged capabilities with explicit policies.</w:t>
      </w:r>
    </w:p>
    <w:p>
      <w:pPr>
        <w:ind w:left="288" w:hanging="216"/>
      </w:pPr>
      <w:r>
        <w:rPr>
          <w:b/>
        </w:rPr>
        <w:t xml:space="preserve">• </w:t>
      </w:r>
      <w:r>
        <w:t>Ensure every block, downgrade, or approval request is replayable from trace data and policy logs.</w:t>
      </w:r>
      <w:r>
        <w:t xml:space="preserve"> [S01, S03, S12, S09]</w:t>
      </w:r>
    </w:p>
    <w:p>
      <w:pPr>
        <w:pStyle w:val="Heading3"/>
      </w:pPr>
      <w:r>
        <w:t>Core SDK objects</w:t>
      </w:r>
    </w:p>
    <w:tbl>
      <w:tblPr>
        <w:tblW w:type="auto" w:w="0"/>
        <w:jc w:val="center"/>
        <w:tblLayout w:type="fixed"/>
        <w:tblLook w:firstColumn="1" w:firstRow="1" w:lastColumn="0" w:lastRow="0" w:noHBand="0" w:noVBand="1" w:val="04A0"/>
      </w:tblPr>
      <w:tblGrid>
        <w:gridCol w:w="4968"/>
        <w:gridCol w:w="4968"/>
      </w:tblGrid>
      <w:tr>
        <w:tc>
          <w:tcPr>
            <w:tcW w:type="dxa" w:w="2232"/>
            <w:vAlign w:val="center"/>
            <w:tcMar>
              <w:top w:w="90" w:type="dxa"/>
              <w:start w:w="90" w:type="dxa"/>
              <w:bottom w:w="90" w:type="dxa"/>
              <w:end w:w="90" w:type="dxa"/>
            </w:tcMar>
            <w:shd w:val="clear" w:fill="EAF1FB" w:color="auto"/>
            <w:tcBorders>
              <w:left w:val="single" w:sz="10" w:color="AFC3DD"/>
              <w:top w:val="single" w:sz="10" w:color="AFC3DD"/>
              <w:right w:val="single" w:sz="10" w:color="AFC3DD"/>
              <w:bottom w:val="single" w:sz="10" w:color="AFC3DD"/>
            </w:tcBorders>
          </w:tcPr>
          <w:p>
            <w:pPr>
              <w:jc w:val="center"/>
            </w:pPr>
            <w:r>
              <w:rPr>
                <w:b/>
                <w:color w:val="17365D"/>
                <w:sz w:val="20"/>
              </w:rPr>
              <w:t>Object</w:t>
            </w:r>
          </w:p>
        </w:tc>
        <w:tc>
          <w:tcPr>
            <w:tcW w:type="dxa" w:w="7128"/>
            <w:vAlign w:val="center"/>
            <w:tcMar>
              <w:top w:w="90" w:type="dxa"/>
              <w:start w:w="90" w:type="dxa"/>
              <w:bottom w:w="90" w:type="dxa"/>
              <w:end w:w="90" w:type="dxa"/>
            </w:tcMar>
            <w:shd w:val="clear" w:fill="EAF1FB" w:color="auto"/>
            <w:tcBorders>
              <w:left w:val="single" w:sz="10" w:color="AFC3DD"/>
              <w:top w:val="single" w:sz="10" w:color="AFC3DD"/>
              <w:right w:val="single" w:sz="10" w:color="AFC3DD"/>
              <w:bottom w:val="single" w:sz="10" w:color="AFC3DD"/>
            </w:tcBorders>
          </w:tcPr>
          <w:p>
            <w:pPr>
              <w:jc w:val="center"/>
            </w:pPr>
            <w:r>
              <w:rPr>
                <w:b/>
                <w:color w:val="17365D"/>
                <w:sz w:val="20"/>
              </w:rPr>
              <w:t>Purpose</w:t>
            </w:r>
          </w:p>
        </w:tc>
      </w:tr>
      <w:tr>
        <w:tc>
          <w:tcPr>
            <w:tcW w:type="dxa" w:w="223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ObservationEnvelope</w:t>
            </w:r>
          </w:p>
        </w:tc>
        <w:tc>
          <w:tcPr>
            <w:tcW w:type="dxa" w:w="712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Sanitized text/elements plus provenance fields and suspicion flags.</w:t>
            </w:r>
          </w:p>
        </w:tc>
      </w:tr>
      <w:tr>
        <w:tc>
          <w:tcPr>
            <w:tcW w:type="dxa" w:w="223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ArtifactEnvelope</w:t>
            </w:r>
          </w:p>
        </w:tc>
        <w:tc>
          <w:tcPr>
            <w:tcW w:type="dxa" w:w="712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Reference to a file, document, viewer page, or extracted object plus hash, MIME type, and lineage.</w:t>
            </w:r>
          </w:p>
        </w:tc>
      </w:tr>
      <w:tr>
        <w:tc>
          <w:tcPr>
            <w:tcW w:type="dxa" w:w="223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ActionProposal</w:t>
            </w:r>
          </w:p>
        </w:tc>
        <w:tc>
          <w:tcPr>
            <w:tcW w:type="dxa" w:w="712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Typed request with verb, origin, target, parameters, data references, and risk class.</w:t>
            </w:r>
          </w:p>
        </w:tc>
      </w:tr>
      <w:tr>
        <w:tc>
          <w:tcPr>
            <w:tcW w:type="dxa" w:w="223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SafeVerdict</w:t>
            </w:r>
          </w:p>
        </w:tc>
        <w:tc>
          <w:tcPr>
            <w:tcW w:type="dxa" w:w="712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ALLOW, BLOCK, REPLAN_READ_ONLY, USER_CONFIRM, or QUARANTINE_ARTIFACT with reasons and constraints.</w:t>
            </w:r>
          </w:p>
        </w:tc>
      </w:tr>
      <w:tr>
        <w:tc>
          <w:tcPr>
            <w:tcW w:type="dxa" w:w="223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PolicyPack</w:t>
            </w:r>
          </w:p>
        </w:tc>
        <w:tc>
          <w:tcPr>
            <w:tcW w:type="dxa" w:w="712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Compiled rules for origins, actions, approvals, memory writes, and telemetry.</w:t>
            </w:r>
          </w:p>
        </w:tc>
      </w:tr>
      <w:tr>
        <w:tc>
          <w:tcPr>
            <w:tcW w:type="dxa" w:w="223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KBOverlay</w:t>
            </w:r>
          </w:p>
        </w:tc>
        <w:tc>
          <w:tcPr>
            <w:tcW w:type="dxa" w:w="712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Tenant or project-specific additions layered on top of the signed base packs.</w:t>
            </w:r>
          </w:p>
        </w:tc>
      </w:tr>
    </w:tbl>
    <w:tbl>
      <w:tblPr>
        <w:tblW w:type="auto" w:w="0"/>
        <w:jc w:val="center"/>
        <w:tblLook w:firstColumn="1" w:firstRow="1" w:lastColumn="0" w:lastRow="0" w:noHBand="0" w:noVBand="1" w:val="04A0"/>
      </w:tblPr>
      <w:tblGrid>
        <w:gridCol w:w="9936"/>
      </w:tblGrid>
      <w:tr>
        <w:tc>
          <w:tcPr>
            <w:tcW w:type="dxa" w:w="9936"/>
            <w:shd w:val="clear" w:fill="F5F7FA" w:color="auto"/>
            <w:tcBorders>
              <w:left w:val="single" w:sz="10" w:color="D1D5DB"/>
              <w:top w:val="single" w:sz="10" w:color="D1D5DB"/>
              <w:right w:val="single" w:sz="10" w:color="D1D5DB"/>
              <w:bottom w:val="single" w:sz="10" w:color="D1D5DB"/>
            </w:tcBorders>
            <w:tcMar>
              <w:top w:w="90" w:type="dxa"/>
              <w:start w:w="130" w:type="dxa"/>
              <w:bottom w:w="90" w:type="dxa"/>
              <w:end w:w="130" w:type="dxa"/>
            </w:tcMar>
          </w:tcPr>
          <w:p>
            <w:pPr>
              <w:spacing w:after="80"/>
            </w:pPr>
            <w:r>
              <w:rPr>
                <w:b/>
                <w:color w:val="374151"/>
                <w:sz w:val="21"/>
              </w:rPr>
              <w:t>Illustrative action verdict schema</w:t>
            </w:r>
          </w:p>
          <w:p>
            <w:pPr>
              <w:pStyle w:val="CodeBlock"/>
            </w:pPr>
            <w:r>
              <w:t>{</w:t>
            </w:r>
          </w:p>
          <w:p>
            <w:pPr>
              <w:pStyle w:val="CodeBlock"/>
            </w:pPr>
            <w:r>
              <w:t xml:space="preserve">  "decision": "REPLAN_READ_ONLY",</w:t>
            </w:r>
          </w:p>
          <w:p>
            <w:pPr>
              <w:pStyle w:val="CodeBlock"/>
            </w:pPr>
            <w:r>
              <w:t xml:space="preserve">  "reason_codes": ["NEW_UNAPPROVED_ORIGIN", "TAINTED_DATA_TO_EXTERNAL_SINK"],</w:t>
            </w:r>
          </w:p>
          <w:p>
            <w:pPr>
              <w:pStyle w:val="CodeBlock"/>
            </w:pPr>
            <w:r>
              <w:t xml:space="preserve">  "risk_score": 0.94,</w:t>
            </w:r>
          </w:p>
          <w:p>
            <w:pPr>
              <w:pStyle w:val="CodeBlock"/>
            </w:pPr>
            <w:r>
              <w:t xml:space="preserve">  "safe_constraints": {</w:t>
            </w:r>
          </w:p>
          <w:p>
            <w:pPr>
              <w:pStyle w:val="CodeBlock"/>
            </w:pPr>
            <w:r>
              <w:t xml:space="preserve">    "allowed_verbs": ["open", "scroll", "extract"],</w:t>
            </w:r>
          </w:p>
          <w:p>
            <w:pPr>
              <w:pStyle w:val="CodeBlock"/>
            </w:pPr>
            <w:r>
              <w:t xml:space="preserve">    "allowed_origins": ["trusted.example", "publisher.example"],</w:t>
            </w:r>
          </w:p>
          <w:p>
            <w:pPr>
              <w:pStyle w:val="CodeBlock"/>
            </w:pPr>
            <w:r>
              <w:t xml:space="preserve">    "forbid_external_transmission": true</w:t>
            </w:r>
          </w:p>
          <w:p>
            <w:pPr>
              <w:pStyle w:val="CodeBlock"/>
            </w:pPr>
            <w:r>
              <w:t xml:space="preserve">  }</w:t>
            </w:r>
          </w:p>
          <w:p>
            <w:pPr>
              <w:pStyle w:val="CodeBlock"/>
            </w:pPr>
            <w:r>
              <w:t>}</w:t>
            </w:r>
          </w:p>
        </w:tc>
      </w:tr>
    </w:tbl>
    <w:p>
      <w:pPr>
        <w:pStyle w:val="Heading1"/>
      </w:pPr>
      <w:r>
        <w:t>5. SafeBrowse vf reference architecture</w:t>
      </w:r>
    </w:p>
    <w:p>
      <w:pPr/>
      <w:r>
        <w:t>The architecture below keeps the trust boundary explicit. The planner and browser/tool adapter remain outside the trusted core. Inside the trusted boundary, the SDK sanitizes observations, evaluates prompt and action risks, brokers artifacts, hardens tool protocols, governs memory, compiles policies, and records enough telemetry to support replay and incident response. That structure mirrors the shift in current research toward capability containment, isolated critics, and provenance-aware decision logic.</w:t>
      </w:r>
      <w:r>
        <w:t xml:space="preserve"> [S01, S03, S20]</w:t>
      </w:r>
    </w:p>
    <w:p>
      <w:pPr>
        <w:jc w:val="center"/>
      </w:pPr>
      <w:r>
        <w:drawing>
          <wp:inline xmlns:a="http://schemas.openxmlformats.org/drawingml/2006/main" xmlns:pic="http://schemas.openxmlformats.org/drawingml/2006/picture">
            <wp:extent cx="5989320" cy="3327400"/>
            <wp:docPr id="1" name="Picture 1"/>
            <wp:cNvGraphicFramePr>
              <a:graphicFrameLocks noChangeAspect="1"/>
            </wp:cNvGraphicFramePr>
            <a:graphic>
              <a:graphicData uri="http://schemas.openxmlformats.org/drawingml/2006/picture">
                <pic:pic>
                  <pic:nvPicPr>
                    <pic:cNvPr id="0" name="safebrowse_v3_architecture.png"/>
                    <pic:cNvPicPr/>
                  </pic:nvPicPr>
                  <pic:blipFill>
                    <a:blip r:embed="rId10"/>
                    <a:stretch>
                      <a:fillRect/>
                    </a:stretch>
                  </pic:blipFill>
                  <pic:spPr>
                    <a:xfrm>
                      <a:off x="0" y="0"/>
                      <a:ext cx="5989320" cy="3327400"/>
                    </a:xfrm>
                    <a:prstGeom prst="rect"/>
                  </pic:spPr>
                </pic:pic>
              </a:graphicData>
            </a:graphic>
          </wp:inline>
        </w:drawing>
      </w:r>
    </w:p>
    <w:p>
      <w:pPr>
        <w:pStyle w:val="SmallGray"/>
        <w:jc w:val="center"/>
      </w:pPr>
      <w:r>
        <w:t>Figure 1. Proposed SafeBrowse SDK vf reference architecture.</w:t>
      </w:r>
    </w:p>
    <w:p>
      <w:pPr>
        <w:pStyle w:val="Heading3"/>
      </w:pPr>
      <w:r>
        <w:t>Module-by-module function map</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800"/>
            <w:vAlign w:val="center"/>
            <w:tcMar>
              <w:top w:w="90" w:type="dxa"/>
              <w:start w:w="90" w:type="dxa"/>
              <w:bottom w:w="90" w:type="dxa"/>
              <w:end w:w="90" w:type="dxa"/>
            </w:tcMar>
            <w:shd w:val="clear" w:fill="EAF1FB" w:color="auto"/>
            <w:tcBorders>
              <w:left w:val="single" w:sz="10" w:color="AFC3DD"/>
              <w:top w:val="single" w:sz="10" w:color="AFC3DD"/>
              <w:right w:val="single" w:sz="10" w:color="AFC3DD"/>
              <w:bottom w:val="single" w:sz="10" w:color="AFC3DD"/>
            </w:tcBorders>
          </w:tcPr>
          <w:p>
            <w:pPr>
              <w:jc w:val="center"/>
            </w:pPr>
            <w:r>
              <w:rPr>
                <w:b/>
                <w:color w:val="17365D"/>
                <w:sz w:val="20"/>
              </w:rPr>
              <w:t>Module</w:t>
            </w:r>
          </w:p>
        </w:tc>
        <w:tc>
          <w:tcPr>
            <w:tcW w:type="dxa" w:w="1944"/>
            <w:vAlign w:val="center"/>
            <w:tcMar>
              <w:top w:w="90" w:type="dxa"/>
              <w:start w:w="90" w:type="dxa"/>
              <w:bottom w:w="90" w:type="dxa"/>
              <w:end w:w="90" w:type="dxa"/>
            </w:tcMar>
            <w:shd w:val="clear" w:fill="EAF1FB" w:color="auto"/>
            <w:tcBorders>
              <w:left w:val="single" w:sz="10" w:color="AFC3DD"/>
              <w:top w:val="single" w:sz="10" w:color="AFC3DD"/>
              <w:right w:val="single" w:sz="10" w:color="AFC3DD"/>
              <w:bottom w:val="single" w:sz="10" w:color="AFC3DD"/>
            </w:tcBorders>
          </w:tcPr>
          <w:p>
            <w:pPr>
              <w:jc w:val="center"/>
            </w:pPr>
            <w:r>
              <w:rPr>
                <w:b/>
                <w:color w:val="17365D"/>
                <w:sz w:val="20"/>
              </w:rPr>
              <w:t>Primary inputs</w:t>
            </w:r>
          </w:p>
        </w:tc>
        <w:tc>
          <w:tcPr>
            <w:tcW w:type="dxa" w:w="3672"/>
            <w:vAlign w:val="center"/>
            <w:tcMar>
              <w:top w:w="90" w:type="dxa"/>
              <w:start w:w="90" w:type="dxa"/>
              <w:bottom w:w="90" w:type="dxa"/>
              <w:end w:w="90" w:type="dxa"/>
            </w:tcMar>
            <w:shd w:val="clear" w:fill="EAF1FB" w:color="auto"/>
            <w:tcBorders>
              <w:left w:val="single" w:sz="10" w:color="AFC3DD"/>
              <w:top w:val="single" w:sz="10" w:color="AFC3DD"/>
              <w:right w:val="single" w:sz="10" w:color="AFC3DD"/>
              <w:bottom w:val="single" w:sz="10" w:color="AFC3DD"/>
            </w:tcBorders>
          </w:tcPr>
          <w:p>
            <w:pPr>
              <w:jc w:val="center"/>
            </w:pPr>
            <w:r>
              <w:rPr>
                <w:b/>
                <w:color w:val="17365D"/>
                <w:sz w:val="20"/>
              </w:rPr>
              <w:t>Core functions</w:t>
            </w:r>
          </w:p>
        </w:tc>
        <w:tc>
          <w:tcPr>
            <w:tcW w:type="dxa" w:w="1656"/>
            <w:vAlign w:val="center"/>
            <w:tcMar>
              <w:top w:w="90" w:type="dxa"/>
              <w:start w:w="90" w:type="dxa"/>
              <w:bottom w:w="90" w:type="dxa"/>
              <w:end w:w="90" w:type="dxa"/>
            </w:tcMar>
            <w:shd w:val="clear" w:fill="EAF1FB" w:color="auto"/>
            <w:tcBorders>
              <w:left w:val="single" w:sz="10" w:color="AFC3DD"/>
              <w:top w:val="single" w:sz="10" w:color="AFC3DD"/>
              <w:right w:val="single" w:sz="10" w:color="AFC3DD"/>
              <w:bottom w:val="single" w:sz="10" w:color="AFC3DD"/>
            </w:tcBorders>
          </w:tcPr>
          <w:p>
            <w:pPr>
              <w:jc w:val="center"/>
            </w:pPr>
            <w:r>
              <w:rPr>
                <w:b/>
                <w:color w:val="17365D"/>
                <w:sz w:val="20"/>
              </w:rPr>
              <w:t>Outputs</w:t>
            </w:r>
          </w:p>
        </w:tc>
      </w:tr>
      <w:tr>
        <w:tc>
          <w:tcPr>
            <w:tcW w:type="dxa" w:w="180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Observation Sanitizer</w:t>
            </w:r>
          </w:p>
        </w:tc>
        <w:tc>
          <w:tcPr>
            <w:tcW w:type="dxa" w:w="1944"/>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DOM/text/AX-tree fragments, viewer text, OCR output</w:t>
            </w:r>
          </w:p>
        </w:tc>
        <w:tc>
          <w:tcPr>
            <w:tcW w:type="dxa" w:w="367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Normalizes structure, labels visibility, strips hidden/untrusted instructions from privileged channels, attaches provenance and taint signals</w:t>
            </w:r>
          </w:p>
        </w:tc>
        <w:tc>
          <w:tcPr>
            <w:tcW w:type="dxa" w:w="1656"/>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ObservationEnvelope</w:t>
            </w:r>
          </w:p>
        </w:tc>
      </w:tr>
      <w:tr>
        <w:tc>
          <w:tcPr>
            <w:tcW w:type="dxa" w:w="180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PromptInjectionGuard</w:t>
            </w:r>
          </w:p>
        </w:tc>
        <w:tc>
          <w:tcPr>
            <w:tcW w:type="dxa" w:w="1944"/>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ObservationEnvelope</w:t>
            </w:r>
          </w:p>
        </w:tc>
        <w:tc>
          <w:tcPr>
            <w:tcW w:type="dxa" w:w="367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Lightweight pattern matching, obfuscation normalization, optional instruction-vs-data classification, suspicion scoring</w:t>
            </w:r>
          </w:p>
        </w:tc>
        <w:tc>
          <w:tcPr>
            <w:tcW w:type="dxa" w:w="1656"/>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Prompt risk markers</w:t>
            </w:r>
          </w:p>
        </w:tc>
      </w:tr>
      <w:tr>
        <w:tc>
          <w:tcPr>
            <w:tcW w:type="dxa" w:w="180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Action Integrity Firewall</w:t>
            </w:r>
          </w:p>
        </w:tc>
        <w:tc>
          <w:tcPr>
            <w:tcW w:type="dxa" w:w="1944"/>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ActionProposal + task envelope + provenance</w:t>
            </w:r>
          </w:p>
        </w:tc>
        <w:tc>
          <w:tcPr>
            <w:tcW w:type="dxa" w:w="367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Origin gating, read/write separation, source-sink checks, safe-URL logic, metadata-only critic for risky actions</w:t>
            </w:r>
          </w:p>
        </w:tc>
        <w:tc>
          <w:tcPr>
            <w:tcW w:type="dxa" w:w="1656"/>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SafeVerdict</w:t>
            </w:r>
          </w:p>
        </w:tc>
      </w:tr>
      <w:tr>
        <w:tc>
          <w:tcPr>
            <w:tcW w:type="dxa" w:w="180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Artifact &amp; Surface Guard</w:t>
            </w:r>
          </w:p>
        </w:tc>
        <w:tc>
          <w:tcPr>
            <w:tcW w:type="dxa" w:w="1944"/>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Files, documents, viewer pages, PDFs, images</w:t>
            </w:r>
          </w:p>
        </w:tc>
        <w:tc>
          <w:tcPr>
            <w:tcW w:type="dxa" w:w="367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Hashing, MIME checks, OCR/render diffing, hidden-layer detection, quarantine, safe artifact handoff</w:t>
            </w:r>
          </w:p>
        </w:tc>
        <w:tc>
          <w:tcPr>
            <w:tcW w:type="dxa" w:w="1656"/>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ArtifactEnvelope</w:t>
            </w:r>
          </w:p>
        </w:tc>
      </w:tr>
      <w:tr>
        <w:tc>
          <w:tcPr>
            <w:tcW w:type="dxa" w:w="180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Tool / Protocol Guard</w:t>
            </w:r>
          </w:p>
        </w:tc>
        <w:tc>
          <w:tcPr>
            <w:tcW w:type="dxa" w:w="1944"/>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Tool manifests, connector metadata, auth flows</w:t>
            </w:r>
          </w:p>
        </w:tc>
        <w:tc>
          <w:tcPr>
            <w:tcW w:type="dxa" w:w="367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Schema linting, allowlisted registry, OAuth/MCP policy checks, SSRF controls, token passthrough prohibition</w:t>
            </w:r>
          </w:p>
        </w:tc>
        <w:tc>
          <w:tcPr>
            <w:tcW w:type="dxa" w:w="1656"/>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Tool decision / connector verdict</w:t>
            </w:r>
          </w:p>
        </w:tc>
      </w:tr>
      <w:tr>
        <w:tc>
          <w:tcPr>
            <w:tcW w:type="dxa" w:w="180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Memory &amp; Context Guard</w:t>
            </w:r>
          </w:p>
        </w:tc>
        <w:tc>
          <w:tcPr>
            <w:tcW w:type="dxa" w:w="1944"/>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Proposed memory writes, summaries, retrieval outputs</w:t>
            </w:r>
          </w:p>
        </w:tc>
        <w:tc>
          <w:tcPr>
            <w:tcW w:type="dxa" w:w="367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Write policy, protected keys, snapshots, rollback, corroboration rules, delayed-trigger detection</w:t>
            </w:r>
          </w:p>
        </w:tc>
        <w:tc>
          <w:tcPr>
            <w:tcW w:type="dxa" w:w="1656"/>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Memory decision</w:t>
            </w:r>
          </w:p>
        </w:tc>
      </w:tr>
      <w:tr>
        <w:tc>
          <w:tcPr>
            <w:tcW w:type="dxa" w:w="180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Policy Compiler + Engine</w:t>
            </w:r>
          </w:p>
        </w:tc>
        <w:tc>
          <w:tcPr>
            <w:tcW w:type="dxa" w:w="1944"/>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User policies, overlays, trust signals, KB packs</w:t>
            </w:r>
          </w:p>
        </w:tc>
        <w:tc>
          <w:tcPr>
            <w:tcW w:type="dxa" w:w="367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Compiles rules to fast decision tables and exports deterministic runtime evaluators</w:t>
            </w:r>
          </w:p>
        </w:tc>
        <w:tc>
          <w:tcPr>
            <w:tcW w:type="dxa" w:w="1656"/>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Compiled policy graph</w:t>
            </w:r>
          </w:p>
        </w:tc>
      </w:tr>
      <w:tr>
        <w:tc>
          <w:tcPr>
            <w:tcW w:type="dxa" w:w="180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Replay / Telemetry / Forensics</w:t>
            </w:r>
          </w:p>
        </w:tc>
        <w:tc>
          <w:tcPr>
            <w:tcW w:type="dxa" w:w="1944"/>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All events</w:t>
            </w:r>
          </w:p>
        </w:tc>
        <w:tc>
          <w:tcPr>
            <w:tcW w:type="dxa" w:w="367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Trace IDs, policy logs, evidence bundles, benchmark replay, incident export</w:t>
            </w:r>
          </w:p>
        </w:tc>
        <w:tc>
          <w:tcPr>
            <w:tcW w:type="dxa" w:w="1656"/>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Replay bundle / audit trail</w:t>
            </w:r>
          </w:p>
        </w:tc>
      </w:tr>
    </w:tbl>
    <w:p>
      <w:pPr>
        <w:pStyle w:val="Heading2"/>
      </w:pPr>
      <w:r>
        <w:t>5.1 Online documents and non-standard web surfaces</w:t>
      </w:r>
    </w:p>
    <w:p>
      <w:pPr/>
      <w:r>
        <w:t>SafeBrowse vf should explicitly support online documents and non-standard pages without turning document analysis into the SDK’s default behavior. The external adapter can open a scholarly landing page, a hosted PDF, an online viewer, an image-based document, or another non-standard surface; SafeBrowse then treats that object as an artifact, not as ordinary page text. The Artifact &amp; Surface Guard should decide whether to pass the raw artifact, a sanitized extracted representation, or a quarantine verdict back to the host agent. [S04, S06, S30]</w:t>
      </w:r>
    </w:p>
    <w:p>
      <w:pPr/>
      <w:r>
        <w:t>This design is especially relevant for academic-paper workflows and online document viewers. The SDK should support viewer-page provenance, downloadable artifact lineage, OCR/render mismatches, annotations/comments, embedded documents/iframes, and document metadata instructions. The goal is not to parse every file by default; it is to broker artifacts safely when the host agent needs them.</w:t>
      </w:r>
      <w:r>
        <w:t xml:space="preserve"> [S06, S04]</w:t>
      </w:r>
    </w:p>
    <w:tbl>
      <w:tblPr>
        <w:tblW w:type="auto" w:w="0"/>
        <w:jc w:val="center"/>
        <w:tblLook w:firstColumn="1" w:firstRow="1" w:lastColumn="0" w:lastRow="0" w:noHBand="0" w:noVBand="1" w:val="04A0"/>
      </w:tblPr>
      <w:tblGrid>
        <w:gridCol w:w="9936"/>
      </w:tblGrid>
      <w:tr>
        <w:tc>
          <w:tcPr>
            <w:tcW w:type="dxa" w:w="9936"/>
            <w:shd w:val="clear" w:fill="F8FAFC" w:color="auto"/>
            <w:tcBorders>
              <w:left w:val="single" w:sz="10" w:color="CBD5E1"/>
              <w:top w:val="single" w:sz="10" w:color="CBD5E1"/>
              <w:right w:val="single" w:sz="10" w:color="CBD5E1"/>
              <w:bottom w:val="single" w:sz="10" w:color="CBD5E1"/>
            </w:tcBorders>
            <w:tcMar>
              <w:top w:w="120" w:type="dxa"/>
              <w:start w:w="140" w:type="dxa"/>
              <w:bottom w:w="120" w:type="dxa"/>
              <w:end w:w="140" w:type="dxa"/>
            </w:tcMar>
          </w:tcPr>
          <w:p>
            <w:pPr>
              <w:spacing w:after="80"/>
            </w:pPr>
            <w:r>
              <w:rPr>
                <w:b/>
                <w:color w:val="17365D"/>
                <w:sz w:val="23"/>
              </w:rPr>
              <w:t>Design rule</w:t>
            </w:r>
          </w:p>
          <w:p>
            <w:pPr>
              <w:spacing w:after="0"/>
            </w:pPr>
            <w:r>
              <w:t>A scholarly page or hosted document should never become a privileged instruction channel. It should first become an ArtifactEnvelope with hash, origin, viewer lineage, extraction method, visibility class, and taint status.</w:t>
            </w:r>
          </w:p>
        </w:tc>
      </w:tr>
    </w:tbl>
    <w:p>
      <w:pPr>
        <w:pStyle w:val="Heading1"/>
      </w:pPr>
      <w:r>
        <w:t>6. User-defined browsing policies</w:t>
      </w:r>
    </w:p>
    <w:p>
      <w:pPr/>
      <w:r>
        <w:t>User-defined browsing policies should be a first-class feature in SafeBrowse vf. The research does not support a single universal browsing policy because risk depends on task type, origins, credentials, document classes, connectors, and approval models. The SDK therefore needs a policy compiler that can merge signed defaults with tenant-specific overlays and emergency overrides while preserving deterministic runtime behavior. [S01, S09, S12]</w:t>
      </w:r>
    </w:p>
    <w:p>
      <w:pPr>
        <w:pStyle w:val="Heading3"/>
      </w:pPr>
      <w:r>
        <w:t>Recommended policy layering</w:t>
      </w:r>
    </w:p>
    <w:tbl>
      <w:tblPr>
        <w:tblW w:type="auto" w:w="0"/>
        <w:jc w:val="center"/>
        <w:tblLayout w:type="fixed"/>
        <w:tblLook w:firstColumn="1" w:firstRow="1" w:lastColumn="0" w:lastRow="0" w:noHBand="0" w:noVBand="1" w:val="04A0"/>
      </w:tblPr>
      <w:tblGrid>
        <w:gridCol w:w="4968"/>
        <w:gridCol w:w="4968"/>
      </w:tblGrid>
      <w:tr>
        <w:tc>
          <w:tcPr>
            <w:tcW w:type="dxa" w:w="2232"/>
            <w:vAlign w:val="center"/>
            <w:tcMar>
              <w:top w:w="90" w:type="dxa"/>
              <w:start w:w="90" w:type="dxa"/>
              <w:bottom w:w="90" w:type="dxa"/>
              <w:end w:w="90" w:type="dxa"/>
            </w:tcMar>
            <w:shd w:val="clear" w:fill="EAF1FB" w:color="auto"/>
            <w:tcBorders>
              <w:left w:val="single" w:sz="10" w:color="AFC3DD"/>
              <w:top w:val="single" w:sz="10" w:color="AFC3DD"/>
              <w:right w:val="single" w:sz="10" w:color="AFC3DD"/>
              <w:bottom w:val="single" w:sz="10" w:color="AFC3DD"/>
            </w:tcBorders>
          </w:tcPr>
          <w:p>
            <w:pPr>
              <w:jc w:val="center"/>
            </w:pPr>
            <w:r>
              <w:rPr>
                <w:b/>
                <w:color w:val="17365D"/>
                <w:sz w:val="20"/>
              </w:rPr>
              <w:t>Layer</w:t>
            </w:r>
          </w:p>
        </w:tc>
        <w:tc>
          <w:tcPr>
            <w:tcW w:type="dxa" w:w="7128"/>
            <w:vAlign w:val="center"/>
            <w:tcMar>
              <w:top w:w="90" w:type="dxa"/>
              <w:start w:w="90" w:type="dxa"/>
              <w:bottom w:w="90" w:type="dxa"/>
              <w:end w:w="90" w:type="dxa"/>
            </w:tcMar>
            <w:shd w:val="clear" w:fill="EAF1FB" w:color="auto"/>
            <w:tcBorders>
              <w:left w:val="single" w:sz="10" w:color="AFC3DD"/>
              <w:top w:val="single" w:sz="10" w:color="AFC3DD"/>
              <w:right w:val="single" w:sz="10" w:color="AFC3DD"/>
              <w:bottom w:val="single" w:sz="10" w:color="AFC3DD"/>
            </w:tcBorders>
          </w:tcPr>
          <w:p>
            <w:pPr>
              <w:jc w:val="center"/>
            </w:pPr>
            <w:r>
              <w:rPr>
                <w:b/>
                <w:color w:val="17365D"/>
                <w:sz w:val="20"/>
              </w:rPr>
              <w:t>Purpose</w:t>
            </w:r>
          </w:p>
        </w:tc>
      </w:tr>
      <w:tr>
        <w:tc>
          <w:tcPr>
            <w:tcW w:type="dxa" w:w="223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Base profile</w:t>
            </w:r>
          </w:p>
        </w:tc>
        <w:tc>
          <w:tcPr>
            <w:tcW w:type="dxa" w:w="712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Signed vendor-maintained rules for public-web, research, authenticated-web, and regulated-task modes.</w:t>
            </w:r>
          </w:p>
        </w:tc>
      </w:tr>
      <w:tr>
        <w:tc>
          <w:tcPr>
            <w:tcW w:type="dxa" w:w="223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Tenant overlay</w:t>
            </w:r>
          </w:p>
        </w:tc>
        <w:tc>
          <w:tcPr>
            <w:tcW w:type="dxa" w:w="712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Organization-specific allowlists, forbidden sinks, data classes, and connector rules.</w:t>
            </w:r>
          </w:p>
        </w:tc>
      </w:tr>
      <w:tr>
        <w:tc>
          <w:tcPr>
            <w:tcW w:type="dxa" w:w="223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Project overlay</w:t>
            </w:r>
          </w:p>
        </w:tc>
        <w:tc>
          <w:tcPr>
            <w:tcW w:type="dxa" w:w="712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Task-local exceptions such as permitted domains, viewers, or memory keys.</w:t>
            </w:r>
          </w:p>
        </w:tc>
      </w:tr>
      <w:tr>
        <w:tc>
          <w:tcPr>
            <w:tcW w:type="dxa" w:w="223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Emergency override</w:t>
            </w:r>
          </w:p>
        </w:tc>
        <w:tc>
          <w:tcPr>
            <w:tcW w:type="dxa" w:w="712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Fast response toggles used during incidents, red-team tests, or third-party outages.</w:t>
            </w:r>
          </w:p>
        </w:tc>
      </w:tr>
    </w:tbl>
    <w:tbl>
      <w:tblPr>
        <w:tblW w:type="auto" w:w="0"/>
        <w:jc w:val="center"/>
        <w:tblLook w:firstColumn="1" w:firstRow="1" w:lastColumn="0" w:lastRow="0" w:noHBand="0" w:noVBand="1" w:val="04A0"/>
      </w:tblPr>
      <w:tblGrid>
        <w:gridCol w:w="9936"/>
      </w:tblGrid>
      <w:tr>
        <w:tc>
          <w:tcPr>
            <w:tcW w:type="dxa" w:w="9936"/>
            <w:shd w:val="clear" w:fill="F5F7FA" w:color="auto"/>
            <w:tcBorders>
              <w:left w:val="single" w:sz="10" w:color="D1D5DB"/>
              <w:top w:val="single" w:sz="10" w:color="D1D5DB"/>
              <w:right w:val="single" w:sz="10" w:color="D1D5DB"/>
              <w:bottom w:val="single" w:sz="10" w:color="D1D5DB"/>
            </w:tcBorders>
            <w:tcMar>
              <w:top w:w="90" w:type="dxa"/>
              <w:start w:w="130" w:type="dxa"/>
              <w:bottom w:w="90" w:type="dxa"/>
              <w:end w:w="130" w:type="dxa"/>
            </w:tcMar>
          </w:tcPr>
          <w:p>
            <w:pPr>
              <w:spacing w:after="80"/>
            </w:pPr>
            <w:r>
              <w:rPr>
                <w:b/>
                <w:color w:val="374151"/>
                <w:sz w:val="21"/>
              </w:rPr>
              <w:t>Illustrative YAML policy sketch</w:t>
            </w:r>
          </w:p>
          <w:p>
            <w:pPr>
              <w:pStyle w:val="CodeBlock"/>
            </w:pPr>
            <w:r>
              <w:t>profile: research</w:t>
            </w:r>
          </w:p>
          <w:p>
            <w:pPr>
              <w:pStyle w:val="CodeBlock"/>
            </w:pPr>
            <w:r>
              <w:t>origins:</w:t>
            </w:r>
          </w:p>
          <w:p>
            <w:pPr>
              <w:pStyle w:val="CodeBlock"/>
            </w:pPr>
            <w:r>
              <w:t xml:space="preserve">  read_only_allow:</w:t>
            </w:r>
          </w:p>
          <w:p>
            <w:pPr>
              <w:pStyle w:val="CodeBlock"/>
            </w:pPr>
            <w:r>
              <w:t xml:space="preserve">    - scholar.google.com</w:t>
            </w:r>
          </w:p>
          <w:p>
            <w:pPr>
              <w:pStyle w:val="CodeBlock"/>
            </w:pPr>
            <w:r>
              <w:t xml:space="preserve">    - arxiv.org</w:t>
            </w:r>
          </w:p>
          <w:p>
            <w:pPr>
              <w:pStyle w:val="CodeBlock"/>
            </w:pPr>
            <w:r>
              <w:t xml:space="preserve">    - dl.acm.org</w:t>
            </w:r>
          </w:p>
          <w:p>
            <w:pPr>
              <w:pStyle w:val="CodeBlock"/>
            </w:pPr>
            <w:r>
              <w:t xml:space="preserve">  writable_allow: []</w:t>
            </w:r>
          </w:p>
          <w:p>
            <w:pPr>
              <w:pStyle w:val="CodeBlock"/>
            </w:pPr>
            <w:r>
              <w:t>actions:</w:t>
            </w:r>
          </w:p>
          <w:p>
            <w:pPr>
              <w:pStyle w:val="CodeBlock"/>
            </w:pPr>
            <w:r>
              <w:t xml:space="preserve">  allow: [navigate, open, scroll, extract, screenshot]</w:t>
            </w:r>
          </w:p>
          <w:p>
            <w:pPr>
              <w:pStyle w:val="CodeBlock"/>
            </w:pPr>
            <w:r>
              <w:t xml:space="preserve">  require_approval: [download, login, upload, submit, message]</w:t>
            </w:r>
          </w:p>
          <w:p>
            <w:pPr>
              <w:pStyle w:val="CodeBlock"/>
            </w:pPr>
            <w:r>
              <w:t>artifacts:</w:t>
            </w:r>
          </w:p>
          <w:p>
            <w:pPr>
              <w:pStyle w:val="CodeBlock"/>
            </w:pPr>
            <w:r>
              <w:t xml:space="preserve">  enable_document_handoff: true</w:t>
            </w:r>
          </w:p>
          <w:p>
            <w:pPr>
              <w:pStyle w:val="CodeBlock"/>
            </w:pPr>
            <w:r>
              <w:t xml:space="preserve">  quarantine_on_hidden_text_mismatch: true</w:t>
            </w:r>
          </w:p>
          <w:p>
            <w:pPr>
              <w:pStyle w:val="CodeBlock"/>
            </w:pPr>
            <w:r>
              <w:t>memory:</w:t>
            </w:r>
          </w:p>
          <w:p>
            <w:pPr>
              <w:pStyle w:val="CodeBlock"/>
            </w:pPr>
            <w:r>
              <w:t xml:space="preserve">  durable_writes: deny</w:t>
            </w:r>
          </w:p>
          <w:p>
            <w:pPr>
              <w:pStyle w:val="CodeBlock"/>
            </w:pPr>
            <w:r>
              <w:t xml:space="preserve">  protected_keys: [user_identity, credential_scope, payment_context]</w:t>
            </w:r>
          </w:p>
          <w:p>
            <w:pPr>
              <w:pStyle w:val="CodeBlock"/>
            </w:pPr>
            <w:r>
              <w:t>tool_protocol:</w:t>
            </w:r>
          </w:p>
          <w:p>
            <w:pPr>
              <w:pStyle w:val="CodeBlock"/>
            </w:pPr>
            <w:r>
              <w:t xml:space="preserve">  forbid_token_passthrough: true</w:t>
            </w:r>
          </w:p>
          <w:p>
            <w:pPr>
              <w:pStyle w:val="CodeBlock"/>
            </w:pPr>
            <w:r>
              <w:t xml:space="preserve">  enforce_exact_redirect_uri: true</w:t>
            </w:r>
          </w:p>
          <w:p>
            <w:pPr>
              <w:pStyle w:val="CodeBlock"/>
            </w:pPr>
            <w:r>
              <w:t>telemetry:</w:t>
            </w:r>
          </w:p>
          <w:p>
            <w:pPr>
              <w:pStyle w:val="CodeBlock"/>
            </w:pPr>
            <w:r>
              <w:t xml:space="preserve">  replay_bundle: true</w:t>
            </w:r>
          </w:p>
        </w:tc>
      </w:tr>
    </w:tbl>
    <w:p>
      <w:pPr/>
      <w:r>
        <w:t>The compiler should translate user policies into a compact decision graph or decision tables so that runtime checks stay cheap. Policy changes should also be auditable. Every decision should record which policy pack and overlay version produced the verdict.</w:t>
      </w:r>
      <w:r>
        <w:t xml:space="preserve"> [S09, S10]</w:t>
      </w:r>
    </w:p>
    <w:p>
      <w:pPr>
        <w:pStyle w:val="Heading1"/>
      </w:pPr>
      <w:r>
        <w:t>7. Why SafeBrowse vf should use multiple knowledge bases</w:t>
      </w:r>
    </w:p>
    <w:p>
      <w:pPr/>
      <w:r>
        <w:t>Yes: SafeBrowse vf should use multiple knowledge bases. A single prompt-injection list is too blunt for the real threat surface. Prompt patterns, action anomalies, tool-protocol threats, artifact-surface patterns, memory poisoning patterns, trust signals, control definitions, playbooks, and evaluation scenarios serve different runtime needs, change at different speeds, and are consumed by different modules. Splitting them reduces memory footprint and avoids loading cold-path analyst content into every runtime process. [S06, S09, S12, S07]</w:t>
      </w:r>
    </w:p>
    <w:p>
      <w:pPr>
        <w:jc w:val="center"/>
      </w:pPr>
      <w:r>
        <w:drawing>
          <wp:inline xmlns:a="http://schemas.openxmlformats.org/drawingml/2006/main" xmlns:pic="http://schemas.openxmlformats.org/drawingml/2006/picture">
            <wp:extent cx="5989320" cy="3327400"/>
            <wp:docPr id="2" name="Picture 2"/>
            <wp:cNvGraphicFramePr>
              <a:graphicFrameLocks noChangeAspect="1"/>
            </wp:cNvGraphicFramePr>
            <a:graphic>
              <a:graphicData uri="http://schemas.openxmlformats.org/drawingml/2006/picture">
                <pic:pic>
                  <pic:nvPicPr>
                    <pic:cNvPr id="0" name="safebrowse_v3_kb_topology.png"/>
                    <pic:cNvPicPr/>
                  </pic:nvPicPr>
                  <pic:blipFill>
                    <a:blip r:embed="rId11"/>
                    <a:stretch>
                      <a:fillRect/>
                    </a:stretch>
                  </pic:blipFill>
                  <pic:spPr>
                    <a:xfrm>
                      <a:off x="0" y="0"/>
                      <a:ext cx="5989320" cy="3327400"/>
                    </a:xfrm>
                    <a:prstGeom prst="rect"/>
                  </pic:spPr>
                </pic:pic>
              </a:graphicData>
            </a:graphic>
          </wp:inline>
        </w:drawing>
      </w:r>
    </w:p>
    <w:p>
      <w:pPr>
        <w:pStyle w:val="SmallGray"/>
        <w:jc w:val="center"/>
      </w:pPr>
      <w:r>
        <w:t>Figure 2. Hot-path, warm-path, and cold-path knowledge-plane topology.</w:t>
      </w:r>
    </w:p>
    <w:p>
      <w:pPr>
        <w:pStyle w:val="Heading3"/>
      </w:pPr>
      <w:r>
        <w:t>Recommended vf knowledge-base packs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232"/>
            <w:vAlign w:val="center"/>
            <w:tcMar>
              <w:top w:w="90" w:type="dxa"/>
              <w:start w:w="90" w:type="dxa"/>
              <w:bottom w:w="90" w:type="dxa"/>
              <w:end w:w="90" w:type="dxa"/>
            </w:tcMar>
            <w:shd w:val="clear" w:fill="EAF1FB" w:color="auto"/>
            <w:tcBorders>
              <w:left w:val="single" w:sz="10" w:color="AFC3DD"/>
              <w:top w:val="single" w:sz="10" w:color="AFC3DD"/>
              <w:right w:val="single" w:sz="10" w:color="AFC3DD"/>
              <w:bottom w:val="single" w:sz="10" w:color="AFC3DD"/>
            </w:tcBorders>
          </w:tcPr>
          <w:p>
            <w:pPr>
              <w:jc w:val="center"/>
            </w:pPr>
            <w:r>
              <w:rPr>
                <w:b/>
                <w:color w:val="17365D"/>
                <w:sz w:val="20"/>
              </w:rPr>
              <w:t>Pack</w:t>
            </w:r>
          </w:p>
        </w:tc>
        <w:tc>
          <w:tcPr>
            <w:tcW w:type="dxa" w:w="1008"/>
            <w:vAlign w:val="center"/>
            <w:tcMar>
              <w:top w:w="90" w:type="dxa"/>
              <w:start w:w="90" w:type="dxa"/>
              <w:bottom w:w="90" w:type="dxa"/>
              <w:end w:w="90" w:type="dxa"/>
            </w:tcMar>
            <w:shd w:val="clear" w:fill="EAF1FB" w:color="auto"/>
            <w:tcBorders>
              <w:left w:val="single" w:sz="10" w:color="AFC3DD"/>
              <w:top w:val="single" w:sz="10" w:color="AFC3DD"/>
              <w:right w:val="single" w:sz="10" w:color="AFC3DD"/>
              <w:bottom w:val="single" w:sz="10" w:color="AFC3DD"/>
            </w:tcBorders>
          </w:tcPr>
          <w:p>
            <w:pPr>
              <w:jc w:val="center"/>
            </w:pPr>
            <w:r>
              <w:rPr>
                <w:b/>
                <w:color w:val="17365D"/>
                <w:sz w:val="20"/>
              </w:rPr>
              <w:t>Hot path</w:t>
            </w:r>
          </w:p>
        </w:tc>
        <w:tc>
          <w:tcPr>
            <w:tcW w:type="dxa" w:w="4968"/>
            <w:vAlign w:val="center"/>
            <w:tcMar>
              <w:top w:w="90" w:type="dxa"/>
              <w:start w:w="90" w:type="dxa"/>
              <w:bottom w:w="90" w:type="dxa"/>
              <w:end w:w="90" w:type="dxa"/>
            </w:tcMar>
            <w:shd w:val="clear" w:fill="EAF1FB" w:color="auto"/>
            <w:tcBorders>
              <w:left w:val="single" w:sz="10" w:color="AFC3DD"/>
              <w:top w:val="single" w:sz="10" w:color="AFC3DD"/>
              <w:right w:val="single" w:sz="10" w:color="AFC3DD"/>
              <w:bottom w:val="single" w:sz="10" w:color="AFC3DD"/>
            </w:tcBorders>
          </w:tcPr>
          <w:p>
            <w:pPr>
              <w:jc w:val="center"/>
            </w:pPr>
            <w:r>
              <w:rPr>
                <w:b/>
                <w:color w:val="17365D"/>
                <w:sz w:val="20"/>
              </w:rPr>
              <w:t>Purpose</w:t>
            </w:r>
          </w:p>
        </w:tc>
        <w:tc>
          <w:tcPr>
            <w:tcW w:type="dxa" w:w="1080"/>
            <w:vAlign w:val="center"/>
            <w:tcMar>
              <w:top w:w="90" w:type="dxa"/>
              <w:start w:w="90" w:type="dxa"/>
              <w:bottom w:w="90" w:type="dxa"/>
              <w:end w:w="90" w:type="dxa"/>
            </w:tcMar>
            <w:shd w:val="clear" w:fill="EAF1FB" w:color="auto"/>
            <w:tcBorders>
              <w:left w:val="single" w:sz="10" w:color="AFC3DD"/>
              <w:top w:val="single" w:sz="10" w:color="AFC3DD"/>
              <w:right w:val="single" w:sz="10" w:color="AFC3DD"/>
              <w:bottom w:val="single" w:sz="10" w:color="AFC3DD"/>
            </w:tcBorders>
          </w:tcPr>
          <w:p>
            <w:pPr>
              <w:jc w:val="center"/>
            </w:pPr>
            <w:r>
              <w:rPr>
                <w:b/>
                <w:color w:val="17365D"/>
                <w:sz w:val="20"/>
              </w:rPr>
              <w:t>Entries</w:t>
            </w:r>
          </w:p>
        </w:tc>
      </w:tr>
      <w:tr>
        <w:tc>
          <w:tcPr>
            <w:tcW w:type="dxa" w:w="223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Prompt injection patterns</w:t>
            </w:r>
          </w:p>
        </w:tc>
        <w:tc>
          <w:tcPr>
            <w:tcW w:type="dxa" w:w="100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Yes</w:t>
            </w:r>
          </w:p>
        </w:tc>
        <w:tc>
          <w:tcPr>
            <w:tcW w:type="dxa" w:w="496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Content-level and social-engineering prompt injection patterns for observation sanitization and prompt attack triage.</w:t>
            </w:r>
          </w:p>
        </w:tc>
        <w:tc>
          <w:tcPr>
            <w:tcW w:type="dxa" w:w="108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174</w:t>
            </w:r>
          </w:p>
        </w:tc>
      </w:tr>
      <w:tr>
        <w:tc>
          <w:tcPr>
            <w:tcW w:type="dxa" w:w="223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Action integrity patterns</w:t>
            </w:r>
          </w:p>
        </w:tc>
        <w:tc>
          <w:tcPr>
            <w:tcW w:type="dxa" w:w="100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Yes</w:t>
            </w:r>
          </w:p>
        </w:tc>
        <w:tc>
          <w:tcPr>
            <w:tcW w:type="dxa" w:w="496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Action drift and misalignment patterns for deterministic gating and metadata-only critics.</w:t>
            </w:r>
          </w:p>
        </w:tc>
        <w:tc>
          <w:tcPr>
            <w:tcW w:type="dxa" w:w="108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50</w:t>
            </w:r>
          </w:p>
        </w:tc>
      </w:tr>
      <w:tr>
        <w:tc>
          <w:tcPr>
            <w:tcW w:type="dxa" w:w="223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Artifact and non-standard surface patterns</w:t>
            </w:r>
          </w:p>
        </w:tc>
        <w:tc>
          <w:tcPr>
            <w:tcW w:type="dxa" w:w="100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Yes</w:t>
            </w:r>
          </w:p>
        </w:tc>
        <w:tc>
          <w:tcPr>
            <w:tcW w:type="dxa" w:w="496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Document viewers, PDFs, OCR, hidden layers, and other web artifact patterns for safe handoff.</w:t>
            </w:r>
          </w:p>
        </w:tc>
        <w:tc>
          <w:tcPr>
            <w:tcW w:type="dxa" w:w="108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40</w:t>
            </w:r>
          </w:p>
        </w:tc>
      </w:tr>
      <w:tr>
        <w:tc>
          <w:tcPr>
            <w:tcW w:type="dxa" w:w="223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Tool, protocol, and supply-chain patterns</w:t>
            </w:r>
          </w:p>
        </w:tc>
        <w:tc>
          <w:tcPr>
            <w:tcW w:type="dxa" w:w="100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Yes</w:t>
            </w:r>
          </w:p>
        </w:tc>
        <w:tc>
          <w:tcPr>
            <w:tcW w:type="dxa" w:w="496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Tool manifest, MCP/OAuth, SSRF, and supply-chain threat patterns.</w:t>
            </w:r>
          </w:p>
        </w:tc>
        <w:tc>
          <w:tcPr>
            <w:tcW w:type="dxa" w:w="108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40</w:t>
            </w:r>
          </w:p>
        </w:tc>
      </w:tr>
      <w:tr>
        <w:tc>
          <w:tcPr>
            <w:tcW w:type="dxa" w:w="223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Memory and context poisoning patterns</w:t>
            </w:r>
          </w:p>
        </w:tc>
        <w:tc>
          <w:tcPr>
            <w:tcW w:type="dxa" w:w="100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No</w:t>
            </w:r>
          </w:p>
        </w:tc>
        <w:tc>
          <w:tcPr>
            <w:tcW w:type="dxa" w:w="496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Persistent memory poisoning, summary corruption, and retrieval contamination patterns.</w:t>
            </w:r>
          </w:p>
        </w:tc>
        <w:tc>
          <w:tcPr>
            <w:tcW w:type="dxa" w:w="108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36</w:t>
            </w:r>
          </w:p>
        </w:tc>
      </w:tr>
      <w:tr>
        <w:tc>
          <w:tcPr>
            <w:tcW w:type="dxa" w:w="223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Trust signals and provenance catalog</w:t>
            </w:r>
          </w:p>
        </w:tc>
        <w:tc>
          <w:tcPr>
            <w:tcW w:type="dxa" w:w="100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Yes</w:t>
            </w:r>
          </w:p>
        </w:tc>
        <w:tc>
          <w:tcPr>
            <w:tcW w:type="dxa" w:w="496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Normalized provenance and trust fields that every observation, artifact, and action should carry.</w:t>
            </w:r>
          </w:p>
        </w:tc>
        <w:tc>
          <w:tcPr>
            <w:tcW w:type="dxa" w:w="108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28</w:t>
            </w:r>
          </w:p>
        </w:tc>
      </w:tr>
      <w:tr>
        <w:tc>
          <w:tcPr>
            <w:tcW w:type="dxa" w:w="223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Policy controls catalog</w:t>
            </w:r>
          </w:p>
        </w:tc>
        <w:tc>
          <w:tcPr>
            <w:tcW w:type="dxa" w:w="100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No</w:t>
            </w:r>
          </w:p>
        </w:tc>
        <w:tc>
          <w:tcPr>
            <w:tcW w:type="dxa" w:w="496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Canonical control definitions and deployment recommendations.</w:t>
            </w:r>
          </w:p>
        </w:tc>
        <w:tc>
          <w:tcPr>
            <w:tcW w:type="dxa" w:w="108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45</w:t>
            </w:r>
          </w:p>
        </w:tc>
      </w:tr>
      <w:tr>
        <w:tc>
          <w:tcPr>
            <w:tcW w:type="dxa" w:w="223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Incident response playbooks</w:t>
            </w:r>
          </w:p>
        </w:tc>
        <w:tc>
          <w:tcPr>
            <w:tcW w:type="dxa" w:w="100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No</w:t>
            </w:r>
          </w:p>
        </w:tc>
        <w:tc>
          <w:tcPr>
            <w:tcW w:type="dxa" w:w="496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Default containment, rollback, quarantine, and forensic response actions.</w:t>
            </w:r>
          </w:p>
        </w:tc>
        <w:tc>
          <w:tcPr>
            <w:tcW w:type="dxa" w:w="108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18</w:t>
            </w:r>
          </w:p>
        </w:tc>
      </w:tr>
      <w:tr>
        <w:tc>
          <w:tcPr>
            <w:tcW w:type="dxa" w:w="223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Evaluation and red-team scenarios</w:t>
            </w:r>
          </w:p>
        </w:tc>
        <w:tc>
          <w:tcPr>
            <w:tcW w:type="dxa" w:w="100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No</w:t>
            </w:r>
          </w:p>
        </w:tc>
        <w:tc>
          <w:tcPr>
            <w:tcW w:type="dxa" w:w="496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Benchmark-aligned scenarios, metrics, and harness recommendations.</w:t>
            </w:r>
          </w:p>
        </w:tc>
        <w:tc>
          <w:tcPr>
            <w:tcW w:type="dxa" w:w="108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10</w:t>
            </w:r>
          </w:p>
        </w:tc>
      </w:tr>
      <w:tr>
        <w:tc>
          <w:tcPr>
            <w:tcW w:type="dxa" w:w="223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Source registry</w:t>
            </w:r>
          </w:p>
        </w:tc>
        <w:tc>
          <w:tcPr>
            <w:tcW w:type="dxa" w:w="100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No</w:t>
            </w:r>
          </w:p>
        </w:tc>
        <w:tc>
          <w:tcPr>
            <w:tcW w:type="dxa" w:w="496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Traceable research sources and credibility metadata for the KB packs.</w:t>
            </w:r>
          </w:p>
        </w:tc>
        <w:tc>
          <w:tcPr>
            <w:tcW w:type="dxa" w:w="108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30</w:t>
            </w:r>
          </w:p>
        </w:tc>
      </w:tr>
    </w:tbl>
    <w:p>
      <w:pPr/>
      <w:r>
        <w:t>A practical implementation detail is to keep the hot-path packs small and deterministic. The runtime should load prompt patterns, action integrity patterns, artifact surface patterns, tool/protocol patterns, and trust signals by default. Warm-path memory patterns, playbooks, and policy catalogs can be loaded on demand. Cold-path source registries and evaluation scenarios belong mostly to governance, QA, and release tooling.</w:t>
      </w:r>
      <w:r>
        <w:t xml:space="preserve"> [S15, S16, S07]</w:t>
      </w:r>
    </w:p>
    <w:p>
      <w:pPr>
        <w:pStyle w:val="Heading2"/>
      </w:pPr>
      <w:r>
        <w:t>7.1 Knowledge-plane governance</w:t>
      </w:r>
    </w:p>
    <w:p>
      <w:pPr/>
      <w:r>
        <w:t>Each new pattern should move through a promotion pipeline. First, register the source and credibility level. Second, add the candidate pattern to the appropriate pack. Third, attach regression tests or benchmark scenarios. Fourth, sign the new pack release and update the pack index. Fifth, promote the pattern into the hot path only when it has deterministic features or clear gating logic and an acceptable false-positive profile. This process keeps the SDK flexible without turning the hot path into an unstable experimental classifier.</w:t>
      </w:r>
      <w:r>
        <w:t xml:space="preserve"> [S07, S17, S18]</w:t>
      </w:r>
    </w:p>
    <w:p>
      <w:pPr>
        <w:pStyle w:val="Heading1"/>
      </w:pPr>
      <w:r>
        <w:t>8. Detailed feature and function specification</w:t>
      </w:r>
    </w:p>
    <w:p>
      <w:pPr>
        <w:pStyle w:val="Heading2"/>
      </w:pPr>
      <w:r>
        <w:t>8.1 PromptInjectionGuard</w:t>
      </w:r>
    </w:p>
    <w:p>
      <w:pPr/>
      <w:r>
        <w:t>The PromptInjectionGuard should remain lightweight. Its job is to tag likely manipulative content, not to make final execution decisions. The guard should normalize obvious obfuscations, track visibility classes, label instruction-precedence language, flag topic shifts or social-engineering cues, and expose suspicion signals to the rest of the runtime. It should not directly execute blocks unless a deterministic rule is clearly violated.</w:t>
      </w:r>
      <w:r>
        <w:t xml:space="preserve"> [S06, S01, S05]</w:t>
      </w:r>
    </w:p>
    <w:p>
      <w:pPr>
        <w:ind w:left="288" w:hanging="216"/>
      </w:pPr>
      <w:r>
        <w:rPr>
          <w:b/>
        </w:rPr>
        <w:t xml:space="preserve">• </w:t>
      </w:r>
      <w:r>
        <w:t>Normalize obvious obfuscation such as encoding, whitespace tricks, and typoglycemia.</w:t>
      </w:r>
    </w:p>
    <w:p>
      <w:pPr>
        <w:ind w:left="288" w:hanging="216"/>
      </w:pPr>
      <w:r>
        <w:rPr>
          <w:b/>
        </w:rPr>
        <w:t xml:space="preserve">• </w:t>
      </w:r>
      <w:r>
        <w:t>Preserve visibility-aware provenance so hidden text, metadata, and OCR-only layers can be treated differently from visible user content.</w:t>
      </w:r>
    </w:p>
    <w:p>
      <w:pPr>
        <w:ind w:left="288" w:hanging="216"/>
      </w:pPr>
      <w:r>
        <w:rPr>
          <w:b/>
        </w:rPr>
        <w:t xml:space="preserve">• </w:t>
      </w:r>
      <w:r>
        <w:t>Export suspicion signals rather than making the primary security decision alone.</w:t>
      </w:r>
    </w:p>
    <w:p>
      <w:pPr>
        <w:ind w:left="288" w:hanging="216"/>
      </w:pPr>
      <w:r>
        <w:rPr>
          <w:b/>
        </w:rPr>
        <w:t xml:space="preserve">• </w:t>
      </w:r>
      <w:r>
        <w:t>Support optional instruction-vs-data classifiers, but keep them off the hot path for ordinary low-risk browsing.</w:t>
      </w:r>
      <w:r>
        <w:t xml:space="preserve"> [S06, S25, S24]</w:t>
      </w:r>
    </w:p>
    <w:p>
      <w:pPr>
        <w:pStyle w:val="Heading2"/>
      </w:pPr>
      <w:r>
        <w:t>8.2 Action Integrity Firewall</w:t>
      </w:r>
    </w:p>
    <w:p>
      <w:pPr/>
      <w:r>
        <w:t>The Action Integrity Firewall should be the core safety engine in SafeBrowse vf. It compares each proposed action to a trusted task envelope built from the user goal, approved policy, current phase, allowed origins, allowed verbs, allowed sinks, and taint state. When the proposed action drifts outside that envelope, the firewall blocks, downgrades, or requests confirmation. This aligns with current source-sink guidance from OpenAI and the isolated alignment-critic approach Google describes for Chrome. [S01, S03]</w:t>
      </w:r>
    </w:p>
    <w:p>
      <w:pPr>
        <w:pStyle w:val="Heading3"/>
      </w:pPr>
      <w:r>
        <w:t>Action Integrity Firewall functions</w:t>
      </w:r>
    </w:p>
    <w:tbl>
      <w:tblPr>
        <w:tblW w:type="auto" w:w="0"/>
        <w:jc w:val="center"/>
        <w:tblLayout w:type="fixed"/>
        <w:tblLook w:firstColumn="1" w:firstRow="1" w:lastColumn="0" w:lastRow="0" w:noHBand="0" w:noVBand="1" w:val="04A0"/>
      </w:tblPr>
      <w:tblGrid>
        <w:gridCol w:w="3312"/>
        <w:gridCol w:w="3312"/>
        <w:gridCol w:w="3312"/>
      </w:tblGrid>
      <w:tr>
        <w:tc>
          <w:tcPr>
            <w:tcW w:type="dxa" w:w="2232"/>
            <w:vAlign w:val="center"/>
            <w:tcMar>
              <w:top w:w="90" w:type="dxa"/>
              <w:start w:w="90" w:type="dxa"/>
              <w:bottom w:w="90" w:type="dxa"/>
              <w:end w:w="90" w:type="dxa"/>
            </w:tcMar>
            <w:shd w:val="clear" w:fill="EAF1FB" w:color="auto"/>
            <w:tcBorders>
              <w:left w:val="single" w:sz="10" w:color="AFC3DD"/>
              <w:top w:val="single" w:sz="10" w:color="AFC3DD"/>
              <w:right w:val="single" w:sz="10" w:color="AFC3DD"/>
              <w:bottom w:val="single" w:sz="10" w:color="AFC3DD"/>
            </w:tcBorders>
          </w:tcPr>
          <w:p>
            <w:pPr>
              <w:jc w:val="center"/>
            </w:pPr>
            <w:r>
              <w:rPr>
                <w:b/>
                <w:color w:val="17365D"/>
                <w:sz w:val="20"/>
              </w:rPr>
              <w:t>Function</w:t>
            </w:r>
          </w:p>
        </w:tc>
        <w:tc>
          <w:tcPr>
            <w:tcW w:type="dxa" w:w="5688"/>
            <w:vAlign w:val="center"/>
            <w:tcMar>
              <w:top w:w="90" w:type="dxa"/>
              <w:start w:w="90" w:type="dxa"/>
              <w:bottom w:w="90" w:type="dxa"/>
              <w:end w:w="90" w:type="dxa"/>
            </w:tcMar>
            <w:shd w:val="clear" w:fill="EAF1FB" w:color="auto"/>
            <w:tcBorders>
              <w:left w:val="single" w:sz="10" w:color="AFC3DD"/>
              <w:top w:val="single" w:sz="10" w:color="AFC3DD"/>
              <w:right w:val="single" w:sz="10" w:color="AFC3DD"/>
              <w:bottom w:val="single" w:sz="10" w:color="AFC3DD"/>
            </w:tcBorders>
          </w:tcPr>
          <w:p>
            <w:pPr>
              <w:jc w:val="center"/>
            </w:pPr>
            <w:r>
              <w:rPr>
                <w:b/>
                <w:color w:val="17365D"/>
                <w:sz w:val="20"/>
              </w:rPr>
              <w:t>Implementation intent</w:t>
            </w:r>
          </w:p>
        </w:tc>
        <w:tc>
          <w:tcPr>
            <w:tcW w:type="dxa" w:w="1728"/>
            <w:vAlign w:val="center"/>
            <w:tcMar>
              <w:top w:w="90" w:type="dxa"/>
              <w:start w:w="90" w:type="dxa"/>
              <w:bottom w:w="90" w:type="dxa"/>
              <w:end w:w="90" w:type="dxa"/>
            </w:tcMar>
            <w:shd w:val="clear" w:fill="EAF1FB" w:color="auto"/>
            <w:tcBorders>
              <w:left w:val="single" w:sz="10" w:color="AFC3DD"/>
              <w:top w:val="single" w:sz="10" w:color="AFC3DD"/>
              <w:right w:val="single" w:sz="10" w:color="AFC3DD"/>
              <w:bottom w:val="single" w:sz="10" w:color="AFC3DD"/>
            </w:tcBorders>
          </w:tcPr>
          <w:p>
            <w:pPr>
              <w:jc w:val="center"/>
            </w:pPr>
            <w:r>
              <w:rPr>
                <w:b/>
                <w:color w:val="17365D"/>
                <w:sz w:val="20"/>
              </w:rPr>
              <w:t>Basis</w:t>
            </w:r>
          </w:p>
        </w:tc>
      </w:tr>
      <w:tr>
        <w:tc>
          <w:tcPr>
            <w:tcW w:type="dxa" w:w="223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Read-only vs writable origin sets</w:t>
            </w:r>
          </w:p>
        </w:tc>
        <w:tc>
          <w:tcPr>
            <w:tcW w:type="dxa" w:w="568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Maintain separate allowlists and never silently promote a read-only workflow into a writable one.</w:t>
            </w:r>
          </w:p>
        </w:tc>
        <w:tc>
          <w:tcPr>
            <w:tcW w:type="dxa" w:w="172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[S03]</w:t>
            </w:r>
          </w:p>
        </w:tc>
      </w:tr>
      <w:tr>
        <w:tc>
          <w:tcPr>
            <w:tcW w:type="dxa" w:w="223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Sensitive sink guard</w:t>
            </w:r>
          </w:p>
        </w:tc>
        <w:tc>
          <w:tcPr>
            <w:tcW w:type="dxa" w:w="568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Stop or confirm transmissions of tainted or sensitive data to third parties.</w:t>
            </w:r>
          </w:p>
        </w:tc>
        <w:tc>
          <w:tcPr>
            <w:tcW w:type="dxa" w:w="172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[S01]</w:t>
            </w:r>
          </w:p>
        </w:tc>
      </w:tr>
      <w:tr>
        <w:tc>
          <w:tcPr>
            <w:tcW w:type="dxa" w:w="223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Metadata-only critic</w:t>
            </w:r>
          </w:p>
        </w:tc>
        <w:tc>
          <w:tcPr>
            <w:tcW w:type="dxa" w:w="568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Run a separate model over action metadata, not raw hostile content, for risky proposals.</w:t>
            </w:r>
          </w:p>
        </w:tc>
        <w:tc>
          <w:tcPr>
            <w:tcW w:type="dxa" w:w="172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[S03]</w:t>
            </w:r>
          </w:p>
        </w:tc>
      </w:tr>
      <w:tr>
        <w:tc>
          <w:tcPr>
            <w:tcW w:type="dxa" w:w="223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Safe verdicts</w:t>
            </w:r>
          </w:p>
        </w:tc>
        <w:tc>
          <w:tcPr>
            <w:tcW w:type="dxa" w:w="568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Return typed verdicts such as ALLOW, BLOCK, REPLAN_READ_ONLY, USER_CONFIRM, and QUARANTINE_ARTIFACT.</w:t>
            </w:r>
          </w:p>
        </w:tc>
        <w:tc>
          <w:tcPr>
            <w:tcW w:type="dxa" w:w="172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r>
          </w:p>
        </w:tc>
      </w:tr>
      <w:tr>
        <w:tc>
          <w:tcPr>
            <w:tcW w:type="dxa" w:w="223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Action lineage</w:t>
            </w:r>
          </w:p>
        </w:tc>
        <w:tc>
          <w:tcPr>
            <w:tcW w:type="dxa" w:w="568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Record which observation or artifact fragments influenced the proposal.</w:t>
            </w:r>
          </w:p>
        </w:tc>
        <w:tc>
          <w:tcPr>
            <w:tcW w:type="dxa" w:w="172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[S01, S20]</w:t>
            </w:r>
          </w:p>
        </w:tc>
      </w:tr>
    </w:tbl>
    <w:p>
      <w:pPr>
        <w:pStyle w:val="Heading2"/>
      </w:pPr>
      <w:r>
        <w:t>8.3 Artifact &amp; Surface Guard</w:t>
      </w:r>
    </w:p>
    <w:p>
      <w:pPr/>
      <w:r>
        <w:t>The Artifact &amp; Surface Guard handles precisely the surfaces that ordinary guardrail frameworks often treat only indirectly: PDFs, viewer pages, OCR layers, hidden document text, comments/notes, images with text, archives, and non-standard renderers. Anthropic explicitly notes that the browser attack surface includes webpages, embedded documents, ads, and dynamic scripts; OWASP’s prompt-injection guidance also highlights multimodal attacks, hidden text, and retrieval poisoning. SafeBrowse vf should therefore treat document and viewer workflows as first-class threat surfaces. [S04, S06]</w:t>
      </w:r>
    </w:p>
    <w:p>
      <w:pPr>
        <w:pStyle w:val="Heading3"/>
      </w:pPr>
      <w:r>
        <w:t>Artifact &amp; Surface Guard functions</w:t>
      </w:r>
    </w:p>
    <w:tbl>
      <w:tblPr>
        <w:tblW w:type="auto" w:w="0"/>
        <w:jc w:val="center"/>
        <w:tblLayout w:type="fixed"/>
        <w:tblLook w:firstColumn="1" w:firstRow="1" w:lastColumn="0" w:lastRow="0" w:noHBand="0" w:noVBand="1" w:val="04A0"/>
      </w:tblPr>
      <w:tblGrid>
        <w:gridCol w:w="4968"/>
        <w:gridCol w:w="4968"/>
      </w:tblGrid>
      <w:tr>
        <w:tc>
          <w:tcPr>
            <w:tcW w:type="dxa" w:w="2880"/>
            <w:vAlign w:val="center"/>
            <w:tcMar>
              <w:top w:w="90" w:type="dxa"/>
              <w:start w:w="90" w:type="dxa"/>
              <w:bottom w:w="90" w:type="dxa"/>
              <w:end w:w="90" w:type="dxa"/>
            </w:tcMar>
            <w:shd w:val="clear" w:fill="EAF1FB" w:color="auto"/>
            <w:tcBorders>
              <w:left w:val="single" w:sz="10" w:color="AFC3DD"/>
              <w:top w:val="single" w:sz="10" w:color="AFC3DD"/>
              <w:right w:val="single" w:sz="10" w:color="AFC3DD"/>
              <w:bottom w:val="single" w:sz="10" w:color="AFC3DD"/>
            </w:tcBorders>
          </w:tcPr>
          <w:p>
            <w:pPr>
              <w:jc w:val="center"/>
            </w:pPr>
            <w:r>
              <w:rPr>
                <w:b/>
                <w:color w:val="17365D"/>
                <w:sz w:val="20"/>
              </w:rPr>
              <w:t>Function</w:t>
            </w:r>
          </w:p>
        </w:tc>
        <w:tc>
          <w:tcPr>
            <w:tcW w:type="dxa" w:w="6480"/>
            <w:vAlign w:val="center"/>
            <w:tcMar>
              <w:top w:w="90" w:type="dxa"/>
              <w:start w:w="90" w:type="dxa"/>
              <w:bottom w:w="90" w:type="dxa"/>
              <w:end w:w="90" w:type="dxa"/>
            </w:tcMar>
            <w:shd w:val="clear" w:fill="EAF1FB" w:color="auto"/>
            <w:tcBorders>
              <w:left w:val="single" w:sz="10" w:color="AFC3DD"/>
              <w:top w:val="single" w:sz="10" w:color="AFC3DD"/>
              <w:right w:val="single" w:sz="10" w:color="AFC3DD"/>
              <w:bottom w:val="single" w:sz="10" w:color="AFC3DD"/>
            </w:tcBorders>
          </w:tcPr>
          <w:p>
            <w:pPr>
              <w:jc w:val="center"/>
            </w:pPr>
            <w:r>
              <w:rPr>
                <w:b/>
                <w:color w:val="17365D"/>
                <w:sz w:val="20"/>
              </w:rPr>
              <w:t>Implementation</w:t>
            </w:r>
          </w:p>
        </w:tc>
      </w:tr>
      <w:tr>
        <w:tc>
          <w:tcPr>
            <w:tcW w:type="dxa" w:w="288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Artifact hashing and lineage</w:t>
            </w:r>
          </w:p>
        </w:tc>
        <w:tc>
          <w:tcPr>
            <w:tcW w:type="dxa" w:w="648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Hash files and track viewer page → download → extraction lineage.</w:t>
            </w:r>
          </w:p>
        </w:tc>
      </w:tr>
      <w:tr>
        <w:tc>
          <w:tcPr>
            <w:tcW w:type="dxa" w:w="288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Render/text diffing</w:t>
            </w:r>
          </w:p>
        </w:tc>
        <w:tc>
          <w:tcPr>
            <w:tcW w:type="dxa" w:w="648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Compare visible render, extracted text, and OCR text to detect hidden or mismatched instructions.</w:t>
            </w:r>
          </w:p>
        </w:tc>
      </w:tr>
      <w:tr>
        <w:tc>
          <w:tcPr>
            <w:tcW w:type="dxa" w:w="288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Safe handoff modes</w:t>
            </w:r>
          </w:p>
        </w:tc>
        <w:tc>
          <w:tcPr>
            <w:tcW w:type="dxa" w:w="648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Return raw artifact handle, sanitized extracted text, or quarantine verdict depending on policy.</w:t>
            </w:r>
          </w:p>
        </w:tc>
      </w:tr>
      <w:tr>
        <w:tc>
          <w:tcPr>
            <w:tcW w:type="dxa" w:w="288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Annotation and metadata scans</w:t>
            </w:r>
          </w:p>
        </w:tc>
        <w:tc>
          <w:tcPr>
            <w:tcW w:type="dxa" w:w="648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Treat comments, notes, metadata fields, and embedded scripts as separate trust classes.</w:t>
            </w:r>
          </w:p>
        </w:tc>
      </w:tr>
      <w:tr>
        <w:tc>
          <w:tcPr>
            <w:tcW w:type="dxa" w:w="288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MIME and container policy</w:t>
            </w:r>
          </w:p>
        </w:tc>
        <w:tc>
          <w:tcPr>
            <w:tcW w:type="dxa" w:w="648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Differentiate PDFs, HTML viewers, archives, images, and office files.</w:t>
            </w:r>
          </w:p>
        </w:tc>
      </w:tr>
    </w:tbl>
    <w:tbl>
      <w:tblPr>
        <w:tblW w:type="auto" w:w="0"/>
        <w:jc w:val="center"/>
        <w:tblLook w:firstColumn="1" w:firstRow="1" w:lastColumn="0" w:lastRow="0" w:noHBand="0" w:noVBand="1" w:val="04A0"/>
      </w:tblPr>
      <w:tblGrid>
        <w:gridCol w:w="9936"/>
      </w:tblGrid>
      <w:tr>
        <w:tc>
          <w:tcPr>
            <w:tcW w:type="dxa" w:w="9936"/>
            <w:shd w:val="clear" w:fill="F8FAFC" w:color="auto"/>
            <w:tcBorders>
              <w:left w:val="single" w:sz="10" w:color="CBD5E1"/>
              <w:top w:val="single" w:sz="10" w:color="CBD5E1"/>
              <w:right w:val="single" w:sz="10" w:color="CBD5E1"/>
              <w:bottom w:val="single" w:sz="10" w:color="CBD5E1"/>
            </w:tcBorders>
            <w:tcMar>
              <w:top w:w="120" w:type="dxa"/>
              <w:start w:w="140" w:type="dxa"/>
              <w:bottom w:w="120" w:type="dxa"/>
              <w:end w:w="140" w:type="dxa"/>
            </w:tcMar>
          </w:tcPr>
          <w:p>
            <w:pPr>
              <w:spacing w:after="80"/>
            </w:pPr>
            <w:r>
              <w:rPr>
                <w:b/>
                <w:color w:val="17365D"/>
                <w:sz w:val="23"/>
              </w:rPr>
              <w:t>Artifact-handoff principle</w:t>
            </w:r>
          </w:p>
          <w:p>
            <w:pPr>
              <w:spacing w:after="0"/>
            </w:pPr>
            <w:r>
              <w:t>The SDK does not need to analyze every document by default. It needs to safely broker a document or viewer surface back to the host agent with enough trust metadata and control points to prevent hostile content from silently becoming instructions.</w:t>
            </w:r>
          </w:p>
        </w:tc>
      </w:tr>
    </w:tbl>
    <w:p>
      <w:pPr>
        <w:pStyle w:val="Heading2"/>
      </w:pPr>
      <w:r>
        <w:t>8.4 Tool / Protocol Guard</w:t>
      </w:r>
    </w:p>
    <w:p>
      <w:pPr/>
      <w:r>
        <w:t>Tool and protocol safety need their own module. ToolHijacker shows that malicious tool documentation can steer tool selection. MCP guidance warns against token passthrough, describes redirect-URI and state protections, and outlines SSRF concerns. OWASP’s secure MCP guidance adds strong recommendations around authorization, session isolation, and hardened deployment. These are not edge cases; they are core browsing-agent risks because modern agents rarely browse in isolation from tools and authenticated connectors.</w:t>
      </w:r>
      <w:r>
        <w:t xml:space="preserve"> [S21, S09, S10]</w:t>
      </w:r>
    </w:p>
    <w:p>
      <w:pPr>
        <w:ind w:left="288" w:hanging="216"/>
      </w:pPr>
      <w:r>
        <w:rPr>
          <w:b/>
        </w:rPr>
        <w:t xml:space="preserve">• </w:t>
      </w:r>
      <w:r>
        <w:t>Lint tool descriptions and schemas before they enter any registry.</w:t>
      </w:r>
    </w:p>
    <w:p>
      <w:pPr>
        <w:ind w:left="288" w:hanging="216"/>
      </w:pPr>
      <w:r>
        <w:rPr>
          <w:b/>
        </w:rPr>
        <w:t xml:space="preserve">• </w:t>
      </w:r>
      <w:r>
        <w:t>Keep a signed allowlisted adapter registry and support local policy overlays.</w:t>
      </w:r>
    </w:p>
    <w:p>
      <w:pPr>
        <w:ind w:left="288" w:hanging="216"/>
      </w:pPr>
      <w:r>
        <w:rPr>
          <w:b/>
        </w:rPr>
        <w:t xml:space="preserve">• </w:t>
      </w:r>
      <w:r>
        <w:t>Prohibit token passthrough and direct credential relay through tool metadata or model outputs.</w:t>
      </w:r>
    </w:p>
    <w:p>
      <w:pPr>
        <w:ind w:left="288" w:hanging="216"/>
      </w:pPr>
      <w:r>
        <w:rPr>
          <w:b/>
        </w:rPr>
        <w:t xml:space="preserve">• </w:t>
      </w:r>
      <w:r>
        <w:t>Require exact redirect-URI matching, short-lived state, and SSRF-resistant egress rules for auth flows.</w:t>
      </w:r>
    </w:p>
    <w:p>
      <w:pPr>
        <w:ind w:left="288" w:hanging="216"/>
      </w:pPr>
      <w:r>
        <w:rPr>
          <w:b/>
        </w:rPr>
        <w:t xml:space="preserve">• </w:t>
      </w:r>
      <w:r>
        <w:t>Model tool selection as a separate decision problem from task planning.</w:t>
      </w:r>
      <w:r>
        <w:t xml:space="preserve"> [S21, S09, S10, S15]</w:t>
      </w:r>
    </w:p>
    <w:p>
      <w:pPr>
        <w:pStyle w:val="Heading2"/>
      </w:pPr>
      <w:r>
        <w:t>8.5 Memory &amp; Context Guard</w:t>
      </w:r>
    </w:p>
    <w:p>
      <w:pPr/>
      <w:r>
        <w:t>Memory and context poisoning deserve explicit treatment in SafeBrowse vf. OWASP’s Agent Memory Guard project focuses on cryptographic baselines, memory policies, snapshots, and rollback. Academic work on one-shot RAG poisoning, activation-based poison detection, and benchmarked agent hijacking suggests that persistence and retrieval can remain compromised even when the immediate page is gone. The SDK should therefore assume that memory, summaries, caches, and retrieval indices are part of the browsing threat surface whenever a host agent stores what it saw online. [S12, S26, S27, S30]</w:t>
      </w:r>
    </w:p>
    <w:p>
      <w:pPr>
        <w:ind w:left="288" w:hanging="216"/>
      </w:pPr>
      <w:r>
        <w:rPr>
          <w:b/>
        </w:rPr>
        <w:t xml:space="preserve">• </w:t>
      </w:r>
      <w:r>
        <w:t>Require policy approval for durable writes and protect a set of reserved memory keys.</w:t>
      </w:r>
    </w:p>
    <w:p>
      <w:pPr>
        <w:ind w:left="288" w:hanging="216"/>
      </w:pPr>
      <w:r>
        <w:rPr>
          <w:b/>
        </w:rPr>
        <w:t xml:space="preserve">• </w:t>
      </w:r>
      <w:r>
        <w:t>Store snapshots and support rollback to a known-good state.</w:t>
      </w:r>
    </w:p>
    <w:p>
      <w:pPr>
        <w:ind w:left="288" w:hanging="216"/>
      </w:pPr>
      <w:r>
        <w:rPr>
          <w:b/>
        </w:rPr>
        <w:t xml:space="preserve">• </w:t>
      </w:r>
      <w:r>
        <w:t>Differentiate trusted user memory from web-derived memory.</w:t>
      </w:r>
    </w:p>
    <w:p>
      <w:pPr>
        <w:ind w:left="288" w:hanging="216"/>
      </w:pPr>
      <w:r>
        <w:rPr>
          <w:b/>
        </w:rPr>
        <w:t xml:space="preserve">• </w:t>
      </w:r>
      <w:r>
        <w:t>Corroborate retrieved facts across sources before promoting them into durable state.</w:t>
      </w:r>
    </w:p>
    <w:p>
      <w:pPr>
        <w:ind w:left="288" w:hanging="216"/>
      </w:pPr>
      <w:r>
        <w:rPr>
          <w:b/>
        </w:rPr>
        <w:t xml:space="preserve">• </w:t>
      </w:r>
      <w:r>
        <w:t>Flag delayed-trigger patterns, codewords, and summary drift across sessions.</w:t>
      </w:r>
      <w:r>
        <w:t xml:space="preserve"> [S12, S26, S27]</w:t>
      </w:r>
    </w:p>
    <w:p>
      <w:pPr>
        <w:pStyle w:val="Heading2"/>
      </w:pPr>
      <w:r>
        <w:t>8.6 Trust signals, provenance, and replay</w:t>
      </w:r>
    </w:p>
    <w:p>
      <w:pPr/>
      <w:r>
        <w:t>SafeBrowse vf should standardize trust signals across every module. Signals such as source origin, frame origin, visibility class, extraction method, artifact kind, taint class, approval-binding ID, and lineage chain should be required fields rather than optional metadata. Guardrails AI’s validator system and provenance-oriented patterns are useful here, but SafeBrowse needs a stronger browser-specific contract because actions, artifacts, and origins are central to its job. [S14, S03, S01]</w:t>
      </w:r>
    </w:p>
    <w:p>
      <w:pPr/>
      <w:r>
        <w:t>Replay is also not optional. BrowserGym and AgentDojo make clear that reliable evaluation depends on reproducible traces and comparable metrics. Every decision should therefore be reconstructable from a replay bundle containing the action proposal, trust signals, policy version, relevant observation hashes, and final verdict.</w:t>
      </w:r>
      <w:r>
        <w:t xml:space="preserve"> [S17, S18]</w:t>
      </w:r>
    </w:p>
    <w:p>
      <w:pPr>
        <w:pStyle w:val="Heading2"/>
      </w:pPr>
      <w:r>
        <w:t>8.7 Performance and efficiency design</w:t>
      </w:r>
    </w:p>
    <w:p>
      <w:pPr/>
      <w:r>
        <w:t>The SDK should stay lightweight enough that other projects can enable it without dragging in excessive runtime cost. The best way to do that is architectural: keep most hot-path checks deterministic; compile policy to fast decision tables; lazy-load warm/cold packs; avoid model-based critics unless the action is risky; pass artifact references instead of copying large buffers; and make deep scans configurable by profile.</w:t>
      </w:r>
      <w:r>
        <w:t xml:space="preserve"> [S15, S16]</w:t>
      </w:r>
    </w:p>
    <w:p>
      <w:pPr>
        <w:pStyle w:val="Heading3"/>
      </w:pPr>
      <w:r>
        <w:t>Proposed performance targets</w:t>
      </w:r>
    </w:p>
    <w:tbl>
      <w:tblPr>
        <w:tblW w:type="auto" w:w="0"/>
        <w:jc w:val="center"/>
        <w:tblLayout w:type="fixed"/>
        <w:tblLook w:firstColumn="1" w:firstRow="1" w:lastColumn="0" w:lastRow="0" w:noHBand="0" w:noVBand="1" w:val="04A0"/>
      </w:tblPr>
      <w:tblGrid>
        <w:gridCol w:w="3312"/>
        <w:gridCol w:w="3312"/>
        <w:gridCol w:w="3312"/>
      </w:tblGrid>
      <w:tr>
        <w:tc>
          <w:tcPr>
            <w:tcW w:type="dxa" w:w="2448"/>
            <w:vAlign w:val="center"/>
            <w:tcMar>
              <w:top w:w="90" w:type="dxa"/>
              <w:start w:w="90" w:type="dxa"/>
              <w:bottom w:w="90" w:type="dxa"/>
              <w:end w:w="90" w:type="dxa"/>
            </w:tcMar>
            <w:shd w:val="clear" w:fill="EAF1FB" w:color="auto"/>
            <w:tcBorders>
              <w:left w:val="single" w:sz="10" w:color="AFC3DD"/>
              <w:top w:val="single" w:sz="10" w:color="AFC3DD"/>
              <w:right w:val="single" w:sz="10" w:color="AFC3DD"/>
              <w:bottom w:val="single" w:sz="10" w:color="AFC3DD"/>
            </w:tcBorders>
          </w:tcPr>
          <w:p>
            <w:pPr>
              <w:jc w:val="center"/>
            </w:pPr>
            <w:r>
              <w:rPr>
                <w:b/>
                <w:color w:val="17365D"/>
                <w:sz w:val="20"/>
              </w:rPr>
              <w:t>Operation class</w:t>
            </w:r>
          </w:p>
        </w:tc>
        <w:tc>
          <w:tcPr>
            <w:tcW w:type="dxa" w:w="5112"/>
            <w:vAlign w:val="center"/>
            <w:tcMar>
              <w:top w:w="90" w:type="dxa"/>
              <w:start w:w="90" w:type="dxa"/>
              <w:bottom w:w="90" w:type="dxa"/>
              <w:end w:w="90" w:type="dxa"/>
            </w:tcMar>
            <w:shd w:val="clear" w:fill="EAF1FB" w:color="auto"/>
            <w:tcBorders>
              <w:left w:val="single" w:sz="10" w:color="AFC3DD"/>
              <w:top w:val="single" w:sz="10" w:color="AFC3DD"/>
              <w:right w:val="single" w:sz="10" w:color="AFC3DD"/>
              <w:bottom w:val="single" w:sz="10" w:color="AFC3DD"/>
            </w:tcBorders>
          </w:tcPr>
          <w:p>
            <w:pPr>
              <w:jc w:val="center"/>
            </w:pPr>
            <w:r>
              <w:rPr>
                <w:b/>
                <w:color w:val="17365D"/>
                <w:sz w:val="20"/>
              </w:rPr>
              <w:t>Default path</w:t>
            </w:r>
          </w:p>
        </w:tc>
        <w:tc>
          <w:tcPr>
            <w:tcW w:type="dxa" w:w="1800"/>
            <w:vAlign w:val="center"/>
            <w:tcMar>
              <w:top w:w="90" w:type="dxa"/>
              <w:start w:w="90" w:type="dxa"/>
              <w:bottom w:w="90" w:type="dxa"/>
              <w:end w:w="90" w:type="dxa"/>
            </w:tcMar>
            <w:shd w:val="clear" w:fill="EAF1FB" w:color="auto"/>
            <w:tcBorders>
              <w:left w:val="single" w:sz="10" w:color="AFC3DD"/>
              <w:top w:val="single" w:sz="10" w:color="AFC3DD"/>
              <w:right w:val="single" w:sz="10" w:color="AFC3DD"/>
              <w:bottom w:val="single" w:sz="10" w:color="AFC3DD"/>
            </w:tcBorders>
          </w:tcPr>
          <w:p>
            <w:pPr>
              <w:jc w:val="center"/>
            </w:pPr>
            <w:r>
              <w:rPr>
                <w:b/>
                <w:color w:val="17365D"/>
                <w:sz w:val="20"/>
              </w:rPr>
              <w:t>Target</w:t>
            </w:r>
          </w:p>
        </w:tc>
      </w:tr>
      <w:tr>
        <w:tc>
          <w:tcPr>
            <w:tcW w:type="dxa" w:w="244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Low-risk read-only action</w:t>
            </w:r>
          </w:p>
        </w:tc>
        <w:tc>
          <w:tcPr>
            <w:tcW w:type="dxa" w:w="511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No model call; deterministic policy and provenance checks only</w:t>
            </w:r>
          </w:p>
        </w:tc>
        <w:tc>
          <w:tcPr>
            <w:tcW w:type="dxa" w:w="180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p50 &lt; 10 ms; p95 &lt; 25 ms</w:t>
            </w:r>
          </w:p>
        </w:tc>
      </w:tr>
      <w:tr>
        <w:tc>
          <w:tcPr>
            <w:tcW w:type="dxa" w:w="244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Risky cross-origin or write-capable action</w:t>
            </w:r>
          </w:p>
        </w:tc>
        <w:tc>
          <w:tcPr>
            <w:tcW w:type="dxa" w:w="511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Deterministic checks plus metadata-only critic</w:t>
            </w:r>
          </w:p>
        </w:tc>
        <w:tc>
          <w:tcPr>
            <w:tcW w:type="dxa" w:w="180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p50 &lt; 350 ms excluding remote model latency</w:t>
            </w:r>
          </w:p>
        </w:tc>
      </w:tr>
      <w:tr>
        <w:tc>
          <w:tcPr>
            <w:tcW w:type="dxa" w:w="244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Artifact handoff (small PDF/viewer page)</w:t>
            </w:r>
          </w:p>
        </w:tc>
        <w:tc>
          <w:tcPr>
            <w:tcW w:type="dxa" w:w="511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Hashing + MIME + lineage + optional render/text diff</w:t>
            </w:r>
          </w:p>
        </w:tc>
        <w:tc>
          <w:tcPr>
            <w:tcW w:type="dxa" w:w="180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sub-second by default; configurable deep scan</w:t>
            </w:r>
          </w:p>
        </w:tc>
      </w:tr>
      <w:tr>
        <w:tc>
          <w:tcPr>
            <w:tcW w:type="dxa" w:w="244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Runtime memory footprint</w:t>
            </w:r>
          </w:p>
        </w:tc>
        <w:tc>
          <w:tcPr>
            <w:tcW w:type="dxa" w:w="511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Load hot-path packs only; use lazy loading for governance/eval packs</w:t>
            </w:r>
          </w:p>
        </w:tc>
        <w:tc>
          <w:tcPr>
            <w:tcW w:type="dxa" w:w="180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&lt; 200 MB incremental target without browser runtime</w:t>
            </w:r>
          </w:p>
        </w:tc>
      </w:tr>
      <w:tr>
        <w:tc>
          <w:tcPr>
            <w:tcW w:type="dxa" w:w="244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Telemetry</w:t>
            </w:r>
          </w:p>
        </w:tc>
        <w:tc>
          <w:tcPr>
            <w:tcW w:type="dxa" w:w="511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Structured logs and replay bundles with sampling controls</w:t>
            </w:r>
          </w:p>
        </w:tc>
        <w:tc>
          <w:tcPr>
            <w:tcW w:type="dxa" w:w="180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bounded and profile-dependent</w:t>
            </w:r>
          </w:p>
        </w:tc>
      </w:tr>
    </w:tbl>
    <w:p>
      <w:pPr>
        <w:pStyle w:val="SmallGray"/>
      </w:pPr>
      <w:r>
        <w:t>These are proposed engineering targets, not measured benchmarks.</w:t>
      </w:r>
    </w:p>
    <w:p>
      <w:pPr>
        <w:pStyle w:val="Heading1"/>
      </w:pPr>
      <w:r>
        <w:t>9. Deep-research review of adjacent systems</w:t>
      </w:r>
    </w:p>
    <w:p>
      <w:pPr/>
      <w:r>
        <w:t>The public documentation for adjacent open-source or open documentation projects is helpful, but it does not remove the need for a browser-specific middleware like SafeBrowse. The following comparison is intentionally conservative: it summarizes what the referenced materials publicly document and then identifies what that implies for SafeBrowse vf. [S13, S15, S16, S14, S12]</w:t>
      </w:r>
    </w:p>
    <w:p>
      <w:pPr>
        <w:pStyle w:val="Heading3"/>
      </w:pPr>
      <w:r>
        <w:t>What SafeBrowse vf should borrow from adjacent systems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656"/>
            <w:vAlign w:val="center"/>
            <w:tcMar>
              <w:top w:w="90" w:type="dxa"/>
              <w:start w:w="90" w:type="dxa"/>
              <w:bottom w:w="90" w:type="dxa"/>
              <w:end w:w="90" w:type="dxa"/>
            </w:tcMar>
            <w:shd w:val="clear" w:fill="EAF1FB" w:color="auto"/>
            <w:tcBorders>
              <w:left w:val="single" w:sz="10" w:color="AFC3DD"/>
              <w:top w:val="single" w:sz="10" w:color="AFC3DD"/>
              <w:right w:val="single" w:sz="10" w:color="AFC3DD"/>
              <w:bottom w:val="single" w:sz="10" w:color="AFC3DD"/>
            </w:tcBorders>
          </w:tcPr>
          <w:p>
            <w:pPr>
              <w:jc w:val="center"/>
            </w:pPr>
            <w:r>
              <w:rPr>
                <w:b/>
                <w:color w:val="17365D"/>
                <w:sz w:val="20"/>
              </w:rPr>
              <w:t>Source</w:t>
            </w:r>
          </w:p>
        </w:tc>
        <w:tc>
          <w:tcPr>
            <w:tcW w:type="dxa" w:w="3096"/>
            <w:vAlign w:val="center"/>
            <w:tcMar>
              <w:top w:w="90" w:type="dxa"/>
              <w:start w:w="90" w:type="dxa"/>
              <w:bottom w:w="90" w:type="dxa"/>
              <w:end w:w="90" w:type="dxa"/>
            </w:tcMar>
            <w:shd w:val="clear" w:fill="EAF1FB" w:color="auto"/>
            <w:tcBorders>
              <w:left w:val="single" w:sz="10" w:color="AFC3DD"/>
              <w:top w:val="single" w:sz="10" w:color="AFC3DD"/>
              <w:right w:val="single" w:sz="10" w:color="AFC3DD"/>
              <w:bottom w:val="single" w:sz="10" w:color="AFC3DD"/>
            </w:tcBorders>
          </w:tcPr>
          <w:p>
            <w:pPr>
              <w:jc w:val="center"/>
            </w:pPr>
            <w:r>
              <w:rPr>
                <w:b/>
                <w:color w:val="17365D"/>
                <w:sz w:val="20"/>
              </w:rPr>
              <w:t>Publicly documented strengths</w:t>
            </w:r>
          </w:p>
        </w:tc>
        <w:tc>
          <w:tcPr>
            <w:tcW w:type="dxa" w:w="2232"/>
            <w:vAlign w:val="center"/>
            <w:tcMar>
              <w:top w:w="90" w:type="dxa"/>
              <w:start w:w="90" w:type="dxa"/>
              <w:bottom w:w="90" w:type="dxa"/>
              <w:end w:w="90" w:type="dxa"/>
            </w:tcMar>
            <w:shd w:val="clear" w:fill="EAF1FB" w:color="auto"/>
            <w:tcBorders>
              <w:left w:val="single" w:sz="10" w:color="AFC3DD"/>
              <w:top w:val="single" w:sz="10" w:color="AFC3DD"/>
              <w:right w:val="single" w:sz="10" w:color="AFC3DD"/>
              <w:bottom w:val="single" w:sz="10" w:color="AFC3DD"/>
            </w:tcBorders>
          </w:tcPr>
          <w:p>
            <w:pPr>
              <w:jc w:val="center"/>
            </w:pPr>
            <w:r>
              <w:rPr>
                <w:b/>
                <w:color w:val="17365D"/>
                <w:sz w:val="20"/>
              </w:rPr>
              <w:t>What it teaches SafeBrowse vf</w:t>
            </w:r>
          </w:p>
        </w:tc>
        <w:tc>
          <w:tcPr>
            <w:tcW w:type="dxa" w:w="2520"/>
            <w:vAlign w:val="center"/>
            <w:tcMar>
              <w:top w:w="90" w:type="dxa"/>
              <w:start w:w="90" w:type="dxa"/>
              <w:bottom w:w="90" w:type="dxa"/>
              <w:end w:w="90" w:type="dxa"/>
            </w:tcMar>
            <w:shd w:val="clear" w:fill="EAF1FB" w:color="auto"/>
            <w:tcBorders>
              <w:left w:val="single" w:sz="10" w:color="AFC3DD"/>
              <w:top w:val="single" w:sz="10" w:color="AFC3DD"/>
              <w:right w:val="single" w:sz="10" w:color="AFC3DD"/>
              <w:bottom w:val="single" w:sz="10" w:color="AFC3DD"/>
            </w:tcBorders>
          </w:tcPr>
          <w:p>
            <w:pPr>
              <w:jc w:val="center"/>
            </w:pPr>
            <w:r>
              <w:rPr>
                <w:b/>
                <w:color w:val="17365D"/>
                <w:sz w:val="20"/>
              </w:rPr>
              <w:t>What remains missing</w:t>
            </w:r>
          </w:p>
        </w:tc>
      </w:tr>
      <w:tr>
        <w:tc>
          <w:tcPr>
            <w:tcW w:type="dxa" w:w="1656"/>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NeMo Guardrails</w:t>
            </w:r>
          </w:p>
        </w:tc>
        <w:tc>
          <w:tcPr>
            <w:tcW w:type="dxa" w:w="3096"/>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Programmable input, retrieval, dialog, execution, and output rails; API server; tracing; evaluation docs.</w:t>
            </w:r>
          </w:p>
        </w:tc>
        <w:tc>
          <w:tcPr>
            <w:tcW w:type="dxa" w:w="223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Confirms the value of modular rails, observability, and integrations.</w:t>
            </w:r>
          </w:p>
        </w:tc>
        <w:tc>
          <w:tcPr>
            <w:tcW w:type="dxa" w:w="252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Needs browser-specific provenance, artifact-surface logic, and action-envelope enforcement.</w:t>
            </w:r>
          </w:p>
        </w:tc>
      </w:tr>
      <w:tr>
        <w:tc>
          <w:tcPr>
            <w:tcW w:type="dxa" w:w="1656"/>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LlamaFirewall</w:t>
            </w:r>
          </w:p>
        </w:tc>
        <w:tc>
          <w:tcPr>
            <w:tcW w:type="dxa" w:w="3096"/>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Low-latency layered scanners across user input, agent reasoning, and generated code.</w:t>
            </w:r>
          </w:p>
        </w:tc>
        <w:tc>
          <w:tcPr>
            <w:tcW w:type="dxa" w:w="223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Supports the case for layered hot-path defense and optional reasoning checks.</w:t>
            </w:r>
          </w:p>
        </w:tc>
        <w:tc>
          <w:tcPr>
            <w:tcW w:type="dxa" w:w="252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Needs browser/document/tool-protocol semantics beyond generic scanners.</w:t>
            </w:r>
          </w:p>
        </w:tc>
      </w:tr>
      <w:tr>
        <w:tc>
          <w:tcPr>
            <w:tcW w:type="dxa" w:w="1656"/>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OpenGuardrails</w:t>
            </w:r>
          </w:p>
        </w:tc>
        <w:tc>
          <w:tcPr>
            <w:tcW w:type="dxa" w:w="3096"/>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API mode and gateway mode with transparent reverse proxy, automatic input/output detection, low integration friction.</w:t>
            </w:r>
          </w:p>
        </w:tc>
        <w:tc>
          <w:tcPr>
            <w:tcW w:type="dxa" w:w="223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Supports gateway-style deployment and zero/low-code adoption patterns.</w:t>
            </w:r>
          </w:p>
        </w:tc>
        <w:tc>
          <w:tcPr>
            <w:tcW w:type="dxa" w:w="252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Still needs typed browser-action mediation and artifact lineage specific to browsing workflows.</w:t>
            </w:r>
          </w:p>
        </w:tc>
      </w:tr>
      <w:tr>
        <w:tc>
          <w:tcPr>
            <w:tcW w:type="dxa" w:w="1656"/>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Guardrails AI</w:t>
            </w:r>
          </w:p>
        </w:tc>
        <w:tc>
          <w:tcPr>
            <w:tcW w:type="dxa" w:w="3096"/>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Composable validators and metadata-dependent provenance checks.</w:t>
            </w:r>
          </w:p>
        </w:tc>
        <w:tc>
          <w:tcPr>
            <w:tcW w:type="dxa" w:w="223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Supports validator composition and metadata-rich checks.</w:t>
            </w:r>
          </w:p>
        </w:tc>
        <w:tc>
          <w:tcPr>
            <w:tcW w:type="dxa" w:w="252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Needs stronger source/action/artifact trust contracts for agent browsing.</w:t>
            </w:r>
          </w:p>
        </w:tc>
      </w:tr>
      <w:tr>
        <w:tc>
          <w:tcPr>
            <w:tcW w:type="dxa" w:w="1656"/>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OWASP Agent Memory Guard</w:t>
            </w:r>
          </w:p>
        </w:tc>
        <w:tc>
          <w:tcPr>
            <w:tcW w:type="dxa" w:w="3096"/>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Memory integrity checks, declarative policies, snapshots, and rollback.</w:t>
            </w:r>
          </w:p>
        </w:tc>
        <w:tc>
          <w:tcPr>
            <w:tcW w:type="dxa" w:w="223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Directly motivates the Memory &amp; Context Guard.</w:t>
            </w:r>
          </w:p>
        </w:tc>
        <w:tc>
          <w:tcPr>
            <w:tcW w:type="dxa" w:w="252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Focused on memory; does not replace action integrity or artifact controls.</w:t>
            </w:r>
          </w:p>
        </w:tc>
      </w:tr>
      <w:tr>
        <w:tc>
          <w:tcPr>
            <w:tcW w:type="dxa" w:w="1656"/>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MCP security guidance</w:t>
            </w:r>
          </w:p>
        </w:tc>
        <w:tc>
          <w:tcPr>
            <w:tcW w:type="dxa" w:w="3096"/>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Token passthrough prohibition, redirect URI/state guidance, SSRF mitigation, scope minimization.</w:t>
            </w:r>
          </w:p>
        </w:tc>
        <w:tc>
          <w:tcPr>
            <w:tcW w:type="dxa" w:w="223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Direct basis for Tool / Protocol Guard.</w:t>
            </w:r>
          </w:p>
        </w:tc>
        <w:tc>
          <w:tcPr>
            <w:tcW w:type="dxa" w:w="252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Protocol guidance alone does not provide browser-task alignment or artifact safety.</w:t>
            </w:r>
          </w:p>
        </w:tc>
      </w:tr>
      <w:tr>
        <w:tc>
          <w:tcPr>
            <w:tcW w:type="dxa" w:w="1656"/>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BrowserGym and AgentDojo</w:t>
            </w:r>
          </w:p>
        </w:tc>
        <w:tc>
          <w:tcPr>
            <w:tcW w:type="dxa" w:w="3096"/>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Web-agent environment ecosystem, traces, utility and security results.</w:t>
            </w:r>
          </w:p>
        </w:tc>
        <w:tc>
          <w:tcPr>
            <w:tcW w:type="dxa" w:w="223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Direct basis for evaluation harnesses.</w:t>
            </w:r>
          </w:p>
        </w:tc>
        <w:tc>
          <w:tcPr>
            <w:tcW w:type="dxa" w:w="252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Need custom artifact, protocol, and memory poisoning scenarios beyond standard web tasks.</w:t>
            </w:r>
          </w:p>
        </w:tc>
      </w:tr>
    </w:tbl>
    <w:p>
      <w:pPr>
        <w:pStyle w:val="Heading1"/>
      </w:pPr>
      <w:r>
        <w:t>10. Testing, benchmarking, and security evaluation</w:t>
      </w:r>
    </w:p>
    <w:p>
      <w:pPr/>
      <w:r>
        <w:t>SafeBrowse vf should make evaluation a first-class workstream rather than a release afterthought. NIST explicitly argues for stronger agent-hijacking evaluations and notes that repeated adaptive attempts can raise observed attack success substantially. BrowserGym and AgentDojo provide the right starting point, but the SDK also needs its own artifact, memory, and protocol corpora because those surfaces are central to the design. [S07, S17, S18, S28]</w:t>
      </w:r>
    </w:p>
    <w:p>
      <w:pPr>
        <w:pStyle w:val="Heading3"/>
      </w:pPr>
      <w:r>
        <w:t>Test layers</w:t>
      </w:r>
    </w:p>
    <w:tbl>
      <w:tblPr>
        <w:tblW w:type="auto" w:w="0"/>
        <w:jc w:val="center"/>
        <w:tblLayout w:type="fixed"/>
        <w:tblLook w:firstColumn="1" w:firstRow="1" w:lastColumn="0" w:lastRow="0" w:noHBand="0" w:noVBand="1" w:val="04A0"/>
      </w:tblPr>
      <w:tblGrid>
        <w:gridCol w:w="3312"/>
        <w:gridCol w:w="3312"/>
        <w:gridCol w:w="3312"/>
      </w:tblGrid>
      <w:tr>
        <w:tc>
          <w:tcPr>
            <w:tcW w:type="dxa" w:w="2232"/>
            <w:vAlign w:val="center"/>
            <w:tcMar>
              <w:top w:w="90" w:type="dxa"/>
              <w:start w:w="90" w:type="dxa"/>
              <w:bottom w:w="90" w:type="dxa"/>
              <w:end w:w="90" w:type="dxa"/>
            </w:tcMar>
            <w:shd w:val="clear" w:fill="EAF1FB" w:color="auto"/>
            <w:tcBorders>
              <w:left w:val="single" w:sz="10" w:color="AFC3DD"/>
              <w:top w:val="single" w:sz="10" w:color="AFC3DD"/>
              <w:right w:val="single" w:sz="10" w:color="AFC3DD"/>
              <w:bottom w:val="single" w:sz="10" w:color="AFC3DD"/>
            </w:tcBorders>
          </w:tcPr>
          <w:p>
            <w:pPr>
              <w:jc w:val="center"/>
            </w:pPr>
            <w:r>
              <w:rPr>
                <w:b/>
                <w:color w:val="17365D"/>
                <w:sz w:val="20"/>
              </w:rPr>
              <w:t>Layer</w:t>
            </w:r>
          </w:p>
        </w:tc>
        <w:tc>
          <w:tcPr>
            <w:tcW w:type="dxa" w:w="5688"/>
            <w:vAlign w:val="center"/>
            <w:tcMar>
              <w:top w:w="90" w:type="dxa"/>
              <w:start w:w="90" w:type="dxa"/>
              <w:bottom w:w="90" w:type="dxa"/>
              <w:end w:w="90" w:type="dxa"/>
            </w:tcMar>
            <w:shd w:val="clear" w:fill="EAF1FB" w:color="auto"/>
            <w:tcBorders>
              <w:left w:val="single" w:sz="10" w:color="AFC3DD"/>
              <w:top w:val="single" w:sz="10" w:color="AFC3DD"/>
              <w:right w:val="single" w:sz="10" w:color="AFC3DD"/>
              <w:bottom w:val="single" w:sz="10" w:color="AFC3DD"/>
            </w:tcBorders>
          </w:tcPr>
          <w:p>
            <w:pPr>
              <w:jc w:val="center"/>
            </w:pPr>
            <w:r>
              <w:rPr>
                <w:b/>
                <w:color w:val="17365D"/>
                <w:sz w:val="20"/>
              </w:rPr>
              <w:t>What it covers</w:t>
            </w:r>
          </w:p>
        </w:tc>
        <w:tc>
          <w:tcPr>
            <w:tcW w:type="dxa" w:w="1728"/>
            <w:vAlign w:val="center"/>
            <w:tcMar>
              <w:top w:w="90" w:type="dxa"/>
              <w:start w:w="90" w:type="dxa"/>
              <w:bottom w:w="90" w:type="dxa"/>
              <w:end w:w="90" w:type="dxa"/>
            </w:tcMar>
            <w:shd w:val="clear" w:fill="EAF1FB" w:color="auto"/>
            <w:tcBorders>
              <w:left w:val="single" w:sz="10" w:color="AFC3DD"/>
              <w:top w:val="single" w:sz="10" w:color="AFC3DD"/>
              <w:right w:val="single" w:sz="10" w:color="AFC3DD"/>
              <w:bottom w:val="single" w:sz="10" w:color="AFC3DD"/>
            </w:tcBorders>
          </w:tcPr>
          <w:p>
            <w:pPr>
              <w:jc w:val="center"/>
            </w:pPr>
            <w:r>
              <w:rPr>
                <w:b/>
                <w:color w:val="17365D"/>
                <w:sz w:val="20"/>
              </w:rPr>
              <w:t>Cadence</w:t>
            </w:r>
          </w:p>
        </w:tc>
      </w:tr>
      <w:tr>
        <w:tc>
          <w:tcPr>
            <w:tcW w:type="dxa" w:w="223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Unit and parser tests</w:t>
            </w:r>
          </w:p>
        </w:tc>
        <w:tc>
          <w:tcPr>
            <w:tcW w:type="dxa" w:w="568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Policy compiler, provenance fields, pattern loaders, verdict serialization</w:t>
            </w:r>
          </w:p>
        </w:tc>
        <w:tc>
          <w:tcPr>
            <w:tcW w:type="dxa" w:w="172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Every commit</w:t>
            </w:r>
          </w:p>
        </w:tc>
      </w:tr>
      <w:tr>
        <w:tc>
          <w:tcPr>
            <w:tcW w:type="dxa" w:w="223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Hot-path regression corpus</w:t>
            </w:r>
          </w:p>
        </w:tc>
        <w:tc>
          <w:tcPr>
            <w:tcW w:type="dxa" w:w="568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Prompt, action, artifact, tool, and memory pattern samples</w:t>
            </w:r>
          </w:p>
        </w:tc>
        <w:tc>
          <w:tcPr>
            <w:tcW w:type="dxa" w:w="172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Every PR</w:t>
            </w:r>
          </w:p>
        </w:tc>
      </w:tr>
      <w:tr>
        <w:tc>
          <w:tcPr>
            <w:tcW w:type="dxa" w:w="223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Browser replay tests</w:t>
            </w:r>
          </w:p>
        </w:tc>
        <w:tc>
          <w:tcPr>
            <w:tcW w:type="dxa" w:w="568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Recorded traces, deterministic action gating, non-standard viewer flows</w:t>
            </w:r>
          </w:p>
        </w:tc>
        <w:tc>
          <w:tcPr>
            <w:tcW w:type="dxa" w:w="172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Nightly</w:t>
            </w:r>
          </w:p>
        </w:tc>
      </w:tr>
      <w:tr>
        <w:tc>
          <w:tcPr>
            <w:tcW w:type="dxa" w:w="223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Adaptive red-team tests</w:t>
            </w:r>
          </w:p>
        </w:tc>
        <w:tc>
          <w:tcPr>
            <w:tcW w:type="dxa" w:w="568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Topic transitions, multi-source contamination, repeated attempts</w:t>
            </w:r>
          </w:p>
        </w:tc>
        <w:tc>
          <w:tcPr>
            <w:tcW w:type="dxa" w:w="172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Nightly / pre-release</w:t>
            </w:r>
          </w:p>
        </w:tc>
      </w:tr>
      <w:tr>
        <w:tc>
          <w:tcPr>
            <w:tcW w:type="dxa" w:w="223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Protocol auth tests</w:t>
            </w:r>
          </w:p>
        </w:tc>
        <w:tc>
          <w:tcPr>
            <w:tcW w:type="dxa" w:w="568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OAuth redirects, state handling, SSRF simulations, connector policy</w:t>
            </w:r>
          </w:p>
        </w:tc>
        <w:tc>
          <w:tcPr>
            <w:tcW w:type="dxa" w:w="172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Every PR</w:t>
            </w:r>
          </w:p>
        </w:tc>
      </w:tr>
      <w:tr>
        <w:tc>
          <w:tcPr>
            <w:tcW w:type="dxa" w:w="223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Artifact corpora</w:t>
            </w:r>
          </w:p>
        </w:tc>
        <w:tc>
          <w:tcPr>
            <w:tcW w:type="dxa" w:w="568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PDF hidden layers, OCR mismatch, annotations, viewer lineage</w:t>
            </w:r>
          </w:p>
        </w:tc>
        <w:tc>
          <w:tcPr>
            <w:tcW w:type="dxa" w:w="172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Nightly</w:t>
            </w:r>
          </w:p>
        </w:tc>
      </w:tr>
      <w:tr>
        <w:tc>
          <w:tcPr>
            <w:tcW w:type="dxa" w:w="223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Performance tests</w:t>
            </w:r>
          </w:p>
        </w:tc>
        <w:tc>
          <w:tcPr>
            <w:tcW w:type="dxa" w:w="568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Latency, memory, bundle size, lazy-load behavior</w:t>
            </w:r>
          </w:p>
        </w:tc>
        <w:tc>
          <w:tcPr>
            <w:tcW w:type="dxa" w:w="172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Every PR + release gate</w:t>
            </w:r>
          </w:p>
        </w:tc>
      </w:tr>
    </w:tbl>
    <w:p>
      <w:pPr>
        <w:pStyle w:val="Heading3"/>
      </w:pPr>
      <w:r>
        <w:t>Core evaluation metrics</w:t>
      </w:r>
    </w:p>
    <w:tbl>
      <w:tblPr>
        <w:tblW w:type="auto" w:w="0"/>
        <w:jc w:val="center"/>
        <w:tblLayout w:type="fixed"/>
        <w:tblLook w:firstColumn="1" w:firstRow="1" w:lastColumn="0" w:lastRow="0" w:noHBand="0" w:noVBand="1" w:val="04A0"/>
      </w:tblPr>
      <w:tblGrid>
        <w:gridCol w:w="4968"/>
        <w:gridCol w:w="4968"/>
      </w:tblGrid>
      <w:tr>
        <w:tc>
          <w:tcPr>
            <w:tcW w:type="dxa" w:w="2880"/>
            <w:vAlign w:val="center"/>
            <w:tcMar>
              <w:top w:w="90" w:type="dxa"/>
              <w:start w:w="90" w:type="dxa"/>
              <w:bottom w:w="90" w:type="dxa"/>
              <w:end w:w="90" w:type="dxa"/>
            </w:tcMar>
            <w:shd w:val="clear" w:fill="EAF1FB" w:color="auto"/>
            <w:tcBorders>
              <w:left w:val="single" w:sz="10" w:color="AFC3DD"/>
              <w:top w:val="single" w:sz="10" w:color="AFC3DD"/>
              <w:right w:val="single" w:sz="10" w:color="AFC3DD"/>
              <w:bottom w:val="single" w:sz="10" w:color="AFC3DD"/>
            </w:tcBorders>
          </w:tcPr>
          <w:p>
            <w:pPr>
              <w:jc w:val="center"/>
            </w:pPr>
            <w:r>
              <w:rPr>
                <w:b/>
                <w:color w:val="17365D"/>
                <w:sz w:val="20"/>
              </w:rPr>
              <w:t>Metric</w:t>
            </w:r>
          </w:p>
        </w:tc>
        <w:tc>
          <w:tcPr>
            <w:tcW w:type="dxa" w:w="6480"/>
            <w:vAlign w:val="center"/>
            <w:tcMar>
              <w:top w:w="90" w:type="dxa"/>
              <w:start w:w="90" w:type="dxa"/>
              <w:bottom w:w="90" w:type="dxa"/>
              <w:end w:w="90" w:type="dxa"/>
            </w:tcMar>
            <w:shd w:val="clear" w:fill="EAF1FB" w:color="auto"/>
            <w:tcBorders>
              <w:left w:val="single" w:sz="10" w:color="AFC3DD"/>
              <w:top w:val="single" w:sz="10" w:color="AFC3DD"/>
              <w:right w:val="single" w:sz="10" w:color="AFC3DD"/>
              <w:bottom w:val="single" w:sz="10" w:color="AFC3DD"/>
            </w:tcBorders>
          </w:tcPr>
          <w:p>
            <w:pPr>
              <w:jc w:val="center"/>
            </w:pPr>
            <w:r>
              <w:rPr>
                <w:b/>
                <w:color w:val="17365D"/>
                <w:sz w:val="20"/>
              </w:rPr>
              <w:t>Why it matters</w:t>
            </w:r>
          </w:p>
        </w:tc>
      </w:tr>
      <w:tr>
        <w:tc>
          <w:tcPr>
            <w:tcW w:type="dxa" w:w="288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Attack success rate</w:t>
            </w:r>
          </w:p>
        </w:tc>
        <w:tc>
          <w:tcPr>
            <w:tcW w:type="dxa" w:w="648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Whether the hostile workflow produces the attacker-desired action.</w:t>
            </w:r>
          </w:p>
        </w:tc>
      </w:tr>
      <w:tr>
        <w:tc>
          <w:tcPr>
            <w:tcW w:type="dxa" w:w="288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Robust task success</w:t>
            </w:r>
          </w:p>
        </w:tc>
        <w:tc>
          <w:tcPr>
            <w:tcW w:type="dxa" w:w="648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Whether the original user task still succeeds under attack pressure.</w:t>
            </w:r>
          </w:p>
        </w:tc>
      </w:tr>
      <w:tr>
        <w:tc>
          <w:tcPr>
            <w:tcW w:type="dxa" w:w="288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False-block rate</w:t>
            </w:r>
          </w:p>
        </w:tc>
        <w:tc>
          <w:tcPr>
            <w:tcW w:type="dxa" w:w="648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How often safe actions are blocked or downgraded.</w:t>
            </w:r>
          </w:p>
        </w:tc>
      </w:tr>
      <w:tr>
        <w:tc>
          <w:tcPr>
            <w:tcW w:type="dxa" w:w="288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Safe-replan success rate</w:t>
            </w:r>
          </w:p>
        </w:tc>
        <w:tc>
          <w:tcPr>
            <w:tcW w:type="dxa" w:w="648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How often the SDK contains the risk and still allows limited progress.</w:t>
            </w:r>
          </w:p>
        </w:tc>
      </w:tr>
      <w:tr>
        <w:tc>
          <w:tcPr>
            <w:tcW w:type="dxa" w:w="288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Latency and memory overhead</w:t>
            </w:r>
          </w:p>
        </w:tc>
        <w:tc>
          <w:tcPr>
            <w:tcW w:type="dxa" w:w="648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Whether the SDK remains cheap enough for other projects to adopt.</w:t>
            </w:r>
          </w:p>
        </w:tc>
      </w:tr>
      <w:tr>
        <w:tc>
          <w:tcPr>
            <w:tcW w:type="dxa" w:w="288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Forensic completeness</w:t>
            </w:r>
          </w:p>
        </w:tc>
        <w:tc>
          <w:tcPr>
            <w:tcW w:type="dxa" w:w="648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Whether the resulting traces are sufficient for replay and triage.</w:t>
            </w:r>
          </w:p>
        </w:tc>
      </w:tr>
    </w:tbl>
    <w:tbl>
      <w:tblPr>
        <w:tblW w:type="auto" w:w="0"/>
        <w:jc w:val="center"/>
        <w:tblLook w:firstColumn="1" w:firstRow="1" w:lastColumn="0" w:lastRow="0" w:noHBand="0" w:noVBand="1" w:val="04A0"/>
      </w:tblPr>
      <w:tblGrid>
        <w:gridCol w:w="9936"/>
      </w:tblGrid>
      <w:tr>
        <w:tc>
          <w:tcPr>
            <w:tcW w:type="dxa" w:w="9936"/>
            <w:shd w:val="clear" w:fill="F8FAFC" w:color="auto"/>
            <w:tcBorders>
              <w:left w:val="single" w:sz="10" w:color="CBD5E1"/>
              <w:top w:val="single" w:sz="10" w:color="CBD5E1"/>
              <w:right w:val="single" w:sz="10" w:color="CBD5E1"/>
              <w:bottom w:val="single" w:sz="10" w:color="CBD5E1"/>
            </w:tcBorders>
            <w:tcMar>
              <w:top w:w="120" w:type="dxa"/>
              <w:start w:w="140" w:type="dxa"/>
              <w:bottom w:w="120" w:type="dxa"/>
              <w:end w:w="140" w:type="dxa"/>
            </w:tcMar>
          </w:tcPr>
          <w:p>
            <w:pPr>
              <w:spacing w:after="80"/>
            </w:pPr>
            <w:r>
              <w:rPr>
                <w:b/>
                <w:color w:val="17365D"/>
                <w:sz w:val="23"/>
              </w:rPr>
              <w:t>Evaluation rule</w:t>
            </w:r>
          </w:p>
          <w:p>
            <w:pPr>
              <w:spacing w:after="0"/>
            </w:pPr>
            <w:r>
              <w:t>Do not trust single-shot benchmark scores alone. Require adaptive attacks, repeated attempts, task-specific scenarios, and separate utility/security reporting.</w:t>
            </w:r>
          </w:p>
        </w:tc>
      </w:tr>
    </w:tbl>
    <w:p>
      <w:pPr>
        <w:pStyle w:val="Heading1"/>
      </w:pPr>
      <w:r>
        <w:t>11. Threat model and security risk mitigation</w:t>
      </w:r>
    </w:p>
    <w:p>
      <w:pPr>
        <w:pStyle w:val="Heading3"/>
      </w:pPr>
      <w:r>
        <w:t>Risk register</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944"/>
            <w:vAlign w:val="center"/>
            <w:tcMar>
              <w:top w:w="90" w:type="dxa"/>
              <w:start w:w="90" w:type="dxa"/>
              <w:bottom w:w="90" w:type="dxa"/>
              <w:end w:w="90" w:type="dxa"/>
            </w:tcMar>
            <w:shd w:val="clear" w:fill="EAF1FB" w:color="auto"/>
            <w:tcBorders>
              <w:left w:val="single" w:sz="10" w:color="AFC3DD"/>
              <w:top w:val="single" w:sz="10" w:color="AFC3DD"/>
              <w:right w:val="single" w:sz="10" w:color="AFC3DD"/>
              <w:bottom w:val="single" w:sz="10" w:color="AFC3DD"/>
            </w:tcBorders>
          </w:tcPr>
          <w:p>
            <w:pPr>
              <w:jc w:val="center"/>
            </w:pPr>
            <w:r>
              <w:rPr>
                <w:b/>
                <w:color w:val="17365D"/>
                <w:sz w:val="20"/>
              </w:rPr>
              <w:t>Threat</w:t>
            </w:r>
          </w:p>
        </w:tc>
        <w:tc>
          <w:tcPr>
            <w:tcW w:type="dxa" w:w="2088"/>
            <w:vAlign w:val="center"/>
            <w:tcMar>
              <w:top w:w="90" w:type="dxa"/>
              <w:start w:w="90" w:type="dxa"/>
              <w:bottom w:w="90" w:type="dxa"/>
              <w:end w:w="90" w:type="dxa"/>
            </w:tcMar>
            <w:shd w:val="clear" w:fill="EAF1FB" w:color="auto"/>
            <w:tcBorders>
              <w:left w:val="single" w:sz="10" w:color="AFC3DD"/>
              <w:top w:val="single" w:sz="10" w:color="AFC3DD"/>
              <w:right w:val="single" w:sz="10" w:color="AFC3DD"/>
              <w:bottom w:val="single" w:sz="10" w:color="AFC3DD"/>
            </w:tcBorders>
          </w:tcPr>
          <w:p>
            <w:pPr>
              <w:jc w:val="center"/>
            </w:pPr>
            <w:r>
              <w:rPr>
                <w:b/>
                <w:color w:val="17365D"/>
                <w:sz w:val="20"/>
              </w:rPr>
              <w:t>Primary impact</w:t>
            </w:r>
          </w:p>
        </w:tc>
        <w:tc>
          <w:tcPr>
            <w:tcW w:type="dxa" w:w="3672"/>
            <w:vAlign w:val="center"/>
            <w:tcMar>
              <w:top w:w="90" w:type="dxa"/>
              <w:start w:w="90" w:type="dxa"/>
              <w:bottom w:w="90" w:type="dxa"/>
              <w:end w:w="90" w:type="dxa"/>
            </w:tcMar>
            <w:shd w:val="clear" w:fill="EAF1FB" w:color="auto"/>
            <w:tcBorders>
              <w:left w:val="single" w:sz="10" w:color="AFC3DD"/>
              <w:top w:val="single" w:sz="10" w:color="AFC3DD"/>
              <w:right w:val="single" w:sz="10" w:color="AFC3DD"/>
              <w:bottom w:val="single" w:sz="10" w:color="AFC3DD"/>
            </w:tcBorders>
          </w:tcPr>
          <w:p>
            <w:pPr>
              <w:jc w:val="center"/>
            </w:pPr>
            <w:r>
              <w:rPr>
                <w:b/>
                <w:color w:val="17365D"/>
                <w:sz w:val="20"/>
              </w:rPr>
              <w:t>Primary controls</w:t>
            </w:r>
          </w:p>
        </w:tc>
        <w:tc>
          <w:tcPr>
            <w:tcW w:type="dxa" w:w="1656"/>
            <w:vAlign w:val="center"/>
            <w:tcMar>
              <w:top w:w="90" w:type="dxa"/>
              <w:start w:w="90" w:type="dxa"/>
              <w:bottom w:w="90" w:type="dxa"/>
              <w:end w:w="90" w:type="dxa"/>
            </w:tcMar>
            <w:shd w:val="clear" w:fill="EAF1FB" w:color="auto"/>
            <w:tcBorders>
              <w:left w:val="single" w:sz="10" w:color="AFC3DD"/>
              <w:top w:val="single" w:sz="10" w:color="AFC3DD"/>
              <w:right w:val="single" w:sz="10" w:color="AFC3DD"/>
              <w:bottom w:val="single" w:sz="10" w:color="AFC3DD"/>
            </w:tcBorders>
          </w:tcPr>
          <w:p>
            <w:pPr>
              <w:jc w:val="center"/>
            </w:pPr>
            <w:r>
              <w:rPr>
                <w:b/>
                <w:color w:val="17365D"/>
                <w:sz w:val="20"/>
              </w:rPr>
              <w:t>Residual-risk note</w:t>
            </w:r>
          </w:p>
        </w:tc>
      </w:tr>
      <w:tr>
        <w:tc>
          <w:tcPr>
            <w:tcW w:type="dxa" w:w="1944"/>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Indirect prompt injection</w:t>
            </w:r>
          </w:p>
        </w:tc>
        <w:tc>
          <w:tcPr>
            <w:tcW w:type="dxa" w:w="208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Planner follows hostile content and drifts from task</w:t>
            </w:r>
          </w:p>
        </w:tc>
        <w:tc>
          <w:tcPr>
            <w:tcW w:type="dxa" w:w="367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Observation Sanitizer, PromptInjectionGuard, Action Integrity Firewall</w:t>
            </w:r>
          </w:p>
        </w:tc>
        <w:tc>
          <w:tcPr>
            <w:tcW w:type="dxa" w:w="1656"/>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Residual risk remains; contain via verdicts and approvals</w:t>
            </w:r>
          </w:p>
        </w:tc>
      </w:tr>
      <w:tr>
        <w:tc>
          <w:tcPr>
            <w:tcW w:type="dxa" w:w="1944"/>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Action drift / unsafe transmission</w:t>
            </w:r>
          </w:p>
        </w:tc>
        <w:tc>
          <w:tcPr>
            <w:tcW w:type="dxa" w:w="208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Sensitive or tainted data sent to third parties</w:t>
            </w:r>
          </w:p>
        </w:tc>
        <w:tc>
          <w:tcPr>
            <w:tcW w:type="dxa" w:w="367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Source-sink checks, safe-URL logic, read/write origin separation</w:t>
            </w:r>
          </w:p>
        </w:tc>
        <w:tc>
          <w:tcPr>
            <w:tcW w:type="dxa" w:w="1656"/>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User confirmation still needed for high-impact steps</w:t>
            </w:r>
          </w:p>
        </w:tc>
      </w:tr>
      <w:tr>
        <w:tc>
          <w:tcPr>
            <w:tcW w:type="dxa" w:w="1944"/>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Malicious tool docs or protocol misuse</w:t>
            </w:r>
          </w:p>
        </w:tc>
        <w:tc>
          <w:tcPr>
            <w:tcW w:type="dxa" w:w="208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Wrong tool selected; credential misuse; SSRF/OAuth abuse</w:t>
            </w:r>
          </w:p>
        </w:tc>
        <w:tc>
          <w:tcPr>
            <w:tcW w:type="dxa" w:w="367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Tool / Protocol Guard, registry linting, exact redirect URI, token-pass-through ban</w:t>
            </w:r>
          </w:p>
        </w:tc>
        <w:tc>
          <w:tcPr>
            <w:tcW w:type="dxa" w:w="1656"/>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Requires disciplined adapter ecosystem</w:t>
            </w:r>
          </w:p>
        </w:tc>
      </w:tr>
      <w:tr>
        <w:tc>
          <w:tcPr>
            <w:tcW w:type="dxa" w:w="1944"/>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Artifact-hidden instructions</w:t>
            </w:r>
          </w:p>
        </w:tc>
        <w:tc>
          <w:tcPr>
            <w:tcW w:type="dxa" w:w="208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PDF/OCR/viewer content manipulates the agent</w:t>
            </w:r>
          </w:p>
        </w:tc>
        <w:tc>
          <w:tcPr>
            <w:tcW w:type="dxa" w:w="367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Artifact &amp; Surface Guard, diffing, quarantine, artifact lineage</w:t>
            </w:r>
          </w:p>
        </w:tc>
        <w:tc>
          <w:tcPr>
            <w:tcW w:type="dxa" w:w="1656"/>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Some surfaces may still need human review</w:t>
            </w:r>
          </w:p>
        </w:tc>
      </w:tr>
      <w:tr>
        <w:tc>
          <w:tcPr>
            <w:tcW w:type="dxa" w:w="1944"/>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Persistent memory poisoning</w:t>
            </w:r>
          </w:p>
        </w:tc>
        <w:tc>
          <w:tcPr>
            <w:tcW w:type="dxa" w:w="208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Attacker-authored instructions survive into later sessions</w:t>
            </w:r>
          </w:p>
        </w:tc>
        <w:tc>
          <w:tcPr>
            <w:tcW w:type="dxa" w:w="367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Memory policies, protected keys, snapshots, rollback, corroboration</w:t>
            </w:r>
          </w:p>
        </w:tc>
        <w:tc>
          <w:tcPr>
            <w:tcW w:type="dxa" w:w="1656"/>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Long-lived shared memory remains sensitive</w:t>
            </w:r>
          </w:p>
        </w:tc>
      </w:tr>
      <w:tr>
        <w:tc>
          <w:tcPr>
            <w:tcW w:type="dxa" w:w="1944"/>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Benchmark blind spots</w:t>
            </w:r>
          </w:p>
        </w:tc>
        <w:tc>
          <w:tcPr>
            <w:tcW w:type="dxa" w:w="208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Defense appears stronger than it is</w:t>
            </w:r>
          </w:p>
        </w:tc>
        <w:tc>
          <w:tcPr>
            <w:tcW w:type="dxa" w:w="367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Adaptive multi-attempt evaluation, custom corpora, replayable traces</w:t>
            </w:r>
          </w:p>
        </w:tc>
        <w:tc>
          <w:tcPr>
            <w:tcW w:type="dxa" w:w="1656"/>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Needs ongoing maintenance as attacks evolve</w:t>
            </w:r>
          </w:p>
        </w:tc>
      </w:tr>
      <w:tr>
        <w:tc>
          <w:tcPr>
            <w:tcW w:type="dxa" w:w="1944"/>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Supply-chain or adapter compromise</w:t>
            </w:r>
          </w:p>
        </w:tc>
        <w:tc>
          <w:tcPr>
            <w:tcW w:type="dxa" w:w="208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Unsafe dependencies or malicious plugins bypass controls</w:t>
            </w:r>
          </w:p>
        </w:tc>
        <w:tc>
          <w:tcPr>
            <w:tcW w:type="dxa" w:w="367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Signed KBs and adapter registries, policy-locked connectors, governance review</w:t>
            </w:r>
          </w:p>
        </w:tc>
        <w:tc>
          <w:tcPr>
            <w:tcW w:type="dxa" w:w="1656"/>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Self-hosted deployments need operational discipline</w:t>
            </w:r>
          </w:p>
        </w:tc>
      </w:tr>
      <w:tr>
        <w:tc>
          <w:tcPr>
            <w:tcW w:type="dxa" w:w="1944"/>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Telemetry privacy leakage</w:t>
            </w:r>
          </w:p>
        </w:tc>
        <w:tc>
          <w:tcPr>
            <w:tcW w:type="dxa" w:w="2088"/>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Logs capture sensitive data or credentials</w:t>
            </w:r>
          </w:p>
        </w:tc>
        <w:tc>
          <w:tcPr>
            <w:tcW w:type="dxa" w:w="3672"/>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Redaction, structured fields, bounded retention, replay policies</w:t>
            </w:r>
          </w:p>
        </w:tc>
        <w:tc>
          <w:tcPr>
            <w:tcW w:type="dxa" w:w="1656"/>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Trade-off between forensics depth and privacy remains</w:t>
            </w:r>
          </w:p>
        </w:tc>
      </w:tr>
    </w:tbl>
    <w:p>
      <w:pPr/>
      <w:r>
        <w:t>A notable implication of the research is that no single module removes all residual risk. Anthropic is explicit that no browser agent is immune, and the NCSC warns that instruction/data separation is not naturally enforced inside current models. SafeBrowse vf should therefore be sold and documented as a risk-reduction substrate, not as a guarantee of perfect immunity. [S04, S02]</w:t>
      </w:r>
    </w:p>
    <w:p>
      <w:pPr>
        <w:pStyle w:val="Heading1"/>
      </w:pPr>
      <w:r>
        <w:t>12. Implementation roadmap</w:t>
      </w:r>
    </w:p>
    <w:p>
      <w:pPr/>
      <w:r>
        <w:t>The recommended implementation sequence keeps the highest-leverage safety controls early and the cold-path governance assets later. That helps other projects adopt the SDK sooner without forcing them to wait for the entire knowledge plane to mature.</w:t>
      </w:r>
      <w:r>
        <w:t xml:space="preserve"> [S15, S16]</w:t>
      </w:r>
    </w:p>
    <w:p>
      <w:pPr>
        <w:pStyle w:val="Heading3"/>
      </w:pPr>
      <w:r>
        <w:t>Suggested roadmap</w:t>
      </w:r>
    </w:p>
    <w:tbl>
      <w:tblPr>
        <w:tblW w:type="auto" w:w="0"/>
        <w:jc w:val="center"/>
        <w:tblLayout w:type="fixed"/>
        <w:tblLook w:firstColumn="1" w:firstRow="1" w:lastColumn="0" w:lastRow="0" w:noHBand="0" w:noVBand="1" w:val="04A0"/>
      </w:tblPr>
      <w:tblGrid>
        <w:gridCol w:w="3312"/>
        <w:gridCol w:w="3312"/>
        <w:gridCol w:w="3312"/>
      </w:tblGrid>
      <w:tr>
        <w:tc>
          <w:tcPr>
            <w:tcW w:type="dxa" w:w="2520"/>
            <w:vAlign w:val="center"/>
            <w:tcMar>
              <w:top w:w="90" w:type="dxa"/>
              <w:start w:w="90" w:type="dxa"/>
              <w:bottom w:w="90" w:type="dxa"/>
              <w:end w:w="90" w:type="dxa"/>
            </w:tcMar>
            <w:shd w:val="clear" w:fill="EAF1FB" w:color="auto"/>
            <w:tcBorders>
              <w:left w:val="single" w:sz="10" w:color="AFC3DD"/>
              <w:top w:val="single" w:sz="10" w:color="AFC3DD"/>
              <w:right w:val="single" w:sz="10" w:color="AFC3DD"/>
              <w:bottom w:val="single" w:sz="10" w:color="AFC3DD"/>
            </w:tcBorders>
          </w:tcPr>
          <w:p>
            <w:pPr>
              <w:jc w:val="center"/>
            </w:pPr>
            <w:r>
              <w:rPr>
                <w:b/>
                <w:color w:val="17365D"/>
                <w:sz w:val="20"/>
              </w:rPr>
              <w:t>Phase</w:t>
            </w:r>
          </w:p>
        </w:tc>
        <w:tc>
          <w:tcPr>
            <w:tcW w:type="dxa" w:w="1800"/>
            <w:vAlign w:val="center"/>
            <w:tcMar>
              <w:top w:w="90" w:type="dxa"/>
              <w:start w:w="90" w:type="dxa"/>
              <w:bottom w:w="90" w:type="dxa"/>
              <w:end w:w="90" w:type="dxa"/>
            </w:tcMar>
            <w:shd w:val="clear" w:fill="EAF1FB" w:color="auto"/>
            <w:tcBorders>
              <w:left w:val="single" w:sz="10" w:color="AFC3DD"/>
              <w:top w:val="single" w:sz="10" w:color="AFC3DD"/>
              <w:right w:val="single" w:sz="10" w:color="AFC3DD"/>
              <w:bottom w:val="single" w:sz="10" w:color="AFC3DD"/>
            </w:tcBorders>
          </w:tcPr>
          <w:p>
            <w:pPr>
              <w:jc w:val="center"/>
            </w:pPr>
            <w:r>
              <w:rPr>
                <w:b/>
                <w:color w:val="17365D"/>
                <w:sz w:val="20"/>
              </w:rPr>
              <w:t>Indicative duration</w:t>
            </w:r>
          </w:p>
        </w:tc>
        <w:tc>
          <w:tcPr>
            <w:tcW w:type="dxa" w:w="5040"/>
            <w:vAlign w:val="center"/>
            <w:tcMar>
              <w:top w:w="90" w:type="dxa"/>
              <w:start w:w="90" w:type="dxa"/>
              <w:bottom w:w="90" w:type="dxa"/>
              <w:end w:w="90" w:type="dxa"/>
            </w:tcMar>
            <w:shd w:val="clear" w:fill="EAF1FB" w:color="auto"/>
            <w:tcBorders>
              <w:left w:val="single" w:sz="10" w:color="AFC3DD"/>
              <w:top w:val="single" w:sz="10" w:color="AFC3DD"/>
              <w:right w:val="single" w:sz="10" w:color="AFC3DD"/>
              <w:bottom w:val="single" w:sz="10" w:color="AFC3DD"/>
            </w:tcBorders>
          </w:tcPr>
          <w:p>
            <w:pPr>
              <w:jc w:val="center"/>
            </w:pPr>
            <w:r>
              <w:rPr>
                <w:b/>
                <w:color w:val="17365D"/>
                <w:sz w:val="20"/>
              </w:rPr>
              <w:t>Major outputs</w:t>
            </w:r>
          </w:p>
        </w:tc>
      </w:tr>
      <w:tr>
        <w:tc>
          <w:tcPr>
            <w:tcW w:type="dxa" w:w="252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Phase 0: spec freeze</w:t>
            </w:r>
          </w:p>
        </w:tc>
        <w:tc>
          <w:tcPr>
            <w:tcW w:type="dxa" w:w="180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2 weeks</w:t>
            </w:r>
          </w:p>
        </w:tc>
        <w:tc>
          <w:tcPr>
            <w:tcW w:type="dxa" w:w="504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Finalize action schema, trust signals, policy syntax, module boundaries, and source registry model.</w:t>
            </w:r>
          </w:p>
        </w:tc>
      </w:tr>
      <w:tr>
        <w:tc>
          <w:tcPr>
            <w:tcW w:type="dxa" w:w="252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Phase 1: core runtime</w:t>
            </w:r>
          </w:p>
        </w:tc>
        <w:tc>
          <w:tcPr>
            <w:tcW w:type="dxa" w:w="180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4 weeks</w:t>
            </w:r>
          </w:p>
        </w:tc>
        <w:tc>
          <w:tcPr>
            <w:tcW w:type="dxa" w:w="504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TypeScript runtime/controller, ActionProposal / SafeVerdict APIs, Policy Compiler MVP, hot-path trust signals.</w:t>
            </w:r>
          </w:p>
        </w:tc>
      </w:tr>
      <w:tr>
        <w:tc>
          <w:tcPr>
            <w:tcW w:type="dxa" w:w="252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Phase 2: action containment</w:t>
            </w:r>
          </w:p>
        </w:tc>
        <w:tc>
          <w:tcPr>
            <w:tcW w:type="dxa" w:w="180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4 weeks</w:t>
            </w:r>
          </w:p>
        </w:tc>
        <w:tc>
          <w:tcPr>
            <w:tcW w:type="dxa" w:w="504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Action Integrity Firewall, initial PromptInjectionGuard, read/write origin separation, approval hooks.</w:t>
            </w:r>
          </w:p>
        </w:tc>
      </w:tr>
      <w:tr>
        <w:tc>
          <w:tcPr>
            <w:tcW w:type="dxa" w:w="252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Phase 3: artifacts and protocols</w:t>
            </w:r>
          </w:p>
        </w:tc>
        <w:tc>
          <w:tcPr>
            <w:tcW w:type="dxa" w:w="180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5 weeks</w:t>
            </w:r>
          </w:p>
        </w:tc>
        <w:tc>
          <w:tcPr>
            <w:tcW w:type="dxa" w:w="504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Artifact &amp; Surface Guard, safe artifact handoff, Tool / Protocol Guard, auth-flow tests.</w:t>
            </w:r>
          </w:p>
        </w:tc>
      </w:tr>
      <w:tr>
        <w:tc>
          <w:tcPr>
            <w:tcW w:type="dxa" w:w="252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Phase 4: memory and replay</w:t>
            </w:r>
          </w:p>
        </w:tc>
        <w:tc>
          <w:tcPr>
            <w:tcW w:type="dxa" w:w="180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4 weeks</w:t>
            </w:r>
          </w:p>
        </w:tc>
        <w:tc>
          <w:tcPr>
            <w:tcW w:type="dxa" w:w="504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Memory &amp; Context Guard, snapshots/rollback, replay bundle format, incident playbooks.</w:t>
            </w:r>
          </w:p>
        </w:tc>
      </w:tr>
      <w:tr>
        <w:tc>
          <w:tcPr>
            <w:tcW w:type="dxa" w:w="252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Phase 5: KB packaging and clients</w:t>
            </w:r>
          </w:p>
        </w:tc>
        <w:tc>
          <w:tcPr>
            <w:tcW w:type="dxa" w:w="180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3 weeks</w:t>
            </w:r>
          </w:p>
        </w:tc>
        <w:tc>
          <w:tcPr>
            <w:tcW w:type="dxa" w:w="504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Multi-pack knowledge plane, signed bundle index, Python client, docs, benchmark harnesses.</w:t>
            </w:r>
          </w:p>
        </w:tc>
      </w:tr>
    </w:tbl>
    <w:p>
      <w:pPr>
        <w:pStyle w:val="Heading3"/>
      </w:pPr>
      <w:r>
        <w:t>Lean staffing model</w:t>
      </w:r>
    </w:p>
    <w:tbl>
      <w:tblPr>
        <w:tblW w:type="auto" w:w="0"/>
        <w:jc w:val="center"/>
        <w:tblLayout w:type="fixed"/>
        <w:tblLook w:firstColumn="1" w:firstRow="1" w:lastColumn="0" w:lastRow="0" w:noHBand="0" w:noVBand="1" w:val="04A0"/>
      </w:tblPr>
      <w:tblGrid>
        <w:gridCol w:w="4968"/>
        <w:gridCol w:w="4968"/>
      </w:tblGrid>
      <w:tr>
        <w:tc>
          <w:tcPr>
            <w:tcW w:type="dxa" w:w="2880"/>
            <w:vAlign w:val="center"/>
            <w:tcMar>
              <w:top w:w="90" w:type="dxa"/>
              <w:start w:w="90" w:type="dxa"/>
              <w:bottom w:w="90" w:type="dxa"/>
              <w:end w:w="90" w:type="dxa"/>
            </w:tcMar>
            <w:shd w:val="clear" w:fill="EAF1FB" w:color="auto"/>
            <w:tcBorders>
              <w:left w:val="single" w:sz="10" w:color="AFC3DD"/>
              <w:top w:val="single" w:sz="10" w:color="AFC3DD"/>
              <w:right w:val="single" w:sz="10" w:color="AFC3DD"/>
              <w:bottom w:val="single" w:sz="10" w:color="AFC3DD"/>
            </w:tcBorders>
          </w:tcPr>
          <w:p>
            <w:pPr>
              <w:jc w:val="center"/>
            </w:pPr>
            <w:r>
              <w:rPr>
                <w:b/>
                <w:color w:val="17365D"/>
                <w:sz w:val="20"/>
              </w:rPr>
              <w:t>Role</w:t>
            </w:r>
          </w:p>
        </w:tc>
        <w:tc>
          <w:tcPr>
            <w:tcW w:type="dxa" w:w="6480"/>
            <w:vAlign w:val="center"/>
            <w:tcMar>
              <w:top w:w="90" w:type="dxa"/>
              <w:start w:w="90" w:type="dxa"/>
              <w:bottom w:w="90" w:type="dxa"/>
              <w:end w:w="90" w:type="dxa"/>
            </w:tcMar>
            <w:shd w:val="clear" w:fill="EAF1FB" w:color="auto"/>
            <w:tcBorders>
              <w:left w:val="single" w:sz="10" w:color="AFC3DD"/>
              <w:top w:val="single" w:sz="10" w:color="AFC3DD"/>
              <w:right w:val="single" w:sz="10" w:color="AFC3DD"/>
              <w:bottom w:val="single" w:sz="10" w:color="AFC3DD"/>
            </w:tcBorders>
          </w:tcPr>
          <w:p>
            <w:pPr>
              <w:jc w:val="center"/>
            </w:pPr>
            <w:r>
              <w:rPr>
                <w:b/>
                <w:color w:val="17365D"/>
                <w:sz w:val="20"/>
              </w:rPr>
              <w:t>Primary focus</w:t>
            </w:r>
          </w:p>
        </w:tc>
      </w:tr>
      <w:tr>
        <w:tc>
          <w:tcPr>
            <w:tcW w:type="dxa" w:w="288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1 staff engineer</w:t>
            </w:r>
          </w:p>
        </w:tc>
        <w:tc>
          <w:tcPr>
            <w:tcW w:type="dxa" w:w="648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Core runtime, policy engine, action containment</w:t>
            </w:r>
          </w:p>
        </w:tc>
      </w:tr>
      <w:tr>
        <w:tc>
          <w:tcPr>
            <w:tcW w:type="dxa" w:w="288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1 security engineer</w:t>
            </w:r>
          </w:p>
        </w:tc>
        <w:tc>
          <w:tcPr>
            <w:tcW w:type="dxa" w:w="648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Tool/protocol guard, memory guard, incident workflow, threat modeling</w:t>
            </w:r>
          </w:p>
        </w:tc>
      </w:tr>
      <w:tr>
        <w:tc>
          <w:tcPr>
            <w:tcW w:type="dxa" w:w="288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1 applied research / QA engineer</w:t>
            </w:r>
          </w:p>
        </w:tc>
        <w:tc>
          <w:tcPr>
            <w:tcW w:type="dxa" w:w="648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KB governance, red-team corpora, BrowserGym/AgentDojo integration, evaluation</w:t>
            </w:r>
          </w:p>
        </w:tc>
      </w:tr>
    </w:tbl>
    <w:p>
      <w:pPr/>
      <w:r>
        <w:t>A strong SafeBrowse vf MVP is roughly a five-to-six month project for a three-person team. A narrower read-mostly, hot-path-first release could land sooner if artifact deep scans and memory governance are staged behind feature flags.</w:t>
      </w:r>
    </w:p>
    <w:p>
      <w:pPr>
        <w:pStyle w:val="Heading1"/>
      </w:pPr>
      <w:r>
        <w:t>13. Attached knowledge-base package</w:t>
      </w:r>
    </w:p>
    <w:p>
      <w:pPr/>
      <w:r>
        <w:t>The accompanying JSON bundle is intentionally modular. It includes hot-path patterns, warm-path controls and playbooks, and cold-path evaluation/governance assets so consuming teams can choose the lightest package that still satisfies their risk tolerance.</w:t>
      </w:r>
    </w:p>
    <w:p>
      <w:pPr>
        <w:pStyle w:val="Heading3"/>
      </w:pPr>
      <w:r>
        <w:t>Delivered files</w:t>
      </w:r>
    </w:p>
    <w:tbl>
      <w:tblPr>
        <w:tblW w:type="auto" w:w="0"/>
        <w:jc w:val="center"/>
        <w:tblLayout w:type="fixed"/>
        <w:tblLook w:firstColumn="1" w:firstRow="1" w:lastColumn="0" w:lastRow="0" w:noHBand="0" w:noVBand="1" w:val="04A0"/>
      </w:tblPr>
      <w:tblGrid>
        <w:gridCol w:w="4968"/>
        <w:gridCol w:w="4968"/>
      </w:tblGrid>
      <w:tr>
        <w:tc>
          <w:tcPr>
            <w:tcW w:type="dxa" w:w="3960"/>
            <w:vAlign w:val="center"/>
            <w:tcMar>
              <w:top w:w="90" w:type="dxa"/>
              <w:start w:w="90" w:type="dxa"/>
              <w:bottom w:w="90" w:type="dxa"/>
              <w:end w:w="90" w:type="dxa"/>
            </w:tcMar>
            <w:shd w:val="clear" w:fill="EAF1FB" w:color="auto"/>
            <w:tcBorders>
              <w:left w:val="single" w:sz="10" w:color="AFC3DD"/>
              <w:top w:val="single" w:sz="10" w:color="AFC3DD"/>
              <w:right w:val="single" w:sz="10" w:color="AFC3DD"/>
              <w:bottom w:val="single" w:sz="10" w:color="AFC3DD"/>
            </w:tcBorders>
          </w:tcPr>
          <w:p>
            <w:pPr>
              <w:jc w:val="center"/>
            </w:pPr>
            <w:r>
              <w:rPr>
                <w:b/>
                <w:color w:val="17365D"/>
                <w:sz w:val="20"/>
              </w:rPr>
              <w:t>File</w:t>
            </w:r>
          </w:p>
        </w:tc>
        <w:tc>
          <w:tcPr>
            <w:tcW w:type="dxa" w:w="5400"/>
            <w:vAlign w:val="center"/>
            <w:tcMar>
              <w:top w:w="90" w:type="dxa"/>
              <w:start w:w="90" w:type="dxa"/>
              <w:bottom w:w="90" w:type="dxa"/>
              <w:end w:w="90" w:type="dxa"/>
            </w:tcMar>
            <w:shd w:val="clear" w:fill="EAF1FB" w:color="auto"/>
            <w:tcBorders>
              <w:left w:val="single" w:sz="10" w:color="AFC3DD"/>
              <w:top w:val="single" w:sz="10" w:color="AFC3DD"/>
              <w:right w:val="single" w:sz="10" w:color="AFC3DD"/>
              <w:bottom w:val="single" w:sz="10" w:color="AFC3DD"/>
            </w:tcBorders>
          </w:tcPr>
          <w:p>
            <w:pPr>
              <w:jc w:val="center"/>
            </w:pPr>
            <w:r>
              <w:rPr>
                <w:b/>
                <w:color w:val="17365D"/>
                <w:sz w:val="20"/>
              </w:rPr>
              <w:t>Contents</w:t>
            </w:r>
          </w:p>
        </w:tc>
      </w:tr>
      <w:tr>
        <w:tc>
          <w:tcPr>
            <w:tcW w:type="dxa" w:w="396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safebrowse_vf_source_registry.json</w:t>
            </w:r>
          </w:p>
        </w:tc>
        <w:tc>
          <w:tcPr>
            <w:tcW w:type="dxa" w:w="540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30-source registry with credibility and provenance metadata</w:t>
            </w:r>
          </w:p>
        </w:tc>
      </w:tr>
      <w:tr>
        <w:tc>
          <w:tcPr>
            <w:tcW w:type="dxa" w:w="396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safebrowse_vf_prompt_injection_patterns.json</w:t>
            </w:r>
          </w:p>
        </w:tc>
        <w:tc>
          <w:tcPr>
            <w:tcW w:type="dxa" w:w="540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174 prompt-injection pattern templates across 20 families</w:t>
            </w:r>
          </w:p>
        </w:tc>
      </w:tr>
      <w:tr>
        <w:tc>
          <w:tcPr>
            <w:tcW w:type="dxa" w:w="396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safebrowse_vf_action_integrity_patterns.json</w:t>
            </w:r>
          </w:p>
        </w:tc>
        <w:tc>
          <w:tcPr>
            <w:tcW w:type="dxa" w:w="540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50 action-anomaly templates across 10 families</w:t>
            </w:r>
          </w:p>
        </w:tc>
      </w:tr>
      <w:tr>
        <w:tc>
          <w:tcPr>
            <w:tcW w:type="dxa" w:w="396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safebrowse_vf_artifact_surface_patterns.json</w:t>
            </w:r>
          </w:p>
        </w:tc>
        <w:tc>
          <w:tcPr>
            <w:tcW w:type="dxa" w:w="540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40 document/viewer/artifact patterns across 10 families</w:t>
            </w:r>
          </w:p>
        </w:tc>
      </w:tr>
      <w:tr>
        <w:tc>
          <w:tcPr>
            <w:tcW w:type="dxa" w:w="396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safebrowse_vf_tool_protocol_supply_chain_patterns.json</w:t>
            </w:r>
          </w:p>
        </w:tc>
        <w:tc>
          <w:tcPr>
            <w:tcW w:type="dxa" w:w="540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40 connector/protocol/supply-chain patterns across 10 families</w:t>
            </w:r>
          </w:p>
        </w:tc>
      </w:tr>
      <w:tr>
        <w:tc>
          <w:tcPr>
            <w:tcW w:type="dxa" w:w="396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safebrowse_vf_memory_context_poisoning_patterns.json</w:t>
            </w:r>
          </w:p>
        </w:tc>
        <w:tc>
          <w:tcPr>
            <w:tcW w:type="dxa" w:w="540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36 memory/context poisoning patterns across 9 families</w:t>
            </w:r>
          </w:p>
        </w:tc>
      </w:tr>
      <w:tr>
        <w:tc>
          <w:tcPr>
            <w:tcW w:type="dxa" w:w="396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safebrowse_vf_trust_signals_provenance.json</w:t>
            </w:r>
          </w:p>
        </w:tc>
        <w:tc>
          <w:tcPr>
            <w:tcW w:type="dxa" w:w="540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28 canonical trust signals</w:t>
            </w:r>
          </w:p>
        </w:tc>
      </w:tr>
      <w:tr>
        <w:tc>
          <w:tcPr>
            <w:tcW w:type="dxa" w:w="396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safebrowse_vf_policy_controls_catalog.json</w:t>
            </w:r>
          </w:p>
        </w:tc>
        <w:tc>
          <w:tcPr>
            <w:tcW w:type="dxa" w:w="540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45 policy controls</w:t>
            </w:r>
          </w:p>
        </w:tc>
      </w:tr>
      <w:tr>
        <w:tc>
          <w:tcPr>
            <w:tcW w:type="dxa" w:w="396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safebrowse_vf_incident_response_playbooks.json</w:t>
            </w:r>
          </w:p>
        </w:tc>
        <w:tc>
          <w:tcPr>
            <w:tcW w:type="dxa" w:w="540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18 incident playbooks</w:t>
            </w:r>
          </w:p>
        </w:tc>
      </w:tr>
      <w:tr>
        <w:tc>
          <w:tcPr>
            <w:tcW w:type="dxa" w:w="396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safebrowse_vf_evaluation_scenarios.json</w:t>
            </w:r>
          </w:p>
        </w:tc>
        <w:tc>
          <w:tcPr>
            <w:tcW w:type="dxa" w:w="540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10 evaluation scenarios</w:t>
            </w:r>
          </w:p>
        </w:tc>
      </w:tr>
      <w:tr>
        <w:tc>
          <w:tcPr>
            <w:tcW w:type="dxa" w:w="396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safebrowse_vf_knowledge_base_index.json</w:t>
            </w:r>
          </w:p>
        </w:tc>
        <w:tc>
          <w:tcPr>
            <w:tcW w:type="dxa" w:w="540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Bundle index and pack metadata</w:t>
            </w:r>
          </w:p>
        </w:tc>
      </w:tr>
      <w:tr>
        <w:tc>
          <w:tcPr>
            <w:tcW w:type="dxa" w:w="396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safebrowse_vf_knowledge_bases.zip</w:t>
            </w:r>
          </w:p>
        </w:tc>
        <w:tc>
          <w:tcPr>
            <w:tcW w:type="dxa" w:w="5400"/>
            <w:vAlign w:val="center"/>
            <w:tcMar>
              <w:top w:w="80" w:type="dxa"/>
              <w:start w:w="90" w:type="dxa"/>
              <w:bottom w:w="80" w:type="dxa"/>
              <w:end w:w="90" w:type="dxa"/>
            </w:tcMar>
            <w:shd w:val="clear" w:fill="FFFFFF" w:color="auto"/>
            <w:tcBorders>
              <w:left w:val="single" w:sz="8" w:color="D9E2F0"/>
              <w:top w:val="single" w:sz="8" w:color="D9E2F0"/>
              <w:right w:val="single" w:sz="8" w:color="D9E2F0"/>
              <w:bottom w:val="single" w:sz="8" w:color="D9E2F0"/>
            </w:tcBorders>
          </w:tcPr>
          <w:p>
            <w:pPr>
              <w:spacing w:after="0"/>
              <w:jc w:val="left"/>
            </w:pPr>
            <w:r>
              <w:rPr>
                <w:color w:val="222222"/>
                <w:sz w:val="20"/>
              </w:rPr>
              <w:t>Zip archive of the JSON pack set</w:t>
            </w:r>
          </w:p>
        </w:tc>
      </w:tr>
    </w:tbl>
    <w:p>
      <w:r>
        <w:br w:type="page"/>
      </w:r>
    </w:p>
    <w:p>
      <w:pPr>
        <w:pStyle w:val="Heading1"/>
      </w:pPr>
      <w:r>
        <w:t>Appendix A. Source legend and references</w:t>
      </w:r>
    </w:p>
    <w:p>
      <w:pPr/>
      <w:r>
        <w:t>The references below back the research-driven changes in this vf plan. Source labels used inline in the document map to the entries below.</w:t>
      </w:r>
    </w:p>
    <w:p>
      <w:pPr>
        <w:spacing w:after="100"/>
      </w:pPr>
      <w:r>
        <w:rPr>
          <w:b/>
          <w:color w:val="17365D"/>
        </w:rPr>
        <w:t xml:space="preserve">[S01] </w:t>
      </w:r>
      <w:r>
        <w:rPr>
          <w:color w:val="222222"/>
          <w:sz w:val="20"/>
        </w:rPr>
        <w:t>Designing AI agents to resist prompt injection. OpenAI. 2026-03-11. official_engineering_guidance. URL: https://openai.com/index/designing-agents-to-resist-prompt-injection/</w:t>
      </w:r>
    </w:p>
    <w:p>
      <w:pPr>
        <w:spacing w:after="100"/>
      </w:pPr>
      <w:r>
        <w:rPr>
          <w:b/>
          <w:color w:val="17365D"/>
        </w:rPr>
        <w:t xml:space="preserve">[S02] </w:t>
      </w:r>
      <w:r>
        <w:rPr>
          <w:color w:val="222222"/>
          <w:sz w:val="20"/>
        </w:rPr>
        <w:t>Prompt injection is not SQL injection (it may be worse). UK National Cyber Security Centre. 2025-12-17. government_security_guidance. URL: https://www.ncsc.gov.uk/blog-post/prompt-injection-is-not-sql-injection</w:t>
      </w:r>
    </w:p>
    <w:p>
      <w:pPr>
        <w:spacing w:after="100"/>
      </w:pPr>
      <w:r>
        <w:rPr>
          <w:b/>
          <w:color w:val="17365D"/>
        </w:rPr>
        <w:t xml:space="preserve">[S03] </w:t>
      </w:r>
      <w:r>
        <w:rPr>
          <w:color w:val="222222"/>
          <w:sz w:val="20"/>
        </w:rPr>
        <w:t>Architecting Security for Agentic Capabilities in Chrome. Google Online Security Blog. 2025-12-08. official_engineering_guidance. URL: https://security.googleblog.com/2025/12/architecting-security-for-agentic.html</w:t>
      </w:r>
    </w:p>
    <w:p>
      <w:pPr>
        <w:spacing w:after="100"/>
      </w:pPr>
      <w:r>
        <w:rPr>
          <w:b/>
          <w:color w:val="17365D"/>
        </w:rPr>
        <w:t xml:space="preserve">[S04] </w:t>
      </w:r>
      <w:r>
        <w:rPr>
          <w:color w:val="222222"/>
          <w:sz w:val="20"/>
        </w:rPr>
        <w:t>Mitigating the risk of prompt injections in browser use. Anthropic. 2025-11-24. official_research_or_engineering. URL: https://www.anthropic.com/research/prompt-injection-defenses</w:t>
      </w:r>
    </w:p>
    <w:p>
      <w:pPr>
        <w:spacing w:after="100"/>
      </w:pPr>
      <w:r>
        <w:rPr>
          <w:b/>
          <w:color w:val="17365D"/>
        </w:rPr>
        <w:t xml:space="preserve">[S05] </w:t>
      </w:r>
      <w:r>
        <w:rPr>
          <w:color w:val="222222"/>
          <w:sz w:val="20"/>
        </w:rPr>
        <w:t>How Microsoft defends against indirect prompt injection attacks. Microsoft Security Response Center. 2025-07-03. official_engineering_guidance. URL: https://www.microsoft.com/en-us/msrc/blog/2025/07/how-microsoft-defends-against-indirect-prompt-injection-attacks/</w:t>
      </w:r>
    </w:p>
    <w:p>
      <w:pPr>
        <w:spacing w:after="100"/>
      </w:pPr>
      <w:r>
        <w:rPr>
          <w:b/>
          <w:color w:val="17365D"/>
        </w:rPr>
        <w:t xml:space="preserve">[S06] </w:t>
      </w:r>
      <w:r>
        <w:rPr>
          <w:color w:val="222222"/>
          <w:sz w:val="20"/>
        </w:rPr>
        <w:t>LLM Prompt Injection Prevention Cheat Sheet. OWASP Cheat Sheet Series. 2026-01-01. community_best_practice. URL: https://cheatsheetseries.owasp.org/cheatsheets/LLM_Prompt_Injection_Prevention_Cheat_Sheet.html</w:t>
      </w:r>
    </w:p>
    <w:p>
      <w:pPr>
        <w:spacing w:after="100"/>
      </w:pPr>
      <w:r>
        <w:rPr>
          <w:b/>
          <w:color w:val="17365D"/>
        </w:rPr>
        <w:t xml:space="preserve">[S07] </w:t>
      </w:r>
      <w:r>
        <w:rPr>
          <w:color w:val="222222"/>
          <w:sz w:val="20"/>
        </w:rPr>
        <w:t>Technical Blog: Strengthening AI Agent Hijacking Evaluations. NIST. 2025-01-17. government_research_guidance. URL: https://www.nist.gov/news-events/news/2025/01/technical-blog-strengthening-ai-agent-hijacking-evaluations</w:t>
      </w:r>
    </w:p>
    <w:p>
      <w:pPr>
        <w:spacing w:after="100"/>
      </w:pPr>
      <w:r>
        <w:rPr>
          <w:b/>
          <w:color w:val="17365D"/>
        </w:rPr>
        <w:t xml:space="preserve">[S08] </w:t>
      </w:r>
      <w:r>
        <w:rPr>
          <w:color w:val="222222"/>
          <w:sz w:val="20"/>
        </w:rPr>
        <w:t>CAISI Issues Request for Information About Securing AI Agent Systems. NIST. 2026-01-12. government_security_guidance. URL: https://www.nist.gov/news-events/news/2026/01/caisi-issues-request-information-about-securing-ai-agent-systems</w:t>
      </w:r>
    </w:p>
    <w:p>
      <w:pPr>
        <w:spacing w:after="100"/>
      </w:pPr>
      <w:r>
        <w:rPr>
          <w:b/>
          <w:color w:val="17365D"/>
        </w:rPr>
        <w:t xml:space="preserve">[S09] </w:t>
      </w:r>
      <w:r>
        <w:rPr>
          <w:color w:val="222222"/>
          <w:sz w:val="20"/>
        </w:rPr>
        <w:t>Security Best Practices. Model Context Protocol. 2025-06-18. official_specification_guidance. URL: https://modelcontextprotocol.io/docs/tutorials/security/security_best_practices</w:t>
      </w:r>
    </w:p>
    <w:p>
      <w:pPr>
        <w:spacing w:after="100"/>
      </w:pPr>
      <w:r>
        <w:rPr>
          <w:b/>
          <w:color w:val="17365D"/>
        </w:rPr>
        <w:t xml:space="preserve">[S10] </w:t>
      </w:r>
      <w:r>
        <w:rPr>
          <w:color w:val="222222"/>
          <w:sz w:val="20"/>
        </w:rPr>
        <w:t>A Practical Guide for Secure MCP Server Development. OWASP Gen AI Security Project. 2026-02-16. community_best_practice. URL: https://genai.owasp.org/resource/a-practical-guide-for-secure-mcp-server-development/</w:t>
      </w:r>
    </w:p>
    <w:p>
      <w:pPr>
        <w:spacing w:after="100"/>
      </w:pPr>
      <w:r>
        <w:rPr>
          <w:b/>
          <w:color w:val="17365D"/>
        </w:rPr>
        <w:t xml:space="preserve">[S11] </w:t>
      </w:r>
      <w:r>
        <w:rPr>
          <w:color w:val="222222"/>
          <w:sz w:val="20"/>
        </w:rPr>
        <w:t>OWASP Top 10 for Agentic Applications for 2026. OWASP Gen AI Security Project. 2025-12-09. community_consensus_framework. URL: https://genai.owasp.org/resource/owasp-top-10-for-agentic-applications-for-2026/</w:t>
      </w:r>
    </w:p>
    <w:p>
      <w:pPr>
        <w:spacing w:after="100"/>
      </w:pPr>
      <w:r>
        <w:rPr>
          <w:b/>
          <w:color w:val="17365D"/>
        </w:rPr>
        <w:t xml:space="preserve">[S12] </w:t>
      </w:r>
      <w:r>
        <w:rPr>
          <w:color w:val="222222"/>
          <w:sz w:val="20"/>
        </w:rPr>
        <w:t>OWASP Agent Memory Guard. OWASP Foundation. 2026-01-01. open_source_project_guidance. URL: https://owasp.org/www-project-agent-memory-guard/</w:t>
      </w:r>
    </w:p>
    <w:p>
      <w:pPr>
        <w:spacing w:after="100"/>
      </w:pPr>
      <w:r>
        <w:rPr>
          <w:b/>
          <w:color w:val="17365D"/>
        </w:rPr>
        <w:t xml:space="preserve">[S13] </w:t>
      </w:r>
      <w:r>
        <w:rPr>
          <w:color w:val="222222"/>
          <w:sz w:val="20"/>
        </w:rPr>
        <w:t>NVIDIA NeMo Guardrails Library Developer Guide. NVIDIA. 2026-01-01. official_product_documentation. URL: https://docs.nvidia.com/nemo/guardrails/latest/</w:t>
      </w:r>
    </w:p>
    <w:p>
      <w:pPr>
        <w:spacing w:after="100"/>
      </w:pPr>
      <w:r>
        <w:rPr>
          <w:b/>
          <w:color w:val="17365D"/>
        </w:rPr>
        <w:t xml:space="preserve">[S14] </w:t>
      </w:r>
      <w:r>
        <w:rPr>
          <w:color w:val="222222"/>
          <w:sz w:val="20"/>
        </w:rPr>
        <w:t>Validators. Guardrails AI. 2026-01-01. official_product_documentation. URL: https://guardrailsai.com/guardrails/docs/concepts/validators</w:t>
      </w:r>
    </w:p>
    <w:p>
      <w:pPr>
        <w:spacing w:after="100"/>
      </w:pPr>
      <w:r>
        <w:rPr>
          <w:b/>
          <w:color w:val="17365D"/>
        </w:rPr>
        <w:t xml:space="preserve">[S15] </w:t>
      </w:r>
      <w:r>
        <w:rPr>
          <w:color w:val="222222"/>
          <w:sz w:val="20"/>
        </w:rPr>
        <w:t>About LlamaFirewall. Meta / LlamaFirewall. 2026-01-01. official_project_documentation. URL: https://meta-llama.github.io/PurpleLlama/LlamaFirewall/docs/documentation/about-llamafirewall</w:t>
      </w:r>
    </w:p>
    <w:p>
      <w:pPr>
        <w:spacing w:after="100"/>
      </w:pPr>
      <w:r>
        <w:rPr>
          <w:b/>
          <w:color w:val="17365D"/>
        </w:rPr>
        <w:t xml:space="preserve">[S16] </w:t>
      </w:r>
      <w:r>
        <w:rPr>
          <w:color w:val="222222"/>
          <w:sz w:val="20"/>
        </w:rPr>
        <w:t>OpenGuardrails Documentation. OpenGuardrails. 2026-01-01. vendor_product_documentation. URL: https://openguardrails.com/docs</w:t>
      </w:r>
    </w:p>
    <w:p>
      <w:pPr>
        <w:spacing w:after="100"/>
      </w:pPr>
      <w:r>
        <w:rPr>
          <w:b/>
          <w:color w:val="17365D"/>
        </w:rPr>
        <w:t xml:space="preserve">[S17] </w:t>
      </w:r>
      <w:r>
        <w:rPr>
          <w:color w:val="222222"/>
          <w:sz w:val="20"/>
        </w:rPr>
        <w:t>BrowserGym. ServiceNow / GitHub. 2026-01-20. official_open_source_repository. URL: https://github.com/ServiceNow/BrowserGym</w:t>
      </w:r>
    </w:p>
    <w:p>
      <w:pPr>
        <w:spacing w:after="100"/>
      </w:pPr>
      <w:r>
        <w:rPr>
          <w:b/>
          <w:color w:val="17365D"/>
        </w:rPr>
        <w:t xml:space="preserve">[S18] </w:t>
      </w:r>
      <w:r>
        <w:rPr>
          <w:color w:val="222222"/>
          <w:sz w:val="20"/>
        </w:rPr>
        <w:t>AgentDojo Benchmark. AgentDojo. 2026-01-01. official_open_source_documentation. URL: https://agentdojo.spylab.ai/api/benchmark/</w:t>
      </w:r>
    </w:p>
    <w:p>
      <w:pPr>
        <w:spacing w:after="100"/>
      </w:pPr>
      <w:r>
        <w:rPr>
          <w:b/>
          <w:color w:val="17365D"/>
        </w:rPr>
        <w:t xml:space="preserve">[S19] </w:t>
      </w:r>
      <w:r>
        <w:rPr>
          <w:color w:val="222222"/>
          <w:sz w:val="20"/>
        </w:rPr>
        <w:t>Defeating Prompt Injections by Design. arXiv. 2025-03-24. preprint_research. URL: https://arxiv.org/abs/2503.18813</w:t>
      </w:r>
    </w:p>
    <w:p>
      <w:pPr>
        <w:spacing w:after="100"/>
      </w:pPr>
      <w:r>
        <w:rPr>
          <w:b/>
          <w:color w:val="17365D"/>
        </w:rPr>
        <w:t xml:space="preserve">[S20] </w:t>
      </w:r>
      <w:r>
        <w:rPr>
          <w:color w:val="222222"/>
          <w:sz w:val="20"/>
        </w:rPr>
        <w:t>ACE: A Security Architecture for LLM-Integrated App Systems. NDSS Symposium. 2026-02-01. peer_reviewed_conference. URL: https://www.ndss-symposium.org/ndss-paper/ace-a-security-architecture-for-llm-integrated-app-systems/</w:t>
      </w:r>
    </w:p>
    <w:p>
      <w:pPr>
        <w:spacing w:after="100"/>
      </w:pPr>
      <w:r>
        <w:rPr>
          <w:b/>
          <w:color w:val="17365D"/>
        </w:rPr>
        <w:t xml:space="preserve">[S21] </w:t>
      </w:r>
      <w:r>
        <w:rPr>
          <w:color w:val="222222"/>
          <w:sz w:val="20"/>
        </w:rPr>
        <w:t>Prompt Injection Attack to Tool Selection in LLM Agents. NDSS Symposium. 2026-02-01. peer_reviewed_conference. URL: https://www.ndss-symposium.org/ndss-paper/prompt-injection-attack-to-tool-selection-in-llm-agents/</w:t>
      </w:r>
    </w:p>
    <w:p>
      <w:pPr>
        <w:spacing w:after="100"/>
      </w:pPr>
      <w:r>
        <w:rPr>
          <w:b/>
          <w:color w:val="17365D"/>
        </w:rPr>
        <w:t xml:space="preserve">[S22] </w:t>
      </w:r>
      <w:r>
        <w:rPr>
          <w:color w:val="222222"/>
          <w:sz w:val="20"/>
        </w:rPr>
        <w:t>ObliInjection: Order-Oblivious Prompt Injection Attack to LLM Agents with Multi-source Data. NDSS Symposium. 2026-02-01. peer_reviewed_conference. URL: https://www.ndss-symposium.org/ndss-paper/obliinjection-order-oblivious-prompt-injection-attack-to-llm-agents-with-multi-source-data/</w:t>
      </w:r>
    </w:p>
    <w:p>
      <w:pPr>
        <w:spacing w:after="100"/>
      </w:pPr>
      <w:r>
        <w:rPr>
          <w:b/>
          <w:color w:val="17365D"/>
        </w:rPr>
        <w:t xml:space="preserve">[S23] </w:t>
      </w:r>
      <w:r>
        <w:rPr>
          <w:color w:val="222222"/>
          <w:sz w:val="20"/>
        </w:rPr>
        <w:t>TopicAttack: An Indirect Prompt Injection Attack via Topic Transition. ACL Anthology / EMNLP 2025. 2025-11-01. peer_reviewed_conference. URL: https://aclanthology.org/2025.emnlp-main.372/</w:t>
      </w:r>
    </w:p>
    <w:p>
      <w:pPr>
        <w:spacing w:after="100"/>
      </w:pPr>
      <w:r>
        <w:rPr>
          <w:b/>
          <w:color w:val="17365D"/>
        </w:rPr>
        <w:t xml:space="preserve">[S24] </w:t>
      </w:r>
      <w:r>
        <w:rPr>
          <w:color w:val="222222"/>
          <w:sz w:val="20"/>
        </w:rPr>
        <w:t>Can Indirect Prompt Injection Attacks Be Detected and Removed?. ACL Anthology / ACL 2025. 2025-07-01. peer_reviewed_conference. URL: https://aclanthology.org/2025.acl-long.890/</w:t>
      </w:r>
    </w:p>
    <w:p>
      <w:pPr>
        <w:spacing w:after="100"/>
      </w:pPr>
      <w:r>
        <w:rPr>
          <w:b/>
          <w:color w:val="17365D"/>
        </w:rPr>
        <w:t xml:space="preserve">[S25] </w:t>
      </w:r>
      <w:r>
        <w:rPr>
          <w:color w:val="222222"/>
          <w:sz w:val="20"/>
        </w:rPr>
        <w:t>Defending against Indirect Prompt Injection by Instruction Detection. ACL Anthology / EMNLP 2025 Findings. 2025-11-01. peer_reviewed_conference. URL: https://aclanthology.org/2025.findings-emnlp.1060/</w:t>
      </w:r>
    </w:p>
    <w:p>
      <w:pPr>
        <w:spacing w:after="100"/>
      </w:pPr>
      <w:r>
        <w:rPr>
          <w:b/>
          <w:color w:val="17365D"/>
        </w:rPr>
        <w:t xml:space="preserve">[S26] </w:t>
      </w:r>
      <w:r>
        <w:rPr>
          <w:color w:val="222222"/>
          <w:sz w:val="20"/>
        </w:rPr>
        <w:t>One Shot Dominance: Knowledge Poisoning Attack on Retrieval-Augmented Generation Systems. ACL Anthology / EMNLP 2025 Findings. 2025-11-01. peer_reviewed_conference. URL: https://aclanthology.org/2025.findings-emnlp.1023/</w:t>
      </w:r>
    </w:p>
    <w:p>
      <w:pPr>
        <w:spacing w:after="100"/>
      </w:pPr>
      <w:r>
        <w:rPr>
          <w:b/>
          <w:color w:val="17365D"/>
        </w:rPr>
        <w:t xml:space="preserve">[S27] </w:t>
      </w:r>
      <w:r>
        <w:rPr>
          <w:color w:val="222222"/>
          <w:sz w:val="20"/>
        </w:rPr>
        <w:t>RevPRAG: Revealing Poisoning Attacks in Retrieval-Augmented Generation through LLM Activation Analysis. ACL Anthology / EMNLP 2025 Findings. 2025-11-01. peer_reviewed_conference. URL: https://aclanthology.org/2025.findings-emnlp.698/</w:t>
      </w:r>
    </w:p>
    <w:p>
      <w:pPr>
        <w:spacing w:after="100"/>
      </w:pPr>
      <w:r>
        <w:rPr>
          <w:b/>
          <w:color w:val="17365D"/>
        </w:rPr>
        <w:t xml:space="preserve">[S28] </w:t>
      </w:r>
      <w:r>
        <w:rPr>
          <w:color w:val="222222"/>
          <w:sz w:val="20"/>
        </w:rPr>
        <w:t>Adaptive Attacks Break Defenses Against Indirect Prompt Injection Attacks on LLM Agents. ACL Anthology / Findings of NAACL 2025. 2025-04-01. peer_reviewed_conference. URL: https://aclanthology.org/2025.findings-naacl.395/</w:t>
      </w:r>
    </w:p>
    <w:p>
      <w:pPr>
        <w:spacing w:after="100"/>
      </w:pPr>
      <w:r>
        <w:rPr>
          <w:b/>
          <w:color w:val="17365D"/>
        </w:rPr>
        <w:t xml:space="preserve">[S29] </w:t>
      </w:r>
      <w:r>
        <w:rPr>
          <w:color w:val="222222"/>
          <w:sz w:val="20"/>
        </w:rPr>
        <w:t>LLM02: Insecure Output Handling. OWASP Gen AI Security Project. 2026-01-01. community_best_practice. URL: https://genai.owasp.org/llmrisk2023-24/llm02-insecure-output-handling/</w:t>
      </w:r>
    </w:p>
    <w:p>
      <w:pPr>
        <w:spacing w:after="100"/>
      </w:pPr>
      <w:r>
        <w:rPr>
          <w:b/>
          <w:color w:val="17365D"/>
        </w:rPr>
        <w:t xml:space="preserve">[S30] </w:t>
      </w:r>
      <w:r>
        <w:rPr>
          <w:color w:val="222222"/>
          <w:sz w:val="20"/>
        </w:rPr>
        <w:t>Agentic AI: Emerging Threats, Mitigations, and Challenges. NIST CSRC Presentation. 2026-01-21. government_presentation. URL: https://csrc.nist.gov/Presentations/2026/agentic-ai-emerging-threats-mitigations-and-cha</w:t>
      </w:r>
    </w:p>
    <w:p>
      <w:r>
        <w:br w:type="page"/>
      </w:r>
    </w:p>
    <w:p>
      <w:pPr>
        <w:pStyle w:val="Heading1"/>
      </w:pPr>
      <w:r>
        <w:t>Appendix B. Implementation notes for adopters</w:t>
      </w:r>
    </w:p>
    <w:p>
      <w:pPr/>
      <w:r>
        <w:t>SafeBrowse vf is designed to be composable. A project that only needs read-only public-web protection can load the Action Integrity Firewall, PromptInjectionGuard, trust signals, and the minimal policy pack. A project that also handles scholarly PDFs can add the Artifact &amp; Surface Guard. A project with connectors or persistent memory can enable the Tool / Protocol Guard and Memory &amp; Context Guard on top. This staged adoption model is the practical benefit of using multiple knowledge bases and a framework-only boundary. [S16, S15, S12]</w:t>
      </w:r>
    </w:p>
    <w:tbl>
      <w:tblPr>
        <w:tblW w:type="auto" w:w="0"/>
        <w:jc w:val="center"/>
        <w:tblLook w:firstColumn="1" w:firstRow="1" w:lastColumn="0" w:lastRow="0" w:noHBand="0" w:noVBand="1" w:val="04A0"/>
      </w:tblPr>
      <w:tblGrid>
        <w:gridCol w:w="9936"/>
      </w:tblGrid>
      <w:tr>
        <w:tc>
          <w:tcPr>
            <w:tcW w:type="dxa" w:w="9936"/>
            <w:shd w:val="clear" w:fill="FFF7ED" w:color="auto"/>
            <w:tcBorders>
              <w:left w:val="single" w:sz="10" w:color="F4B183"/>
              <w:top w:val="single" w:sz="10" w:color="F4B183"/>
              <w:right w:val="single" w:sz="10" w:color="F4B183"/>
              <w:bottom w:val="single" w:sz="10" w:color="F4B183"/>
            </w:tcBorders>
            <w:tcMar>
              <w:top w:w="120" w:type="dxa"/>
              <w:start w:w="140" w:type="dxa"/>
              <w:bottom w:w="120" w:type="dxa"/>
              <w:end w:w="140" w:type="dxa"/>
            </w:tcMar>
          </w:tcPr>
          <w:p>
            <w:pPr>
              <w:spacing w:after="80"/>
            </w:pPr>
            <w:r>
              <w:rPr>
                <w:b/>
                <w:color w:val="8A4B08"/>
                <w:sz w:val="23"/>
              </w:rPr>
              <w:t>Recommended default profile</w:t>
            </w:r>
          </w:p>
          <w:p>
            <w:pPr>
              <w:spacing w:after="0"/>
            </w:pPr>
            <w:r>
              <w:t>For most teams, start with a read-only profile: deterministic action gating, no durable memory writes, no token passthrough, no write-capable origins, artifact handoff enabled, and replay bundles on by default. Then expand only when a real workflow requires additional capability.</w:t>
            </w:r>
          </w:p>
        </w:tc>
      </w:tr>
    </w:tbl>
    <w:sectPr w:rsidR="00FC693F" w:rsidRPr="0006063C" w:rsidSect="00034616">
      <w:headerReference w:type="default" r:id="rId9"/>
      <w:footerReference w:type="default" r:id="rId12"/>
      <w:pgSz w:w="12240" w:h="15840"/>
      <w:pgMar w:top="1080"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B7280"/>
        <w:sz w:val="18"/>
      </w:rPr>
      <w:t>SafeBrowse SDK vf development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2F5D4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Gray">
    <w:name w:val="Small Gray"/>
    <w:pPr>
      <w:spacing w:after="80" w:line="259" w:lineRule="auto"/>
    </w:pPr>
    <w:rPr>
      <w:rFonts w:ascii="Calibri" w:hAnsi="Calibri"/>
      <w:color w:val="6B7280"/>
      <w:sz w:val="18"/>
    </w:rPr>
  </w:style>
  <w:style w:type="paragraph" w:customStyle="1" w:styleId="CodeBlock">
    <w:name w:val="CodeBlock"/>
    <w:pPr>
      <w:spacing w:after="0" w:line="252" w:lineRule="auto"/>
    </w:pPr>
    <w:rPr>
      <w:rFonts w:ascii="Courier New" w:hAnsi="Courier New"/>
      <w:color w:val="22222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