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08</w:t>
      </w:r>
      <w:r>
        <w:t xml:space="preserve"> </w:t>
      </w:r>
      <w:r>
        <w:t xml:space="preserve">September,</w:t>
      </w:r>
      <w:r>
        <w:t xml:space="preserve"> </w:t>
      </w:r>
      <w:r>
        <w:t xml:space="preserve">2022</w:t>
      </w:r>
    </w:p>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r>
        <w:t xml:space="preserve"> </w:t>
      </w:r>
      <w:r>
        <w:t xml:space="preserve"> </w:t>
      </w:r>
    </w:p>
    <w:bookmarkEnd w:id="23"/>
    <w:bookmarkStart w:id="24" w:name="september-2022"/>
    <w:p>
      <w:pPr>
        <w:pStyle w:val="Heading4"/>
      </w:pPr>
      <w:r>
        <w:t xml:space="preserve">08 September,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Start w:id="27"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6">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7"/>
    <w:bookmarkStart w:id="30"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29"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t xml:space="preserve">Table 1:</w:t>
      </w:r>
      <w:r>
        <w:t xml:space="preserve"> </w:t>
      </w:r>
      <w:r>
        <w:rPr>
          <w:bCs/>
          <w:b/>
        </w:rPr>
        <w:t xml:space="preserve">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(2022-09-08).</w:t>
      </w:r>
    </w:p>
    <w:p>
      <w:pPr>
        <w:pStyle w:val="BodyText"/>
      </w:pPr>
      <w:r>
        <w:rPr>
          <w:iCs/>
          <w:i/>
        </w:rPr>
        <w:t xml:space="preserve">Required Table</w:t>
      </w:r>
    </w:p>
    <w:p>
      <w:pPr>
        <w:pStyle w:val="TableCaption"/>
      </w:pPr>
      <w:r>
        <w:t xml:space="preserve">Table 2:</w:t>
      </w:r>
      <w:r>
        <w:t xml:space="preserve"> </w:t>
      </w:r>
      <w:r>
        <w:rPr>
          <w:bCs/>
          <w:b/>
        </w:rPr>
        <w:t xml:space="preserve">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1"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3">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5" name="Picture"/>
            <a:graphic>
              <a:graphicData uri="http://schemas.openxmlformats.org/drawingml/2006/picture">
                <pic:pic>
                  <pic:nvPicPr>
                    <pic:cNvPr descr="output/temp/example_DRR/figures/ProcessingWorkflow.png" id="36" name="Picture"/>
                    <pic:cNvPicPr>
                      <a:picLocks noChangeArrowheads="1" noChangeAspect="1"/>
                    </pic:cNvPicPr>
                  </pic:nvPicPr>
                  <pic:blipFill>
                    <a:blip r:embed="rId34"/>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7"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7"/>
    <w:bookmarkStart w:id="38"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8"/>
    <w:bookmarkStart w:id="39"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39"/>
    <w:bookmarkStart w:id="40"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0"/>
    <w:bookmarkEnd w:id="41"/>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2">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 (Derived from the Chicago Manual of Style).</w:t>
      </w:r>
    </w:p>
    <w:p>
      <w:pPr>
        <w:pStyle w:val="BodyText"/>
      </w:pPr>
      <w:r>
        <w:t xml:space="preserve">See the following examples:</w:t>
      </w:r>
    </w:p>
    <w:bookmarkStart w:id="43" w:name="agency-company-etc.-as-author-examples"/>
    <w:p>
      <w:pPr>
        <w:pStyle w:val="Heading4"/>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3"/>
    <w:bookmarkStart w:id="46" w:name="traditional-journal-article-examples"/>
    <w:p>
      <w:pPr>
        <w:pStyle w:val="Heading4"/>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4">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5">
        <w:r>
          <w:rPr>
            <w:rStyle w:val="Hyperlink"/>
          </w:rPr>
          <w:t xml:space="preserve">https://doi.org/10.1002/jwmg.92</w:t>
        </w:r>
      </w:hyperlink>
    </w:p>
    <w:bookmarkEnd w:id="46"/>
    <w:bookmarkStart w:id="47" w:name="book-example"/>
    <w:p>
      <w:pPr>
        <w:pStyle w:val="Heading4"/>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7"/>
    <w:bookmarkStart w:id="48" w:name="book-chapter-examples"/>
    <w:p>
      <w:pPr>
        <w:pStyle w:val="Heading4"/>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8"/>
    <w:bookmarkStart w:id="51" w:name="published-report-examples"/>
    <w:p>
      <w:pPr>
        <w:pStyle w:val="Heading4"/>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49">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0">
        <w:r>
          <w:rPr>
            <w:rStyle w:val="Hyperlink"/>
          </w:rPr>
          <w:t xml:space="preserve">https://doi.org/10.3133/ofr915</w:t>
        </w:r>
      </w:hyperlink>
    </w:p>
    <w:bookmarkEnd w:id="51"/>
    <w:bookmarkStart w:id="52" w:name="unpublished-report-examples"/>
    <w:p>
      <w:pPr>
        <w:pStyle w:val="Heading4"/>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2"/>
    <w:bookmarkStart w:id="53" w:name="thesisdissertation-examples"/>
    <w:p>
      <w:pPr>
        <w:pStyle w:val="Heading4"/>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4"/>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4"/>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4"/>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p>
      <w:r>
        <w:br w:type="page"/>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68"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r>
        <w:br w:type="page"/>
      </w:r>
    </w:p>
    <w:bookmarkEnd w:id="68"/>
    <w:bookmarkStart w:id="69"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bookmarkEnd w:id="69"/>
    <w:bookmarkStart w:id="73" w:name="X366a359ecd463f9289f5067461f24e5f51c748d"/>
    <w:p>
      <w:pPr>
        <w:pStyle w:val="Heading1"/>
      </w:pPr>
      <w:r>
        <w:t xml:space="preserve">Additional Notes For Authors (this should not be included in reports…)</w:t>
      </w:r>
    </w:p>
    <w:bookmarkStart w:id="70"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70"/>
    <w:bookmarkStart w:id="72"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71"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3: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4: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5: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6: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2" Target="https://doi.org" TargetMode="External" /><Relationship Type="http://schemas.openxmlformats.org/officeDocument/2006/relationships/hyperlink" Id="rId45" Target="https://doi.org/10.1002/jwmg.92" TargetMode="External" /><Relationship Type="http://schemas.openxmlformats.org/officeDocument/2006/relationships/hyperlink" Id="rId44" Target="https://doi.org/10.2307/2265717" TargetMode="External" /><Relationship Type="http://schemas.openxmlformats.org/officeDocument/2006/relationships/hyperlink" Id="rId49" Target="https://doi.org/10.2737/PNW-GTR-352" TargetMode="External" /><Relationship Type="http://schemas.openxmlformats.org/officeDocument/2006/relationships/hyperlink" Id="rId50"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33"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2" Target="https://doi.org" TargetMode="External" /><Relationship Type="http://schemas.openxmlformats.org/officeDocument/2006/relationships/hyperlink" Id="rId45" Target="https://doi.org/10.1002/jwmg.92" TargetMode="External" /><Relationship Type="http://schemas.openxmlformats.org/officeDocument/2006/relationships/hyperlink" Id="rId44" Target="https://doi.org/10.2307/2265717" TargetMode="External" /><Relationship Type="http://schemas.openxmlformats.org/officeDocument/2006/relationships/hyperlink" Id="rId49" Target="https://doi.org/10.2737/PNW-GTR-352" TargetMode="External" /><Relationship Type="http://schemas.openxmlformats.org/officeDocument/2006/relationships/hyperlink" Id="rId50"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33"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2022-09-08T17:01:06Z</dcterms:created>
  <dcterms:modified xsi:type="dcterms:W3CDTF">2022-09-08T17:01:06Z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date">
    <vt:lpwstr>08 September, 2022</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