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6" w:name="drr-title"/>
    <w:p>
      <w:pPr>
        <w:pStyle w:val="Heading1"/>
      </w:pPr>
      <w:r>
        <w:t xml:space="preserve">DRR Title</w:t>
      </w:r>
    </w:p>
    <w:bookmarkStart w:id="25" w:name="Xc22bdc7274c0b6e2d345cc1b07f2b4c1440d28e"/>
    <w:p>
      <w:pPr>
        <w:pStyle w:val="Heading3"/>
      </w:pPr>
      <w:r>
        <w:t xml:space="preserve">Data Release Report : get this number from Joe DeVivo</w:t>
      </w:r>
    </w:p>
    <w:bookmarkStart w:id="22" w:name="Xa90a2b1c3bf75c452db142a8c6785fa58d4ae08"/>
    <w:p>
      <w:pPr>
        <w:pStyle w:val="Heading4"/>
      </w:pPr>
      <w:r>
        <w:t xml:space="preserve">Jane Doe</w:t>
      </w:r>
      <w:r>
        <w:t xml:space="preserve"> </w:t>
      </w:r>
      <w:hyperlink r:id="rId21">
        <w:r>
          <w:rPr>
            <w:rStyle w:val="Hyperlink"/>
          </w:rPr>
          <w:t xml:space="preserve">https://orcid.org/0000-1111-2222-3333</w:t>
        </w:r>
      </w:hyperlink>
    </w:p>
    <w:p>
      <w:pPr>
        <w:pStyle w:val="FirstParagraph"/>
      </w:pPr>
      <w:r>
        <w:t xml:space="preserve">NPS Inventory and Monitory Division</w:t>
      </w:r>
      <w:r>
        <w:t xml:space="preserve"> </w:t>
      </w:r>
      <w:r>
        <w:t xml:space="preserve">1201 Oakridge Dr, Suite 150</w:t>
      </w:r>
      <w:r>
        <w:t xml:space="preserve"> </w:t>
      </w:r>
      <w:r>
        <w:t xml:space="preserve">Fort Collins, Colorado</w:t>
      </w:r>
    </w:p>
    <w:bookmarkEnd w:id="22"/>
    <w:bookmarkStart w:id="23" w:name="john-doe"/>
    <w:p>
      <w:pPr>
        <w:pStyle w:val="Heading4"/>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p>
    <w:bookmarkEnd w:id="23"/>
    <w:bookmarkStart w:id="24" w:name="august-2022"/>
    <w:p>
      <w:pPr>
        <w:pStyle w:val="Heading4"/>
      </w:pPr>
      <w:r>
        <w:t xml:space="preserve">31 August, 2022</w:t>
      </w:r>
      <w:r>
        <w:t xml:space="preserve"> </w:t>
      </w:r>
    </w:p>
    <w:p>
      <w:pPr>
        <w:pStyle w:val="FirstParagraph"/>
      </w:pPr>
      <w:r>
        <w:t xml:space="preserve">Abstract</w:t>
      </w:r>
    </w:p>
    <w:p>
      <w:pPr>
        <w:pStyle w:val="BodyText"/>
      </w:pPr>
      <w: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4"/>
    <w:bookmarkEnd w:id="25"/>
    <w:bookmarkEnd w:id="26"/>
    <w:bookmarkStart w:id="28" w:name="background-introduction"/>
    <w:p>
      <w:pPr>
        <w:pStyle w:val="Heading1"/>
      </w:pPr>
      <w:r>
        <w:t xml:space="preserve">Background &amp; Introduction</w:t>
      </w:r>
    </w:p>
    <w:p>
      <w:pPr>
        <w:pStyle w:val="FirstParagraph"/>
      </w:pPr>
      <w: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Literature should be cited both in the text and in the References section below using the appropriate</w:t>
      </w:r>
      <w:r>
        <w:t xml:space="preserve"> </w:t>
      </w:r>
      <w:hyperlink r:id="rId27">
        <w:r>
          <w:rPr>
            <w:rStyle w:val="Hyperlink"/>
          </w:rPr>
          <w:t xml:space="preserve">Chicago Manual of Style</w:t>
        </w:r>
      </w:hyperlink>
      <w:r>
        <w:t xml:space="preserve"> </w:t>
      </w:r>
      <w:r>
        <w:t xml:space="preserve">author-date format.</w:t>
      </w:r>
      <w:r>
        <w:t xml:space="preserve"> </w:t>
      </w:r>
    </w:p>
    <w:p>
      <w:pPr>
        <w:pStyle w:val="BodyText"/>
      </w:pPr>
      <w:r>
        <w:t xml:space="preserve">The section should also briefly outline the broader goals that motivated collection of the data, as well as their potential reuse value. We also encourage authors to include a figure that provides a schematic overview of the study and assay(s) design.</w:t>
      </w:r>
    </w:p>
    <w:bookmarkEnd w:id="28"/>
    <w:bookmarkStart w:id="31" w:name="data-records-required"/>
    <w:p>
      <w:pPr>
        <w:pStyle w:val="Heading1"/>
      </w:pPr>
      <w:r>
        <w:t xml:space="preserve">Data Records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w:t>
      </w:r>
    </w:p>
    <w:p>
      <w:pPr>
        <w:pStyle w:val="BodyText"/>
      </w:pPr>
      <w:r>
        <w:t xml:space="preserve">Tables should be used to support the data records and should clearly indicate the samples and subjects (study inputs), their provenance, and the experimental manipulations performed on each or the protocols for observational data collection (see example Tables below). They should also specify the data output resulting from each data-collection or analytical step, should these form part of the archived record.</w:t>
      </w:r>
    </w:p>
    <w:bookmarkStart w:id="30" w:name="summary-of-datasets-created-required"/>
    <w:p>
      <w:pPr>
        <w:pStyle w:val="Heading3"/>
      </w:pPr>
      <w:r>
        <w:t xml:space="preserve">Summary of datasets created (required)</w:t>
      </w:r>
    </w:p>
    <w:p>
      <w:pPr>
        <w:pStyle w:val="FirstParagraph"/>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9">
        <w:r>
          <w:rPr>
            <w:rStyle w:val="Hyperlink"/>
          </w:rPr>
          <w:t xml:space="preserve">https://doi.org/10.57830/12342567</w:t>
        </w:r>
      </w:hyperlink>
      <w:r>
        <w:t xml:space="preserve"> </w:t>
      </w:r>
      <w:r>
        <w:t xml:space="preserve">(see Table 1).</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30"/>
    <w:bookmarkEnd w:id="31"/>
    <w:bookmarkStart w:id="32"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(2022-08-31).</w:t>
      </w:r>
    </w:p>
    <w:p>
      <w:pPr>
        <w:pStyle w:val="BodyText"/>
      </w:pPr>
      <w:r>
        <w:rPr>
          <w:iCs/>
          <w:i/>
        </w:rPr>
        <w:t xml:space="preserve">Required Table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endining “_flag”</w:t>
            </w:r>
          </w:p>
        </w:tc>
      </w:tr>
    </w:tbl>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2"/>
    <w:bookmarkStart w:id="33"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3"/>
    <w:bookmarkStart w:id="42"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a descriptions of the experimental design, data acquisition assays, and any computational processing (e.g. normalization, image feature extraction) that other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See the</w:t>
      </w:r>
      <w:r>
        <w:t xml:space="preserve"> </w:t>
      </w:r>
      <w:hyperlink r:id="rId34">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6" name="Picture"/>
            <a:graphic>
              <a:graphicData uri="http://schemas.openxmlformats.org/drawingml/2006/picture">
                <pic:pic>
                  <pic:nvPicPr>
                    <pic:cNvPr descr="output/temp/example_DRR/figures/ProcessingWorkflow.png" id="37"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8"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8"/>
    <w:bookmarkStart w:id="39"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39"/>
    <w:bookmarkStart w:id="40"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0"/>
    <w:bookmarkStart w:id="41"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1"/>
    <w:bookmarkEnd w:id="42"/>
    <w:bookmarkStart w:id="49" w:name="references-required"/>
    <w:p>
      <w:pPr>
        <w:pStyle w:val="Heading1"/>
      </w:pPr>
      <w:r>
        <w:t xml:space="preserve">References (required)</w:t>
      </w:r>
    </w:p>
    <w:p>
      <w:pPr>
        <w:pStyle w:val="FirstParagraph"/>
      </w:pPr>
      <w:r>
        <w:t xml:space="preserve">Provide sufficient information to locate the resource. If the citation has a DOI, include the DOI. If you are citing documents that have unregistered DOIs (such as a data pacakge that you are working on concurrently) still include the DOI. Electronic resources data and data services or web sites should include the date they were accessed.</w:t>
      </w:r>
    </w:p>
    <w:p>
      <w:pPr>
        <w:pStyle w:val="BodyText"/>
      </w:pPr>
      <w:r>
        <w:t xml:space="preserve">Bibliographic information for any works cited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ITIS. 2020. Integrated Taxonomic Information System. Available at:</w:t>
      </w:r>
      <w:r>
        <w:t xml:space="preserve"> </w:t>
      </w:r>
      <w:hyperlink r:id="rId43">
        <w:r>
          <w:rPr>
            <w:rStyle w:val="Hyperlink"/>
          </w:rPr>
          <w:t xml:space="preserve">https://www.itis.gov/</w:t>
        </w:r>
      </w:hyperlink>
      <w:r>
        <w:t xml:space="preserve"> </w:t>
      </w:r>
      <w:r>
        <w:t xml:space="preserve">(accessed 29 January 2020).</w:t>
      </w:r>
    </w:p>
    <w:p>
      <w:pPr>
        <w:pStyle w:val="BodyText"/>
      </w:pPr>
      <w:r>
        <w:t xml:space="preserve">National Park Service (NPS). 2010. Draft Reference Manual RM 66B: Handling Protected Information. National Park Service, Washington, DC. (Available at</w:t>
      </w:r>
      <w:r>
        <w:t xml:space="preserve"> </w:t>
      </w:r>
      <w:hyperlink r:id="rId44">
        <w:r>
          <w:rPr>
            <w:rStyle w:val="Hyperlink"/>
          </w:rPr>
          <w:t xml:space="preserve">https://irma.nps.gov/DataStore/Reference/Profile/2224216</w:t>
        </w:r>
      </w:hyperlink>
      <w:r>
        <w:t xml:space="preserve">)</w:t>
      </w:r>
    </w:p>
    <w:p>
      <w:pPr>
        <w:pStyle w:val="BodyText"/>
      </w:pPr>
      <w:r>
        <w:t xml:space="preserve">National Park Service (NPS). 2019. NPSpecies - the National Park Service biodiversity database. Available at:</w:t>
      </w:r>
      <w:r>
        <w:t xml:space="preserve"> </w:t>
      </w:r>
      <w:hyperlink r:id="rId45">
        <w:r>
          <w:rPr>
            <w:rStyle w:val="Hyperlink"/>
          </w:rPr>
          <w:t xml:space="preserve">https://irma.nps.gov/NPSpecies/</w:t>
        </w:r>
      </w:hyperlink>
      <w:r>
        <w:t xml:space="preserve"> </w:t>
      </w:r>
      <w:r>
        <w:t xml:space="preserve">(accessed xx).</w:t>
      </w:r>
    </w:p>
    <w:p>
      <w:pPr>
        <w:pStyle w:val="BodyText"/>
      </w:pPr>
      <w:r>
        <w:t xml:space="preserve">Office of Management and Budget (OMB). 2013. Open Data Policy-Managing Information as an Asset. Office of Management and Budget. (Available at</w:t>
      </w:r>
      <w:r>
        <w:t xml:space="preserve"> </w:t>
      </w:r>
      <w:hyperlink r:id="rId46">
        <w:r>
          <w:rPr>
            <w:rStyle w:val="Hyperlink"/>
          </w:rPr>
          <w:t xml:space="preserve">https://digital.gov/open-data-policy-m-13-13/</w:t>
        </w:r>
      </w:hyperlink>
      <w:r>
        <w:t xml:space="preserve">)</w:t>
      </w:r>
    </w:p>
    <w:p>
      <w:pPr>
        <w:pStyle w:val="BodyText"/>
      </w:pPr>
      <w:r>
        <w:t xml:space="preserve">U.S. Fish &amp; Wildlife Service (USFWS). 2019. ECOS Environmental Conservation Online System. Available at:</w:t>
      </w:r>
      <w:r>
        <w:t xml:space="preserve"> </w:t>
      </w:r>
      <w:hyperlink r:id="rId47">
        <w:r>
          <w:rPr>
            <w:rStyle w:val="Hyperlink"/>
          </w:rPr>
          <w:t xml:space="preserve">https://ecos.fws.gov/ecp/</w:t>
        </w:r>
      </w:hyperlink>
      <w:r>
        <w:t xml:space="preserve"> </w:t>
      </w:r>
      <w:r>
        <w:t xml:space="preserve">(accessed xx).</w:t>
      </w:r>
    </w:p>
    <w:p>
      <w:pPr>
        <w:pStyle w:val="BodyText"/>
      </w:pPr>
      <w:r>
        <w:t xml:space="preserve">U.S. Government Printing Office (GPO). 2013. Making Open and Machine Readable the New Default for Government Information. Executive Order 13642.(Available at</w:t>
      </w:r>
      <w:r>
        <w:t xml:space="preserve"> </w:t>
      </w:r>
      <w:hyperlink r:id="rId48">
        <w:r>
          <w:rPr>
            <w:rStyle w:val="Hyperlink"/>
          </w:rPr>
          <w:t xml:space="preserve">https://www.govinfo.gov/content/pkg/CFR-2014-title3-vol1/pdf/CFR-2014-title3-vol1-eo13642.pdf</w:t>
        </w:r>
      </w:hyperlink>
      <w:r>
        <w:t xml:space="preserve">)</w:t>
      </w:r>
    </w:p>
    <w:bookmarkEnd w:id="49"/>
    <w:bookmarkStart w:id="50"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50"/>
    <w:bookmarkStart w:id="51" w:name="appendix-a.-code-listing"/>
    <w:p>
      <w:pPr>
        <w:pStyle w:val="Heading1"/>
      </w:pPr>
      <w:r>
        <w:t xml:space="preserve">Appendix A. Code Listing</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 Can eventually pull authors from data package metadata, but that assumes data package authors and DRR authors are the same so there will always need to be an option for manually entering author info.</w:t>
      </w:r>
      <w:r>
        <w:br/>
      </w:r>
      <w:r>
        <w:br/>
      </w:r>
      <w:r>
        <w:rPr>
          <w:rStyle w:val="CommentTok"/>
        </w:rPr>
        <w:t xml:space="preserve"># list the authors.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Note that the entirety of each affiliation is enclosed in quotations. Line breaks are indicated with the tag &lt;br&gt;.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Division&lt;br&gt;</w:t>
      </w:r>
      <w:r>
        <w:br/>
      </w:r>
      <w:r>
        <w:rPr>
          <w:rStyle w:val="StringTok"/>
        </w:rPr>
        <w:t xml:space="preserve">1201 Oakridge Dr, Suite 150&lt;br&gt;</w:t>
      </w:r>
      <w:r>
        <w:br/>
      </w:r>
      <w:r>
        <w:rPr>
          <w:rStyle w:val="StringTok"/>
        </w:rPr>
        <w:t xml:space="preserve">Fort Collins, Colorado"</w:t>
      </w:r>
      <w:r>
        <w:rPr>
          <w:rStyle w:val="NormalTok"/>
        </w:rPr>
        <w:t xml:space="preserve">,</w:t>
      </w:r>
      <w:r>
        <w:br/>
      </w:r>
      <w:r>
        <w:rPr>
          <w:rStyle w:val="NormalTok"/>
        </w:rPr>
        <w:t xml:space="preserve">  </w:t>
      </w:r>
      <w:r>
        <w:rPr>
          <w:rStyle w:val="StringTok"/>
        </w:rPr>
        <w:t xml:space="preserve">"Managed Business Solutions (MBS), a Sealaska Company&lt;br&gt;</w:t>
      </w:r>
      <w:r>
        <w:br/>
      </w:r>
      <w:r>
        <w:rPr>
          <w:rStyle w:val="StringTok"/>
        </w:rPr>
        <w:t xml:space="preserve">Contractor to the National Park Service&lt;br&gt;</w:t>
      </w:r>
      <w:r>
        <w:br/>
      </w:r>
      <w:r>
        <w:rPr>
          <w:rStyle w:val="StringTok"/>
        </w:rPr>
        <w:t xml:space="preserve">Natural Resource Stewardship and Science Directorate&lt;br&gt;</w:t>
      </w:r>
      <w:r>
        <w:br/>
      </w:r>
      <w:r>
        <w:rPr>
          <w:rStyle w:val="StringTok"/>
        </w:rPr>
        <w:t xml:space="preserve">1201 Oakridge Dr, Suite 150&lt;br&gt;</w:t>
      </w:r>
      <w:r>
        <w:br/>
      </w:r>
      <w:r>
        <w:rPr>
          <w:rStyle w:val="StringTok"/>
        </w:rPr>
        <w:t xml:space="preserve">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For more information on ORCID iDs and to register an ORCID iD, see https://www.orcid.org. The order of the ORCID iDs must match the order of authors in AuthorNames.In this example, Jane Doe has an ORCID iD but John Doe does not.</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w:t>
      </w:r>
      <w:r>
        <w:br/>
      </w:r>
      <w:r>
        <w:rPr>
          <w:rStyle w:val="NormalTok"/>
        </w:rPr>
        <w:t xml:space="preserve">  </w:t>
      </w:r>
      <w:r>
        <w:rPr>
          <w:rStyle w:val="ConstantTok"/>
        </w:rPr>
        <w:t xml:space="preserve">NA</w:t>
      </w:r>
      <w:r>
        <w:br/>
      </w:r>
      <w:r>
        <w:rPr>
          <w:rStyle w:val="NormalTok"/>
        </w:rPr>
        <w:t xml:space="preserve">)</w:t>
      </w:r>
      <w:r>
        <w:br/>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br/>
      </w:r>
      <w:r>
        <w:rPr>
          <w:rStyle w:val="NormalTok"/>
        </w:rPr>
        <w:t xml:space="preserve">)</w:t>
      </w:r>
      <w:r>
        <w:br/>
      </w:r>
      <w:r>
        <w:br/>
      </w:r>
      <w:r>
        <w:rPr>
          <w:rStyle w:val="CommentTok"/>
        </w:rPr>
        <w:t xml:space="preserve"># Write parameters to file for consistent reuse across report and data packages</w:t>
      </w:r>
      <w:r>
        <w:br/>
      </w:r>
      <w:r>
        <w:rPr>
          <w:rStyle w:val="FunctionTok"/>
        </w:rPr>
        <w:t xml:space="preserve">save</w:t>
      </w:r>
      <w:r>
        <w:rPr>
          <w:rStyle w:val="NormalTok"/>
        </w:rPr>
        <w:t xml:space="preserve">(title, reportNumber, DRR_DSRefID, authorNames, authorAffiliations, authorORCID, DRRabstract, dataPackageRefID, dataPackageTitle, dataPackageDescription, dataPackageDOI, dataPackage_fileNames, dataPackage_fileSizes, dataPackage_fileDescript,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"output"</w:t>
      </w:r>
      <w:r>
        <w:rPr>
          <w:rStyle w:val="NormalTok"/>
        </w:rPr>
        <w:t xml:space="preserve">, </w:t>
      </w:r>
      <w:r>
        <w:rPr>
          <w:rStyle w:val="StringTok"/>
        </w:rPr>
        <w:t xml:space="preserve">"temp"</w:t>
      </w:r>
      <w:r>
        <w:rPr>
          <w:rStyle w:val="NormalTok"/>
        </w:rPr>
        <w:t xml:space="preserve">, </w:t>
      </w:r>
      <w:r>
        <w:rPr>
          <w:rStyle w:val="StringTok"/>
        </w:rPr>
        <w:t xml:space="preserve">"reportParameters.Rdata"</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 </w:t>
      </w:r>
      <w:r>
        <w:rPr>
          <w:rStyle w:val="StringTok"/>
        </w:rPr>
        <w:t xml:space="preserve">"rmarkdown"</w:t>
      </w:r>
      <w:r>
        <w:rPr>
          <w:rStyle w:val="NormalTok"/>
        </w:rPr>
        <w:t xml:space="preserve">, </w:t>
      </w:r>
      <w:r>
        <w:rPr>
          <w:rStyle w:val="StringTok"/>
        </w:rPr>
        <w:t xml:space="preserve">"pander"</w:t>
      </w:r>
      <w:r>
        <w:rPr>
          <w:rStyle w:val="NormalTok"/>
        </w:rPr>
        <w:t xml:space="preserve">, </w:t>
      </w:r>
      <w:r>
        <w:rPr>
          <w:rStyle w:val="StringTok"/>
        </w:rPr>
        <w:t xml:space="preserve">"knitr"</w:t>
      </w:r>
      <w:r>
        <w:rPr>
          <w:rStyle w:val="NormalTok"/>
        </w:rPr>
        <w:t xml:space="preserve">, </w:t>
      </w:r>
      <w:r>
        <w:rPr>
          <w:rStyle w:val="StringTok"/>
        </w:rPr>
        <w:t xml:space="preserve">"fontawesome"</w:t>
      </w:r>
      <w:r>
        <w:rPr>
          <w:rStyle w:val="NormalTok"/>
        </w:rPr>
        <w:t xml:space="preserve">, </w:t>
      </w:r>
      <w:r>
        <w:rPr>
          <w:rStyle w:val="StringTok"/>
        </w:rPr>
        <w:t xml:space="preserve">"yaml"</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br/>
      </w:r>
      <w:r>
        <w:rPr>
          <w:rStyle w:val="CommentTok"/>
        </w:rPr>
        <w:t xml:space="preserve"># __________________________________</w:t>
      </w:r>
      <w:r>
        <w:br/>
      </w:r>
      <w:r>
        <w:rPr>
          <w:rStyle w:val="CommentTok"/>
        </w:rPr>
        <w:t xml:space="preserve"># Now repeat for packages used in the analyses</w:t>
      </w:r>
      <w:r>
        <w:br/>
      </w:r>
      <w:r>
        <w:rPr>
          <w:rStyle w:val="NormalTok"/>
        </w:rPr>
        <w:t xml:space="preserve">pkgList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"devtools"</w:t>
      </w:r>
      <w:r>
        <w:rPr>
          <w:rStyle w:val="NormalTok"/>
        </w:rPr>
        <w:t xml:space="preserve">, </w:t>
      </w:r>
      <w:r>
        <w:rPr>
          <w:rStyle w:val="StringTok"/>
        </w:rPr>
        <w:t xml:space="preserve">"RODBC"</w:t>
      </w:r>
      <w:r>
        <w:rPr>
          <w:rStyle w:val="NormalTok"/>
        </w:rPr>
        <w:t xml:space="preserve">, </w:t>
      </w:r>
      <w:r>
        <w:rPr>
          <w:rStyle w:val="StringTok"/>
        </w:rPr>
        <w:t xml:space="preserve">"remotes"</w:t>
      </w:r>
      <w:r>
        <w:rPr>
          <w:rStyle w:val="NormalTok"/>
        </w:rPr>
        <w:t xml:space="preserve">, </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"plotly"</w:t>
      </w:r>
      <w:r>
        <w:rPr>
          <w:rStyle w:val="NormalTok"/>
        </w:rPr>
        <w:t xml:space="preserve">)</w:t>
      </w:r>
      <w:r>
        <w:br/>
      </w:r>
      <w:r>
        <w:br/>
      </w:r>
      <w:r>
        <w:rPr>
          <w:rStyle w:val="NormalTok"/>
        </w:rPr>
        <w:t xml:space="preserve">inst </w:t>
      </w:r>
      <w:r>
        <w:rPr>
          <w:rStyle w:val="OtherTok"/>
        </w:rPr>
        <w:t xml:space="preserve">&lt;-</w:t>
      </w:r>
      <w:r>
        <w:rPr>
          <w:rStyle w:val="NormalTok"/>
        </w:rPr>
        <w:t xml:space="preserve"> pkgList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(pkgList[</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(pkgList[</w:t>
      </w:r>
      <w:r>
        <w:rPr>
          <w:rStyle w:val="SpecialCharTok"/>
        </w:rPr>
        <w:t xml:space="preserve">!</w:t>
      </w:r>
      <w:r>
        <w:rPr>
          <w:rStyle w:val="NormalTok"/>
        </w:rPr>
        <w:t xml:space="preserve">inst],</w:t>
      </w:r>
      <w:r>
        <w:br/>
      </w:r>
      <w:r>
        <w:rPr>
          <w:rStyle w:val="NormalTok"/>
        </w:rPr>
        <w:t xml:space="preserve">    </w:t>
      </w:r>
      <w:r>
        <w:rPr>
          <w:rStyle w:val="AttributeTok"/>
        </w:rPr>
        <w:t xml:space="preserve">dep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br/>
      </w:r>
      <w:r>
        <w:rPr>
          <w:rStyle w:val="NormalTok"/>
        </w:rPr>
        <w:t xml:space="preserve">  )</w:t>
      </w:r>
      <w:r>
        <w:br/>
      </w:r>
      <w:r>
        <w:rPr>
          <w:rStyle w:val="NormalTok"/>
        </w:rPr>
        <w:t xml:space="preserve">}</w:t>
      </w:r>
      <w:r>
        <w:br/>
      </w:r>
      <w:r>
        <w:br/>
      </w:r>
      <w:r>
        <w:rPr>
          <w:rStyle w:val="FunctionTok"/>
        </w:rPr>
        <w:t xml:space="preserve">lapply</w:t>
      </w:r>
      <w:r>
        <w:rPr>
          <w:rStyle w:val="NormalTok"/>
        </w:rPr>
        <w:t xml:space="preserve">(pkgList, library,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r>
        <w:br/>
      </w:r>
      <w:r>
        <w:rPr>
          <w:rStyle w:val="NormalTok"/>
        </w:rPr>
        <w:t xml:space="preserve">contact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(authorNames)) {</w:t>
      </w:r>
      <w:r>
        <w:br/>
      </w:r>
      <w:r>
        <w:rPr>
          <w:rStyle w:val="NormalTok"/>
        </w:rPr>
        <w:t xml:space="preserve">  curr </w:t>
      </w:r>
      <w:r>
        <w:rPr>
          <w:rStyle w:val="OtherTok"/>
        </w:rPr>
        <w:t xml:space="preserve">&lt;-</w:t>
      </w:r>
      <w:r>
        <w:rPr>
          <w:rStyle w:val="NormalTok"/>
        </w:rPr>
        <w:t xml:space="preserve"> contact[i,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curr</w:t>
      </w:r>
      <w:r>
        <w:rPr>
          <w:rStyle w:val="SpecialCharTok"/>
        </w:rPr>
        <w:t xml:space="preserve">$</w:t>
      </w:r>
      <w:r>
        <w:rPr>
          <w:rStyle w:val="NormalTok"/>
        </w:rPr>
        <w:t xml:space="preserve">authorNames, </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CommentTok"/>
        </w:rPr>
        <w:t xml:space="preserve"># Consider re-write to use the actual downloaded icon and not fontawesome.For some reason fill isn't rendering in chrome (but does in edge). Maybe move fill to CSS?</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authorAffiliations,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w:t>
      </w:r>
      <w:r>
        <w:br/>
      </w:r>
      <w:r>
        <w:br/>
      </w: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r>
        <w:br/>
      </w: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 </w:t>
      </w:r>
      <w:r>
        <w:rPr>
          <w:rStyle w:val="StringTok"/>
        </w:rPr>
        <w:t xml:space="preserve">"Accepted, estimated"</w:t>
      </w:r>
      <w:r>
        <w:rPr>
          <w:rStyle w:val="NormalTok"/>
        </w:rPr>
        <w:t xml:space="preserve">, </w:t>
      </w:r>
      <w:r>
        <w:rPr>
          <w:rStyle w:val="StringTok"/>
        </w:rPr>
        <w:t xml:space="preserve">"Rejected"</w:t>
      </w:r>
      <w:r>
        <w:rPr>
          <w:rStyle w:val="NormalTok"/>
        </w:rPr>
        <w:t xml:space="preserve">)</w:t>
      </w:r>
      <w:r>
        <w:br/>
      </w:r>
      <w:r>
        <w:rPr>
          <w:rStyle w:val="NormalTok"/>
        </w:rPr>
        <w:t xml:space="preserve">app</w:t>
      </w:r>
      <w:r>
        <w:rPr>
          <w:rStyle w:val="OtherTok"/>
        </w:rPr>
        <w:t xml:space="preserve">&lt;-</w:t>
      </w:r>
      <w:r>
        <w:rPr>
          <w:rStyle w:val="FunctionTok"/>
        </w:rPr>
        <w:t xml:space="preserve">rep</w:t>
      </w:r>
      <w:r>
        <w:rPr>
          <w:rStyle w:val="NormalTok"/>
        </w:rPr>
        <w:t xml:space="preserve">(</w:t>
      </w:r>
      <w:r>
        <w:rPr>
          <w:rStyle w:val="StringTok"/>
        </w:rPr>
        <w:t xml:space="preserve">"columns endining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"Useage"</w:t>
      </w:r>
      <w:r>
        <w:rPr>
          <w:rStyle w:val="NormalTok"/>
        </w:rPr>
        <w:t xml:space="preserve">), </w:t>
      </w:r>
      <w:r>
        <w:rPr>
          <w:rStyle w:val="AttributeTok"/>
        </w:rPr>
        <w:t xml:space="preserve">format=</w:t>
      </w:r>
      <w:r>
        <w:rPr>
          <w:rStyle w:val="StringTok"/>
        </w:rPr>
        <w:t xml:space="preserve">"pandoc"</w:t>
      </w:r>
      <w:r>
        <w:rPr>
          <w:rStyle w:val="NormalTok"/>
        </w:rPr>
        <w:t xml:space="preserve">)</w:t>
      </w:r>
      <w:r>
        <w:br/>
      </w:r>
      <w:r>
        <w:rPr>
          <w:rStyle w:val="FunctionTok"/>
        </w:rPr>
        <w:t xml:space="preserve">include_graphics</w:t>
      </w:r>
      <w:r>
        <w:rPr>
          <w:rStyle w:val="NormalTok"/>
        </w:rPr>
        <w:t xml:space="preserve">(</w:t>
      </w:r>
      <w:r>
        <w:rPr>
          <w:rStyle w:val="StringTok"/>
        </w:rPr>
        <w:t xml:space="preserve">"output/temp/example_DRR/figures/ProcessingWorkflow.png"</w:t>
      </w:r>
      <w:r>
        <w:rPr>
          <w:rStyle w:val="NormalTok"/>
        </w:rPr>
        <w:t xml:space="preserve">)</w:t>
      </w:r>
      <w:r>
        <w:br/>
      </w:r>
      <w:r>
        <w:br/>
      </w:r>
      <w:r>
        <w:rPr>
          <w:rStyle w:val="FunctionTok"/>
        </w:rPr>
        <w:t xml:space="preserve">sessionInfo</w:t>
      </w:r>
      <w:r>
        <w:rPr>
          <w:rStyle w:val="NormalTok"/>
        </w:rPr>
        <w:t xml:space="preserve">()</w:t>
      </w:r>
      <w:r>
        <w:br/>
      </w:r>
      <w:r>
        <w:rPr>
          <w:rStyle w:val="FunctionTok"/>
        </w:rPr>
        <w:t xml:space="preserve">Sys.time</w:t>
      </w:r>
      <w:r>
        <w:rPr>
          <w:rStyle w:val="NormalTok"/>
        </w:rPr>
        <w:t xml:space="preserve">()</w:t>
      </w:r>
    </w:p>
    <w:p>
      <w:r>
        <w:br w:type="page"/>
      </w:r>
    </w:p>
    <w:bookmarkEnd w:id="51"/>
    <w:bookmarkStart w:id="52" w:name="Xeedc8f1bcd8f23e251ef03fdc02540a410c8d97"/>
    <w:p>
      <w:pPr>
        <w:pStyle w:val="Heading1"/>
      </w:pPr>
      <w:r>
        <w:t xml:space="preserve">Appendix B. Session and Version Information</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plotly_4.10.0     ggplot2_3.3.6     dplyr_1.0.9       remotes_2.4.2    </w:t>
      </w:r>
      <w:r>
        <w:br/>
      </w:r>
      <w:r>
        <w:rPr>
          <w:rStyle w:val="VerbatimChar"/>
        </w:rPr>
        <w:t xml:space="preserve">##  [5] RODBC_1.3-19      devtools_2.4.4    usethis_2.1.6     yaml_2.3.5       </w:t>
      </w:r>
      <w:r>
        <w:br/>
      </w:r>
      <w:r>
        <w:rPr>
          <w:rStyle w:val="VerbatimChar"/>
        </w:rPr>
        <w:t xml:space="preserve">##  [9] fontawesome_0.3.0 knitr_1.39        pander_0.6.5      rmarkdown_2.15   </w:t>
      </w:r>
      <w:r>
        <w:br/>
      </w:r>
      <w:r>
        <w:rPr>
          <w:rStyle w:val="VerbatimChar"/>
        </w:rPr>
        <w:t xml:space="preserve">## [13] markdown_1.1     </w:t>
      </w:r>
      <w:r>
        <w:br/>
      </w:r>
      <w:r>
        <w:rPr>
          <w:rStyle w:val="VerbatimChar"/>
        </w:rPr>
        <w:t xml:space="preserve">## </w:t>
      </w:r>
      <w:r>
        <w:br/>
      </w:r>
      <w:r>
        <w:rPr>
          <w:rStyle w:val="VerbatimChar"/>
        </w:rPr>
        <w:t xml:space="preserve">## loaded via a namespace (and not attached):</w:t>
      </w:r>
      <w:r>
        <w:br/>
      </w:r>
      <w:r>
        <w:rPr>
          <w:rStyle w:val="VerbatimChar"/>
        </w:rPr>
        <w:t xml:space="preserve">##  [1] Rcpp_1.0.9        here_1.0.1        tidyr_1.2.0       png_0.1-7        </w:t>
      </w:r>
      <w:r>
        <w:br/>
      </w:r>
      <w:r>
        <w:rPr>
          <w:rStyle w:val="VerbatimChar"/>
        </w:rPr>
        <w:t xml:space="preserve">##  [5] prettyunits_1.1.1 ps_1.7.1          rprojroot_2.0.3   digest_0.6.29    </w:t>
      </w:r>
      <w:r>
        <w:br/>
      </w:r>
      <w:r>
        <w:rPr>
          <w:rStyle w:val="VerbatimChar"/>
        </w:rPr>
        <w:t xml:space="preserve">##  [9] utf8_1.2.2        mime_0.12         R6_2.5.1          evaluate_0.16    </w:t>
      </w:r>
      <w:r>
        <w:br/>
      </w:r>
      <w:r>
        <w:rPr>
          <w:rStyle w:val="VerbatimChar"/>
        </w:rPr>
        <w:t xml:space="preserve">## [13] highr_0.9         httr_1.4.3        pillar_1.8.1      rlang_1.0.4      </w:t>
      </w:r>
      <w:r>
        <w:br/>
      </w:r>
      <w:r>
        <w:rPr>
          <w:rStyle w:val="VerbatimChar"/>
        </w:rPr>
        <w:t xml:space="preserve">## [17] lazyeval_0.2.2    rstudioapi_0.13   data.table_1.14.2 miniUI_0.1.1.1   </w:t>
      </w:r>
      <w:r>
        <w:br/>
      </w:r>
      <w:r>
        <w:rPr>
          <w:rStyle w:val="VerbatimChar"/>
        </w:rPr>
        <w:t xml:space="preserve">## [21] callr_3.7.1       urlchecker_1.0.1  stringr_1.4.1     htmlwidgets_1.5.4</w:t>
      </w:r>
      <w:r>
        <w:br/>
      </w:r>
      <w:r>
        <w:rPr>
          <w:rStyle w:val="VerbatimChar"/>
        </w:rPr>
        <w:t xml:space="preserve">## [25] munsell_0.5.0     shiny_1.7.2       compiler_4.2.0    httpuv_1.6.5     </w:t>
      </w:r>
      <w:r>
        <w:br/>
      </w:r>
      <w:r>
        <w:rPr>
          <w:rStyle w:val="VerbatimChar"/>
        </w:rPr>
        <w:t xml:space="preserve">## [29] xfun_0.31         pkgconfig_2.0.3   pkgbuild_1.3.1    htmltools_0.5.3  </w:t>
      </w:r>
      <w:r>
        <w:br/>
      </w:r>
      <w:r>
        <w:rPr>
          <w:rStyle w:val="VerbatimChar"/>
        </w:rPr>
        <w:t xml:space="preserve">## [33] tidyselect_1.1.2  tibble_3.1.7      viridisLite_0.4.0 fansi_1.0.3      </w:t>
      </w:r>
      <w:r>
        <w:br/>
      </w:r>
      <w:r>
        <w:rPr>
          <w:rStyle w:val="VerbatimChar"/>
        </w:rPr>
        <w:t xml:space="preserve">## [37] crayon_1.5.1      withr_2.5.0       later_1.3.0       grid_4.2.0       </w:t>
      </w:r>
      <w:r>
        <w:br/>
      </w:r>
      <w:r>
        <w:rPr>
          <w:rStyle w:val="VerbatimChar"/>
        </w:rPr>
        <w:t xml:space="preserve">## [41] jsonlite_1.8.0    xtable_1.8-4      gtable_0.3.0      lifecycle_1.0.1  </w:t>
      </w:r>
      <w:r>
        <w:br/>
      </w:r>
      <w:r>
        <w:rPr>
          <w:rStyle w:val="VerbatimChar"/>
        </w:rPr>
        <w:t xml:space="preserve">## [45] magrittr_2.0.3    scales_1.2.0      cli_3.3.0         stringi_1.7.8    </w:t>
      </w:r>
      <w:r>
        <w:br/>
      </w:r>
      <w:r>
        <w:rPr>
          <w:rStyle w:val="VerbatimChar"/>
        </w:rPr>
        <w:t xml:space="preserve">## [49] cachem_1.0.6      fs_1.5.2          promises_1.2.0.1  ellipsis_0.3.2   </w:t>
      </w:r>
      <w:r>
        <w:br/>
      </w:r>
      <w:r>
        <w:rPr>
          <w:rStyle w:val="VerbatimChar"/>
        </w:rPr>
        <w:t xml:space="preserve">## [53] generics_0.1.3    vctrs_0.4.1       tools_4.2.0       glue_1.6.2       </w:t>
      </w:r>
      <w:r>
        <w:br/>
      </w:r>
      <w:r>
        <w:rPr>
          <w:rStyle w:val="VerbatimChar"/>
        </w:rPr>
        <w:t xml:space="preserve">## [57] purrr_0.3.4       processx_3.7.0    pkgload_1.3.0     fastmap_1.1.0    </w:t>
      </w:r>
      <w:r>
        <w:br/>
      </w:r>
      <w:r>
        <w:rPr>
          <w:rStyle w:val="VerbatimChar"/>
        </w:rPr>
        <w:t xml:space="preserve">## [61] colorspace_2.0-3  sessioninfo_1.2.2 memoise_2.0.1     profvis_0.3.7</w:t>
      </w:r>
    </w:p>
    <w:p>
      <w:pPr>
        <w:pStyle w:val="SourceCode"/>
      </w:pPr>
      <w:r>
        <w:rPr>
          <w:rStyle w:val="VerbatimChar"/>
        </w:rPr>
        <w:t xml:space="preserve">## [1] "2022-08-31 08:49:06 MDT"</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6" Target="https://digital.gov/open-data-policy-m-13-13/"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47" Target="https://ecos.fws.gov/ecp/" TargetMode="External" /><Relationship Type="http://schemas.openxmlformats.org/officeDocument/2006/relationships/hyperlink" Id="rId44" Target="https://irma.nps.gov/DataStore/Reference/Profile/2224216" TargetMode="External" /><Relationship Type="http://schemas.openxmlformats.org/officeDocument/2006/relationships/hyperlink" Id="rId45"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7" Target="https://www.chicagomanualofstyle.org/tools_citationguide/citation-guide-2.html" TargetMode="External" /><Relationship Type="http://schemas.openxmlformats.org/officeDocument/2006/relationships/hyperlink" Id="rId48" Target="https://www.govinfo.gov/content/pkg/CFR-2014-title3-vol1/pdf/CFR-2014-title3-vol1-eo13642.pdf" TargetMode="External" /><Relationship Type="http://schemas.openxmlformats.org/officeDocument/2006/relationships/hyperlink" Id="rId43" Target="https://www.itis.gov/" TargetMode="External" /><Relationship Type="http://schemas.openxmlformats.org/officeDocument/2006/relationships/hyperlink" Id="rId34"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46" Target="https://digital.gov/open-data-policy-m-13-13/"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47" Target="https://ecos.fws.gov/ecp/" TargetMode="External" /><Relationship Type="http://schemas.openxmlformats.org/officeDocument/2006/relationships/hyperlink" Id="rId44" Target="https://irma.nps.gov/DataStore/Reference/Profile/2224216" TargetMode="External" /><Relationship Type="http://schemas.openxmlformats.org/officeDocument/2006/relationships/hyperlink" Id="rId45"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7" Target="https://www.chicagomanualofstyle.org/tools_citationguide/citation-guide-2.html" TargetMode="External" /><Relationship Type="http://schemas.openxmlformats.org/officeDocument/2006/relationships/hyperlink" Id="rId48" Target="https://www.govinfo.gov/content/pkg/CFR-2014-title3-vol1/pdf/CFR-2014-title3-vol1-eo13642.pdf" TargetMode="External" /><Relationship Type="http://schemas.openxmlformats.org/officeDocument/2006/relationships/hyperlink" Id="rId43" Target="https://www.itis.gov/" TargetMode="External" /><Relationship Type="http://schemas.openxmlformats.org/officeDocument/2006/relationships/hyperlink" Id="rId34"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2022-08-31T14:49:07Z</dcterms:created>
  <dcterms:modified xsi:type="dcterms:W3CDTF">2022-08-31T14:49:07Z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