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4" w:name="Xc22bdc7274c0b6e2d345cc1b07f2b4c1440d28e"/>
    <w:p>
      <w:pPr>
        <w:pStyle w:val="Heading3"/>
      </w:pPr>
      <w:r>
        <w:t xml:space="preserve">Data Release Report : get this number from Joe DeVivo</w:t>
      </w:r>
    </w:p>
    <w:bookmarkStart w:id="22" w:name="Xb72ae0acc2b73fd5b048c32ea0d589b3f4654a4"/>
    <w:p>
      <w:pPr>
        <w:pStyle w:val="Heading4"/>
      </w:pPr>
      <w:r>
        <w:t xml:space="preserve">Jane Doe</w:t>
      </w:r>
      <w:r>
        <w:rPr>
          <w:vertAlign w:val="superscript"/>
        </w:rPr>
        <w:t xml:space="preserve">1,2</w:t>
      </w:r>
      <w:r>
        <w:t xml:space="preserve"> </w:t>
      </w:r>
      <w:hyperlink r:id="rId21">
        <w:r>
          <w:rPr>
            <w:rStyle w:val="Hyperlink"/>
          </w:rPr>
          <w:t xml:space="preserve">https://orcid.org/0000-1111-2222-3333</w:t>
        </w:r>
      </w:hyperlink>
      <w:r>
        <w:t xml:space="preserve"> </w:t>
      </w:r>
      <w:r>
        <w:t xml:space="preserve">and John Doe</w:t>
      </w:r>
      <w:r>
        <w:rPr>
          <w:vertAlign w:val="superscript"/>
        </w:rPr>
        <w:t xml:space="preserve">2</w:t>
      </w:r>
    </w:p>
    <w:p>
      <w:pPr>
        <w:pStyle w:val="FirstParagraph"/>
      </w:pPr>
      <w:r>
        <w:rPr>
          <w:vertAlign w:val="superscript"/>
        </w:rPr>
        <w:t xml:space="preserve">1</w:t>
      </w:r>
      <w:r>
        <w:t xml:space="preserve"> </w:t>
      </w:r>
      <w:r>
        <w:t xml:space="preserve">NPS Inventory and Monitory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2"/>
    <w:bookmarkStart w:id="23" w:name="january-2024"/>
    <w:p>
      <w:pPr>
        <w:pStyle w:val="Heading4"/>
      </w:pPr>
      <w:r>
        <w:t xml:space="preserve">03 January, 2024</w:t>
      </w:r>
      <w:r>
        <w:t xml:space="preserve"> </w:t>
      </w:r>
    </w:p>
    <w:bookmarkEnd w:id="23"/>
    <w:bookmarkEnd w:id="24"/>
    <w:bookmarkEnd w:id="25"/>
    <w:bookmarkStart w:id="26"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6"/>
    <w:bookmarkStart w:id="27" w:name="using-citations-in-this-document"/>
    <w:p>
      <w:pPr>
        <w:pStyle w:val="Heading1"/>
      </w:pPr>
      <w:r>
        <w:t xml:space="preserve">Using citations in this document:</w:t>
      </w:r>
    </w:p>
    <w:p>
      <w:pPr>
        <w:pStyle w:val="FirstParagraph"/>
      </w:pPr>
      <w:r>
        <w:t xml:space="preserve">To automate citations, add the citation to in bibtex format to the file</w:t>
      </w:r>
      <w:r>
        <w:t xml:space="preserve"> </w:t>
      </w:r>
      <w:r>
        <w:t xml:space="preserve">“</w:t>
      </w:r>
      <w:r>
        <w:t xml:space="preserve">references.bib</w:t>
      </w:r>
      <w:r>
        <w:t xml:space="preserve">”</w:t>
      </w:r>
      <w:r>
        <w:t xml:space="preserve">. Each bibtex citation should start with a unique identifier; the example reference in the supplied references.bib file has the unique identifier</w:t>
      </w:r>
      <w:r>
        <w:t xml:space="preserve"> </w:t>
      </w:r>
      <w:r>
        <w:t xml:space="preserve">“</w:t>
      </w:r>
      <w:r>
        <w:t xml:space="preserve">(</w:t>
      </w:r>
      <w:r>
        <w:rPr>
          <w:bCs/>
          <w:b/>
        </w:rPr>
        <w:t xml:space="preserve">article?</w:t>
      </w:r>
      <w:r>
        <w:t xml:space="preserve">)</w:t>
      </w:r>
      <w:r>
        <w:t xml:space="preserve">{Scott1994,</w:t>
      </w:r>
      <w:r>
        <w:t xml:space="preserve">”</w:t>
      </w:r>
      <w:r>
        <w:t xml:space="preserve">. Using the</w:t>
      </w:r>
      <w:r>
        <w:t xml:space="preserve"> </w:t>
      </w:r>
      <w:r>
        <w:t xml:space="preserve">“</w:t>
      </w:r>
      <w:r>
        <w:t xml:space="preserve">Source</w:t>
      </w:r>
      <w:r>
        <w:t xml:space="preserve">”</w:t>
      </w:r>
      <w:r>
        <w:t xml:space="preserve"> </w:t>
      </w:r>
      <w:r>
        <w:t xml:space="preserve">view in Rstudio, insert the reference in your text, by combining the</w:t>
      </w:r>
      <w:r>
        <w:t xml:space="preserve"> </w:t>
      </w:r>
      <w:r>
        <w:t xml:space="preserve">“</w:t>
      </w:r>
      <w:r>
        <w:t xml:space="preserve">at</w:t>
      </w:r>
      <w:r>
        <w:t xml:space="preserve">”</w:t>
      </w:r>
      <w:r>
        <w:t xml:space="preserve"> </w:t>
      </w:r>
      <w:r>
        <w:t xml:space="preserve">symbol with the portion of the unique identifer after the curly bracket:</w:t>
      </w:r>
      <w:r>
        <w:t xml:space="preserve"> </w:t>
      </w:r>
      <w:r>
        <w:t xml:space="preserve">Scott et al. (1994)</w:t>
      </w:r>
      <w:r>
        <w:t xml:space="preserve"> </w:t>
      </w:r>
      <w:r>
        <w:t xml:space="preserve">. You can put a citation in parentheses using square brackets:</w:t>
      </w:r>
      <w:r>
        <w:t xml:space="preserve"> </w:t>
      </w:r>
      <w:r>
        <w:t xml:space="preserve">(Scott et al. 1994)</w:t>
      </w:r>
      <w:r>
        <w:t xml:space="preserve">. This will be rendered as (Scott, 1994) in text. You can add mutiple authors works a single parenthetical citation by separating them with a semi-colon:</w:t>
      </w:r>
      <w:r>
        <w:t xml:space="preserve"> </w:t>
      </w:r>
      <w:r>
        <w:t xml:space="preserve">(Scott et al. 1994, 1994, 1994)</w:t>
      </w:r>
      <w:r>
        <w:t xml:space="preserve">. You can suppress the author and cite just the year by using a - symbol before the @ :</w:t>
      </w:r>
      <w:r>
        <w:t xml:space="preserve"> </w:t>
      </w:r>
      <w:r>
        <w:t xml:space="preserve">(1994)</w:t>
      </w:r>
      <w:r>
        <w:t xml:space="preserve">. Alternatively, from the</w:t>
      </w:r>
      <w:r>
        <w:t xml:space="preserve"> </w:t>
      </w:r>
      <w:r>
        <w:t xml:space="preserve">“</w:t>
      </w:r>
      <w:r>
        <w:t xml:space="preserve">Visual</w:t>
      </w:r>
      <w:r>
        <w:t xml:space="preserve">”</w:t>
      </w:r>
      <w:r>
        <w:t xml:space="preserve"> </w:t>
      </w:r>
      <w:r>
        <w:t xml:space="preserve">view in Rstudio, symply type the</w:t>
      </w:r>
      <w:r>
        <w:t xml:space="preserve"> </w:t>
      </w:r>
      <w:r>
        <w:t xml:space="preserve">“</w:t>
      </w:r>
      <w:r>
        <w:t xml:space="preserve">at</w:t>
      </w:r>
      <w:r>
        <w:t xml:space="preserve">”</w:t>
      </w:r>
      <w:r>
        <w:t xml:space="preserve"> </w:t>
      </w:r>
      <w:r>
        <w:t xml:space="preserve">symbol and select the citation you want to insert into the text. Regardless of the citation method, the full citation, properly formatted, will be included in a</w:t>
      </w:r>
      <w:r>
        <w:t xml:space="preserve"> </w:t>
      </w:r>
      <w:r>
        <w:t xml:space="preserve">“</w:t>
      </w:r>
      <w:r>
        <w:t xml:space="preserve">References</w:t>
      </w:r>
      <w:r>
        <w:t xml:space="preserve">”</w:t>
      </w:r>
      <w:r>
        <w:t xml:space="preserve"> </w:t>
      </w:r>
      <w:r>
        <w:t xml:space="preserve">section at the end of the rendered MS Word document.</w:t>
      </w:r>
    </w:p>
    <w:bookmarkEnd w:id="27"/>
    <w:bookmarkStart w:id="31" w:name="data-records-required"/>
    <w:p>
      <w:pPr>
        <w:pStyle w:val="Heading1"/>
      </w:pPr>
      <w:r>
        <w:t xml:space="preserve">Data Records (required)</w:t>
      </w:r>
    </w:p>
    <w:bookmarkStart w:id="28"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8"/>
    <w:bookmarkStart w:id="30"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w:t>
      </w:r>
      <w:r>
        <w:t xml:space="preserve"> </w:t>
      </w:r>
      <w:r>
        <w:rPr>
          <w:iCs/>
          <w:i/>
        </w:rPr>
        <w:t xml:space="preserve">Data Package Title</w:t>
      </w:r>
      <w:r>
        <w:t xml:space="preserve"> </w:t>
      </w:r>
      <w:r>
        <w:t xml:space="preserve">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jc w:val="start"/>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(2024-01-03).</w:t>
      </w:r>
    </w:p>
    <w:p>
      <w:pPr>
        <w:pStyle w:val="BodyText"/>
      </w:pPr>
      <w:r>
        <w:rPr>
          <w:iCs/>
          <w:i/>
        </w:rPr>
        <w:t xml:space="preserve">Required Table</w:t>
      </w:r>
    </w:p>
    <w:p>
      <w:pPr>
        <w:pStyle w:val="TableCaption"/>
      </w:pPr>
      <w:r>
        <w:rPr>
          <w:bCs/>
          <w:b/>
        </w:rPr>
        <w:t xml:space="preserve">Table 2: Description of data quality flags</w:t>
      </w:r>
    </w:p>
    <w:tbl>
      <w:tblPr>
        <w:tblStyle w:val="Table"/>
        <w:tblW w:type="auto" w:w="0"/>
        <w:tblLook w:firstRow="1" w:lastRow="0" w:firstColumn="0" w:lastColumn="0" w:noHBand="0" w:noVBand="0" w:val="0020"/>
        <w:jc w:val="start"/>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jc w:val="start"/>
        <w:tblCaption w:val="Table 3.1: Summary of data quality flags for the data package"/>
      </w:tblPr>
      <w:tblGrid>
        <w:gridCol w:w="1131"/>
        <w:gridCol w:w="1131"/>
        <w:gridCol w:w="1131"/>
        <w:gridCol w:w="1131"/>
        <w:gridCol w:w="1131"/>
        <w:gridCol w:w="1131"/>
        <w:gridCol w:w="1131"/>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jc w:val="start"/>
        <w:tblCaption w:val="Table 3.2: Summary of data quality flags for each data file within the data package"/>
      </w:tblPr>
      <w:tblGrid>
        <w:gridCol w:w="990"/>
        <w:gridCol w:w="990"/>
        <w:gridCol w:w="990"/>
        <w:gridCol w:w="990"/>
        <w:gridCol w:w="990"/>
        <w:gridCol w:w="990"/>
        <w:gridCol w:w="990"/>
        <w:gridCol w:w="990"/>
      </w:tblGrid>
      <w:tr>
        <w:trPr>
          <w:tblHeader w:val="true"/>
        </w:trPr>
        <w:tc>
          <w:tcPr/>
          <w:p>
            <w:pPr>
              <w:pStyle w:val="Compact"/>
              <w:jc w:val="left"/>
            </w:pPr>
            <w:r>
              <w:t xml:space="preserve">File Name</w:t>
            </w:r>
            <w:r>
              <w:rPr>
                <w:vertAlign w:val="superscript"/>
              </w:rPr>
              <w:t xml:space="preserve">1</w:t>
            </w:r>
          </w:p>
        </w:tc>
        <w:tc>
          <w:tcPr/>
          <w:p>
            <w:pPr>
              <w:pStyle w:val="Compact"/>
              <w:jc w:val="right"/>
            </w:pPr>
            <w:r>
              <w:t xml:space="preserve">A</w:t>
            </w:r>
            <w:r>
              <w:rPr>
                <w:vertAlign w:val="superscript"/>
              </w:rPr>
              <w:t xml:space="preserve">2</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r>
              <w:rPr>
                <w:vertAlign w:val="superscript"/>
              </w:rPr>
              <w:t xml:space="preserve">3</w:t>
            </w:r>
          </w:p>
        </w:tc>
        <w:tc>
          <w:tcPr/>
          <w:p>
            <w:pPr>
              <w:pStyle w:val="Compact"/>
              <w:jc w:val="right"/>
            </w:pPr>
            <w:r>
              <w:t xml:space="preserve">RRU (Mean)</w:t>
            </w:r>
            <w:r>
              <w:rPr>
                <w:vertAlign w:val="superscript"/>
              </w:rPr>
              <w:t xml:space="preserve">3,4</w:t>
            </w:r>
          </w:p>
        </w:tc>
        <w:tc>
          <w:tcPr/>
          <w:p>
            <w:pPr>
              <w:pStyle w:val="Compact"/>
              <w:jc w:val="right"/>
            </w:pPr>
            <w:r>
              <w:t xml:space="preserve">RRU (SD)</w:t>
            </w:r>
            <w:r>
              <w:rPr>
                <w:vertAlign w:val="superscript"/>
              </w:rPr>
              <w:t xml:space="preserve">4,5</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Means are geometric means.</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r>
        <w:t xml:space="preserve"> </w:t>
      </w:r>
      <w:r>
        <w:rPr>
          <w:vertAlign w:val="superscript"/>
        </w:rPr>
        <w:t xml:space="preserve">5</w:t>
      </w:r>
      <w:r>
        <w:t xml:space="preserve"> </w:t>
      </w:r>
      <w:r>
        <w:t xml:space="preserve">SD is standard deviation.</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jc w:val="start"/>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r>
              <w:rPr>
                <w:vertAlign w:val="superscript"/>
              </w:rPr>
              <w:t xml:space="preserve">1</w:t>
            </w:r>
          </w:p>
        </w:tc>
        <w:tc>
          <w:tcPr/>
          <w:p>
            <w:pPr>
              <w:pStyle w:val="Compact"/>
              <w:jc w:val="left"/>
            </w:pPr>
            <w:r>
              <w:t xml:space="preserve">Colum</w:t>
            </w:r>
            <w:r>
              <w:rPr>
                <w:vertAlign w:val="superscript"/>
              </w:rPr>
              <w:t xml:space="preserve">2</w:t>
            </w:r>
          </w:p>
        </w:tc>
        <w:tc>
          <w:tcPr/>
          <w:p>
            <w:pPr>
              <w:pStyle w:val="Compact"/>
              <w:jc w:val="right"/>
            </w:pPr>
            <w:r>
              <w:t xml:space="preserve">A</w:t>
            </w:r>
            <w:r>
              <w:rPr>
                <w:vertAlign w:val="superscript"/>
              </w:rPr>
              <w:t xml:space="preserve">3</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 Missing</w:t>
            </w:r>
          </w:p>
        </w:tc>
        <w:tc>
          <w:tcPr/>
          <w:p>
            <w:pPr>
              <w:pStyle w:val="Compact"/>
              <w:jc w:val="right"/>
            </w:pPr>
            <w:r>
              <w:t xml:space="preserve">RRU</w:t>
            </w:r>
            <w:r>
              <w:rPr>
                <w:vertAlign w:val="superscript"/>
              </w:rPr>
              <w:t xml:space="preserve">4</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The ’_flag’ suffix has been omitted from column names for brevity.</w:t>
      </w:r>
      <w:r>
        <w:t xml:space="preserve"> </w:t>
      </w:r>
      <w:r>
        <w:rPr>
          <w:vertAlign w:val="superscript"/>
        </w:rPr>
        <w:t xml:space="preserve">3</w:t>
      </w:r>
      <w:r>
        <w:t xml:space="preserve"> </w:t>
      </w:r>
      <w:r>
        <w:t xml:space="preserve">All non-missing data in specified unflagged columns are considered accepted.</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p>
    <w:p>
      <w:pPr>
        <w:pStyle w:val="BodyText"/>
      </w:pPr>
      <w:r>
        <w:t xml:space="preserve">Unweighted Response Rates (RRU) is calculated as number of accepted (A and AE) data values divided by the total number of values (not including missing values). Note that all unflagged values are considered accepted. Means are geometric, SD is standard deviation.</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3"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4">
        <w:r>
          <w:rPr>
            <w:rStyle w:val="Hyperlink"/>
          </w:rPr>
          <w:t xml:space="preserve">Chicago Manual of Style author-date format</w:t>
        </w:r>
      </w:hyperlink>
      <w:r>
        <w:t xml:space="preserve"> </w:t>
      </w:r>
      <w:r>
        <w:t xml:space="preserve">in text. See the</w:t>
      </w:r>
      <w:r>
        <w:t xml:space="preserve"> </w:t>
      </w:r>
      <w:hyperlink r:id="rId35">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7" name="Picture"/>
            <a:graphic>
              <a:graphicData uri="http://schemas.openxmlformats.org/drawingml/2006/picture">
                <pic:pic>
                  <pic:nvPicPr>
                    <pic:cNvPr descr="vignettes/common/ProcessingWorkflow.png" id="38"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9"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9"/>
    <w:bookmarkStart w:id="40"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40"/>
    <w:bookmarkStart w:id="41"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1"/>
    <w:bookmarkStart w:id="42"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2"/>
    <w:bookmarkEnd w:id="43"/>
    <w:bookmarkStart w:id="70"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4">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 Keep the following line of code if you would like to automate generating and formatting references:</w:t>
      </w:r>
    </w:p>
    <w:bookmarkStart w:id="46" w:name="refs"/>
    <w:bookmarkStart w:id="45" w:name="ref-Scott1994"/>
    <w:p>
      <w:pPr>
        <w:pStyle w:val="Bibliography"/>
      </w:pPr>
      <w:r>
        <w:t xml:space="preserve">Scott, N., M. Crump, B. Zimmerman, R. Jaeger, R. Inger, P. Corn, B. Woodward, C. Dodd, D. Scott, H. Shaffer, and others. 1994. EXAMPLE CITATION: Standard techniques for inventory and monitoring. Measuring and monitoring biological diversity: Standard methods for amphibians.</w:t>
      </w:r>
    </w:p>
    <w:bookmarkEnd w:id="45"/>
    <w:bookmarkEnd w:id="46"/>
    <w:p>
      <w:pPr>
        <w:pStyle w:val="BodyText"/>
      </w:pPr>
      <w:r>
        <w:t xml:space="preserve">If you would like to manually format your references, delete the preceding two lines and use the following examples instead: 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7"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7"/>
    <w:bookmarkStart w:id="50"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8">
        <w:r>
          <w:rPr>
            <w:rStyle w:val="Hyperlink"/>
          </w:rPr>
          <w:t xml:space="preserve">https://doi.org/10.2307/2265717</w:t>
        </w:r>
      </w:hyperlink>
    </w:p>
    <w:p>
      <w:pPr>
        <w:pStyle w:val="BodyText"/>
      </w:pPr>
      <w:r>
        <w:t xml:space="preserve">Oakley, K. L., L. P. Thomas, and S. G. Fancy. 2003. Guidelines for long-term monitoring protocols. Wildlife Society Bulletin 31(4):1000–1003.</w:t>
      </w:r>
    </w:p>
    <w:p>
      <w:pPr>
        <w:pStyle w:val="BodyText"/>
      </w:pPr>
      <w:r>
        <w:t xml:space="preserve">Sawaya, M. A., T. K. Ruth, S. Creel, J. J. Rotella, J. B. Stetz, H. B. Quigley, and S. T. Kalinowski. 2011. Evaluation of noninvasive genetic sampling methods for cougars in Yellowstone National Park. The Journal of Wildlife Management 75(3):612–622.</w:t>
      </w:r>
      <w:r>
        <w:t xml:space="preserve"> </w:t>
      </w:r>
      <w:hyperlink r:id="rId49">
        <w:r>
          <w:rPr>
            <w:rStyle w:val="Hyperlink"/>
          </w:rPr>
          <w:t xml:space="preserve">https://doi.org/10.1002/jwmg.92</w:t>
        </w:r>
      </w:hyperlink>
    </w:p>
    <w:bookmarkEnd w:id="50"/>
    <w:bookmarkStart w:id="51"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51"/>
    <w:bookmarkStart w:id="52"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2"/>
    <w:bookmarkStart w:id="55"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3">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4">
        <w:r>
          <w:rPr>
            <w:rStyle w:val="Hyperlink"/>
          </w:rPr>
          <w:t xml:space="preserve">https://doi.org/10.3133/ofr915</w:t>
        </w:r>
      </w:hyperlink>
    </w:p>
    <w:bookmarkEnd w:id="55"/>
    <w:bookmarkStart w:id="56"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6"/>
    <w:bookmarkStart w:id="57" w:name="thesisdissertation-examples"/>
    <w:p>
      <w:pPr>
        <w:pStyle w:val="Heading3"/>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7"/>
    <w:bookmarkStart w:id="58"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8"/>
    <w:bookmarkStart w:id="63"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9">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60">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61">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62">
        <w:r>
          <w:rPr>
            <w:rStyle w:val="Hyperlink"/>
          </w:rPr>
          <w:t xml:space="preserve">http://www.fws.gov/endangered/</w:t>
        </w:r>
      </w:hyperlink>
      <w:r>
        <w:t xml:space="preserve"> </w:t>
      </w:r>
      <w:r>
        <w:t xml:space="preserve">(accessed 07 March 2016).</w:t>
      </w:r>
    </w:p>
    <w:bookmarkEnd w:id="63"/>
    <w:bookmarkStart w:id="69"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4">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5">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6">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7">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8">
        <w:r>
          <w:rPr>
            <w:rStyle w:val="Hyperlink"/>
          </w:rPr>
          <w:t xml:space="preserve">https://aquatic.biodata.usgs.gov/</w:t>
        </w:r>
      </w:hyperlink>
      <w:r>
        <w:t xml:space="preserve"> </w:t>
      </w:r>
      <w:r>
        <w:t xml:space="preserve">(accessed 07 March 2016).</w:t>
      </w:r>
    </w:p>
    <w:bookmarkEnd w:id="69"/>
    <w:bookmarkEnd w:id="70"/>
    <w:bookmarkStart w:id="71"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71"/>
    <w:bookmarkStart w:id="74"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br/>
      </w:r>
      <w:r>
        <w:rPr>
          <w:rStyle w:val="NormalTok"/>
        </w:rPr>
        <w:t xml:space="preserve">  )</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[[2]]</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[[3]]</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[[4]]</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[[5]]</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[[6]]</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[[7]]</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      </w:t>
      </w:r>
      <w:r>
        <w:br/>
      </w:r>
      <w:r>
        <w:rPr>
          <w:rStyle w:val="VerbatimChar"/>
        </w:rPr>
        <w:t xml:space="preserve">## </w:t>
      </w:r>
      <w:r>
        <w:br/>
      </w:r>
      <w:r>
        <w:rPr>
          <w:rStyle w:val="VerbatimChar"/>
        </w:rPr>
        <w:t xml:space="preserve">## [[8]]</w:t>
      </w:r>
      <w:r>
        <w:br/>
      </w:r>
      <w:r>
        <w:rPr>
          <w:rStyle w:val="VerbatimChar"/>
        </w:rPr>
        <w:t xml:space="preserve">##  [1] "QCkit"      "lubridate"  "forcats"    "stringr"    "dplyr"     </w:t>
      </w:r>
      <w:r>
        <w:br/>
      </w:r>
      <w:r>
        <w:rPr>
          <w:rStyle w:val="VerbatimChar"/>
        </w:rPr>
        <w:t xml:space="preserve">##  [6] "purrr"      "readr"      "tidyr"      "tibble"     "ggplot2"   </w:t>
      </w:r>
      <w:r>
        <w:br/>
      </w:r>
      <w:r>
        <w:rPr>
          <w:rStyle w:val="VerbatimChar"/>
        </w:rPr>
        <w:t xml:space="preserve">## [11] "tidyverse"  "devtools"   "usethis"    "kableExtra" "yaml"      </w:t>
      </w:r>
      <w:r>
        <w:br/>
      </w:r>
      <w:r>
        <w:rPr>
          <w:rStyle w:val="VerbatimChar"/>
        </w:rPr>
        <w:t xml:space="preserve">## [16] "knitr"      "pander"     "rmarkdown"  "markdown"   "stats"     </w:t>
      </w:r>
      <w:r>
        <w:br/>
      </w:r>
      <w:r>
        <w:rPr>
          <w:rStyle w:val="VerbatimChar"/>
        </w:rPr>
        <w:t xml:space="preserve">## [21] "graphics"   "grDevices"  "utils"      "datasets"   "methods"   </w:t>
      </w:r>
      <w:r>
        <w:br/>
      </w:r>
      <w:r>
        <w:rPr>
          <w:rStyle w:val="VerbatimChar"/>
        </w:rPr>
        <w:t xml:space="preserve">## [26]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(930652d3)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rPr>
          <w:rStyle w:val="CommentTok"/>
        </w:rPr>
        <w:t xml:space="preserve">#cat("#### ", unique_authors$authorNames, "^1^", sep="")</w:t>
      </w:r>
      <w:r>
        <w:br/>
      </w:r>
      <w:r>
        <w:rPr>
          <w:rStyle w:val="NormalTok"/>
        </w:rPr>
        <w:t xml:space="preserve">  </w:t>
      </w:r>
      <w:r>
        <w:rPr>
          <w:rStyle w:val="CommentTok"/>
        </w:rPr>
        <w:t xml:space="preserve">#if(!is.na(authorORCID)){</w:t>
      </w:r>
      <w:r>
        <w:br/>
      </w:r>
      <w:r>
        <w:rPr>
          <w:rStyle w:val="NormalTok"/>
        </w:rPr>
        <w:t xml:space="preserve">  </w:t>
      </w:r>
      <w:r>
        <w:rPr>
          <w:rStyle w:val="CommentTok"/>
        </w:rPr>
        <w:t xml:space="preserve">#  orc &lt;- paste0(" https://orcid.org/", unique_authors$authorORCID)</w:t>
      </w:r>
      <w:r>
        <w:br/>
      </w:r>
      <w:r>
        <w:rPr>
          <w:rStyle w:val="NormalTok"/>
        </w:rPr>
        <w:t xml:space="preserve">  </w:t>
      </w:r>
      <w:r>
        <w:rPr>
          <w:rStyle w:val="CommentTok"/>
        </w:rPr>
        <w:t xml:space="preserve">#  cat({{ orc }}, "\n")</w:t>
      </w:r>
      <w:r>
        <w:br/>
      </w:r>
      <w:r>
        <w:rPr>
          <w:rStyle w:val="NormalTok"/>
        </w:rPr>
        <w:t xml:space="preserve">  </w:t>
      </w:r>
      <w:r>
        <w:rPr>
          <w:rStyle w:val="CommentTok"/>
        </w:rPr>
        <w:t xml:space="preserve">#}</w:t>
      </w:r>
      <w:r>
        <w:br/>
      </w:r>
      <w:r>
        <w:rPr>
          <w:rStyle w:val="NormalTok"/>
        </w:rPr>
        <w:t xml:space="preserve">  </w:t>
      </w:r>
      <w:r>
        <w:rPr>
          <w:rStyle w:val="CommentTok"/>
        </w:rPr>
        <w:t xml:space="preserve">#cat("#### ", unique_authors$authorAffiliations, sep="")</w:t>
      </w:r>
      <w:r>
        <w:br/>
      </w:r>
      <w:r>
        <w:rPr>
          <w:rStyle w:val="NormalTok"/>
        </w:rPr>
        <w:t xml:space="preserve">}</w:t>
      </w:r>
      <w:r>
        <w:br/>
      </w:r>
      <w:r>
        <w:rPr>
          <w:rStyle w:val="NormalTok"/>
        </w:rPr>
        <w:t xml:space="preserve">  </w:t>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 script,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Doe^1,2^ https://orcid.org/0000-1111-2222-3333 and John Doe^2^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Monitory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jc w:val="start"/>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#Generates a table with definitions for the data flags, A, AE, P, or R. Honestly not super useful and can probably be turned off (set eval=FALSE) if these are defined elsewhere in text.</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 "</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"NA"</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w:t>
      </w:r>
      <w:r>
        <w:rPr>
          <w:rStyle w:val="StringTok"/>
        </w:rPr>
        <w:t xml:space="preserve">" "</w:t>
      </w:r>
      <w:r>
        <w:rPr>
          <w:rStyle w:val="NormalTok"/>
        </w:rPr>
        <w:t xml:space="preserve">, </w:t>
      </w:r>
      <w:r>
        <w:rPr>
          <w:rStyle w:val="StringTok"/>
        </w:rPr>
        <w:t xml:space="preserve">"Accepted, estimated"</w:t>
      </w:r>
      <w:r>
        <w:rPr>
          <w:rStyle w:val="NormalTok"/>
        </w:rPr>
        <w:t xml:space="preserve">, </w:t>
      </w:r>
      <w:r>
        <w:rPr>
          <w:rStyle w:val="StringTok"/>
        </w:rPr>
        <w:t xml:space="preserve">"Provisional"</w:t>
      </w:r>
      <w:r>
        <w:rPr>
          <w:rStyle w:val="NormalTok"/>
        </w:rPr>
        <w:t xml:space="preserve">, </w:t>
      </w:r>
      <w:r>
        <w:rPr>
          <w:rStyle w:val="StringTok"/>
        </w:rPr>
        <w:t xml:space="preserve">"Rejected"</w:t>
      </w:r>
      <w:r>
        <w:rPr>
          <w:rStyle w:val="NormalTok"/>
        </w:rPr>
        <w:t xml:space="preserve">, </w:t>
      </w:r>
      <w:r>
        <w:rPr>
          <w:rStyle w:val="StringTok"/>
        </w:rPr>
        <w:t xml:space="preserve">"Missing"</w:t>
      </w:r>
      <w:r>
        <w:rPr>
          <w:rStyle w:val="NormalTok"/>
        </w:rPr>
        <w:t xml:space="preserve">)</w:t>
      </w:r>
      <w:r>
        <w:br/>
      </w:r>
      <w:r>
        <w:rPr>
          <w:rStyle w:val="NormalTok"/>
        </w:rPr>
        <w:t xml:space="preserve">app</w:t>
      </w:r>
      <w:r>
        <w:rPr>
          <w:rStyle w:val="OtherTok"/>
        </w:rPr>
        <w:t xml:space="preserve">&lt;-</w:t>
      </w:r>
      <w:r>
        <w:rPr>
          <w:rStyle w:val="FunctionTok"/>
        </w:rPr>
        <w:t xml:space="preserve">c</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StringTok"/>
        </w:rPr>
        <w:t xml:space="preserve">"unflagged data"</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 </w:t>
      </w:r>
      <w:r>
        <w:rPr>
          <w:rStyle w:val="StringTok"/>
        </w:rPr>
        <w:t xml:space="preserve">"All data"</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"**Table 2: 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Table 2: Description of data quality flags</w:t>
      </w:r>
    </w:p>
    <w:tbl>
      <w:tblPr>
        <w:tblStyle w:val="Table"/>
        <w:tblW w:type="auto" w:w="0"/>
        <w:tblLook w:firstRow="1" w:lastRow="0" w:firstColumn="0" w:lastColumn="0" w:noHBand="0" w:noVBand="0" w:val="0020"/>
        <w:jc w:val="start"/>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Pr>
        <w:pStyle w:val="SourceCode"/>
      </w:pPr>
      <w:r>
        <w:rPr>
          <w:rStyle w:val="CommentTok"/>
        </w:rPr>
        <w:t xml:space="preserve"># To turn off, set eval=FALSE.</w:t>
      </w:r>
      <w:r>
        <w:br/>
      </w:r>
      <w:r>
        <w:rPr>
          <w:rStyle w:val="CommentTok"/>
        </w:rPr>
        <w:t xml:space="preserve"># Generates a table with a single row summarizing data quality across all flagged columns of the entire data package. To add additional non-flagged columns, specify them with column names: cols=("my_unflagged_data1", "my_unflagged_data2)" or column numbers: cols=c(1:4). All non-missing data in unflagged columns is assumed accepted. </w:t>
      </w:r>
      <w:r>
        <w:br/>
      </w:r>
      <w:r>
        <w:br/>
      </w: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"package"</w:t>
      </w:r>
      <w:r>
        <w:rPr>
          <w:rStyle w:val="NormalTok"/>
        </w:rPr>
        <w:t xml:space="preserve">)</w:t>
      </w:r>
      <w:r>
        <w:br/>
      </w:r>
      <w:r>
        <w:br/>
      </w:r>
      <w:r>
        <w:rPr>
          <w:rStyle w:val="CommentTok"/>
        </w:rPr>
        <w:t xml:space="preserve">#generate table:</w:t>
      </w:r>
      <w:r>
        <w:br/>
      </w:r>
      <w:r>
        <w:rPr>
          <w:rStyle w:val="NormalTok"/>
        </w:rPr>
        <w:t xml:space="preserve">kableExtra</w:t>
      </w:r>
      <w:r>
        <w:rPr>
          <w:rStyle w:val="SpecialCharTok"/>
        </w:rPr>
        <w:t xml:space="preserve">::</w:t>
      </w:r>
      <w:r>
        <w:rPr>
          <w:rStyle w:val="FunctionTok"/>
        </w:rPr>
        <w:t xml:space="preserve">kbl</w:t>
      </w:r>
      <w:r>
        <w:rPr>
          <w:rStyle w:val="NormalTok"/>
        </w:rPr>
        <w:t xml:space="preserve">(dp_flags, </w:t>
      </w:r>
      <w:r>
        <w:rPr>
          <w:rStyle w:val="AttributeTok"/>
        </w:rPr>
        <w:t xml:space="preserve">caption =</w:t>
      </w:r>
      <w:r>
        <w:rPr>
          <w:rStyle w:val="NormalTok"/>
        </w:rPr>
        <w:t xml:space="preserve"> </w:t>
      </w:r>
      <w:r>
        <w:rPr>
          <w:rStyle w:val="StringTok"/>
        </w:rPr>
        <w:t xml:space="preserve">'**Table 3.1: 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 Missing (Mean)"</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jc w:val="start"/>
        <w:tblCaption w:val="Table 3.1: Summary of data quality flags for the data package"/>
      </w:tblPr>
      <w:tblGrid>
        <w:gridCol w:w="1131"/>
        <w:gridCol w:w="1131"/>
        <w:gridCol w:w="1131"/>
        <w:gridCol w:w="1131"/>
        <w:gridCol w:w="1131"/>
        <w:gridCol w:w="1131"/>
        <w:gridCol w:w="1131"/>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rPr>
          <w:rStyle w:val="NormalTok"/>
        </w:rPr>
        <w:t xml:space="preserve">df_flags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df_flags</w:t>
      </w:r>
      <w:r>
        <w:rPr>
          <w:rStyle w:val="SpecialCharTok"/>
        </w:rPr>
        <w:t xml:space="preserve">$</w:t>
      </w:r>
      <w:r>
        <w:rPr>
          <w:rStyle w:val="NormalTok"/>
        </w:rPr>
        <w:t xml:space="preserve">filename)</w:t>
      </w:r>
      <w:r>
        <w:br/>
      </w:r>
      <w:r>
        <w:rPr>
          <w:rStyle w:val="FunctionTok"/>
        </w:rPr>
        <w:t xml:space="preserve">colnames</w:t>
      </w:r>
      <w:r>
        <w:rPr>
          <w:rStyle w:val="NormalTok"/>
        </w:rPr>
        <w:t xml:space="preserve">(df_flags)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 Missing (Mean)"</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w:t>
      </w:r>
      <w:r>
        <w:br/>
      </w:r>
      <w:r>
        <w:rPr>
          <w:rStyle w:val="FunctionTok"/>
        </w:rPr>
        <w:t xml:space="preserve">colnames</w:t>
      </w:r>
      <w:r>
        <w:rPr>
          <w:rStyle w:val="NormalTok"/>
        </w:rPr>
        <w:t xml:space="preserve">(df_flags)[</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"File Name"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(df_flags)[</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(df_flags)[</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Missing (Mean)"</w:t>
      </w:r>
      <w:r>
        <w:rPr>
          <w:rStyle w:val="NormalTok"/>
        </w:rPr>
        <w:t xml:space="preserve">, </w:t>
      </w:r>
      <w:r>
        <w:rPr>
          <w:rStyle w:val="StringTok"/>
        </w:rPr>
        <w:t xml:space="preserve">"^3^"</w:t>
      </w:r>
      <w:r>
        <w:rPr>
          <w:rStyle w:val="NormalTok"/>
        </w:rPr>
        <w:t xml:space="preserve">)</w:t>
      </w:r>
      <w:r>
        <w:br/>
      </w:r>
      <w:r>
        <w:rPr>
          <w:rStyle w:val="FunctionTok"/>
        </w:rPr>
        <w:t xml:space="preserve">colnames</w:t>
      </w:r>
      <w:r>
        <w:rPr>
          <w:rStyle w:val="NormalTok"/>
        </w:rPr>
        <w:t xml:space="preserve">(df_flags)[</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"RRU (Mean)"</w:t>
      </w:r>
      <w:r>
        <w:rPr>
          <w:rStyle w:val="NormalTok"/>
        </w:rPr>
        <w:t xml:space="preserve">, </w:t>
      </w:r>
      <w:r>
        <w:rPr>
          <w:rStyle w:val="StringTok"/>
        </w:rPr>
        <w:t xml:space="preserve">"^3,4^"</w:t>
      </w:r>
      <w:r>
        <w:rPr>
          <w:rStyle w:val="NormalTok"/>
        </w:rPr>
        <w:t xml:space="preserve">)</w:t>
      </w:r>
      <w:r>
        <w:br/>
      </w:r>
      <w:r>
        <w:rPr>
          <w:rStyle w:val="FunctionTok"/>
        </w:rPr>
        <w:t xml:space="preserve">colnames</w:t>
      </w:r>
      <w:r>
        <w:rPr>
          <w:rStyle w:val="NormalTok"/>
        </w:rPr>
        <w:t xml:space="preserve">(df_flags)[</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"RRU (SD)"</w:t>
      </w:r>
      <w:r>
        <w:rPr>
          <w:rStyle w:val="NormalTok"/>
        </w:rPr>
        <w:t xml:space="preserve">, </w:t>
      </w:r>
      <w:r>
        <w:rPr>
          <w:rStyle w:val="StringTok"/>
        </w:rPr>
        <w:t xml:space="preserve">"^4,5^"</w:t>
      </w:r>
      <w:r>
        <w:rPr>
          <w:rStyle w:val="NormalTok"/>
        </w:rPr>
        <w:t xml:space="preserve">)</w:t>
      </w:r>
      <w:r>
        <w:br/>
      </w:r>
      <w:r>
        <w:br/>
      </w:r>
      <w:r>
        <w:rPr>
          <w:rStyle w:val="CommentTok"/>
        </w:rPr>
        <w:t xml:space="preserve">#Generate the table</w:t>
      </w:r>
      <w:r>
        <w:br/>
      </w:r>
      <w:r>
        <w:rPr>
          <w:rStyle w:val="NormalTok"/>
        </w:rPr>
        <w:t xml:space="preserve">kableExtra</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'**Table 3.2: Summary of data quality flags for each data file within the data package**'</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kableExtra</w:t>
      </w:r>
      <w:r>
        <w:rPr>
          <w:rStyle w:val="SpecialCharTok"/>
        </w:rPr>
        <w:t xml:space="preserve">::</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"NAs for a given fi(le indicates no quality controlled data were found."</w:t>
      </w:r>
      <w:r>
        <w:rPr>
          <w:rStyle w:val="NormalTok"/>
        </w:rPr>
        <w:t xml:space="preserve">,</w:t>
      </w:r>
      <w:r>
        <w:br/>
      </w:r>
      <w:r>
        <w:rPr>
          <w:rStyle w:val="NormalTok"/>
        </w:rPr>
        <w:t xml:space="preserve">               </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"Means are geometric means."</w:t>
      </w:r>
      <w:r>
        <w:rPr>
          <w:rStyle w:val="NormalTok"/>
        </w:rPr>
        <w:t xml:space="preserve">,</w:t>
      </w:r>
      <w:r>
        <w:br/>
      </w:r>
      <w:r>
        <w:rPr>
          <w:rStyle w:val="NormalTok"/>
        </w:rPr>
        <w:t xml:space="preserve">               </w:t>
      </w:r>
      <w:r>
        <w:rPr>
          <w:rStyle w:val="StringTok"/>
        </w:rPr>
        <w:t xml:space="preserve">"RRU (unweighted relative response) is calculated as the number of accepted (where A and AE are both considered accepted) divided by the total number of observations plus the number of missing observations."</w:t>
      </w:r>
      <w:r>
        <w:rPr>
          <w:rStyle w:val="NormalTok"/>
        </w:rPr>
        <w:t xml:space="preserve">, </w:t>
      </w:r>
      <w:r>
        <w:br/>
      </w:r>
      <w:r>
        <w:rPr>
          <w:rStyle w:val="NormalTok"/>
        </w:rPr>
        <w:t xml:space="preserve">               </w:t>
      </w:r>
      <w:r>
        <w:rPr>
          <w:rStyle w:val="StringTok"/>
        </w:rPr>
        <w:t xml:space="preserve">"SD is standard deviation."</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w:t>
      </w:r>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jc w:val="start"/>
        <w:tblCaption w:val="Table 3.2: Summary of data quality flags for each data file within the data package"/>
      </w:tblPr>
      <w:tblGrid>
        <w:gridCol w:w="990"/>
        <w:gridCol w:w="990"/>
        <w:gridCol w:w="990"/>
        <w:gridCol w:w="990"/>
        <w:gridCol w:w="990"/>
        <w:gridCol w:w="990"/>
        <w:gridCol w:w="990"/>
        <w:gridCol w:w="990"/>
      </w:tblGrid>
      <w:tr>
        <w:trPr>
          <w:tblHeader w:val="true"/>
        </w:trPr>
        <w:tc>
          <w:tcPr/>
          <w:p>
            <w:pPr>
              <w:pStyle w:val="Compact"/>
              <w:jc w:val="left"/>
            </w:pPr>
            <w:r>
              <w:t xml:space="preserve">File Name</w:t>
            </w:r>
            <w:r>
              <w:rPr>
                <w:vertAlign w:val="superscript"/>
              </w:rPr>
              <w:t xml:space="preserve">1</w:t>
            </w:r>
          </w:p>
        </w:tc>
        <w:tc>
          <w:tcPr/>
          <w:p>
            <w:pPr>
              <w:pStyle w:val="Compact"/>
              <w:jc w:val="right"/>
            </w:pPr>
            <w:r>
              <w:t xml:space="preserve">A</w:t>
            </w:r>
            <w:r>
              <w:rPr>
                <w:vertAlign w:val="superscript"/>
              </w:rPr>
              <w:t xml:space="preserve">2</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 Missing (Mean)</w:t>
            </w:r>
            <w:r>
              <w:rPr>
                <w:vertAlign w:val="superscript"/>
              </w:rPr>
              <w:t xml:space="preserve">3</w:t>
            </w:r>
          </w:p>
        </w:tc>
        <w:tc>
          <w:tcPr/>
          <w:p>
            <w:pPr>
              <w:pStyle w:val="Compact"/>
              <w:jc w:val="right"/>
            </w:pPr>
            <w:r>
              <w:t xml:space="preserve">RRU (Mean)</w:t>
            </w:r>
            <w:r>
              <w:rPr>
                <w:vertAlign w:val="superscript"/>
              </w:rPr>
              <w:t xml:space="preserve">3,4</w:t>
            </w:r>
          </w:p>
        </w:tc>
        <w:tc>
          <w:tcPr/>
          <w:p>
            <w:pPr>
              <w:pStyle w:val="Compact"/>
              <w:jc w:val="right"/>
            </w:pPr>
            <w:r>
              <w:t xml:space="preserve">RRU (SD)</w:t>
            </w:r>
            <w:r>
              <w:rPr>
                <w:vertAlign w:val="superscript"/>
              </w:rPr>
              <w:t xml:space="preserve">4,5</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All non-missing data in specified unflagged columns are considered accepted.</w:t>
      </w:r>
      <w:r>
        <w:t xml:space="preserve"> </w:t>
      </w:r>
      <w:r>
        <w:rPr>
          <w:vertAlign w:val="superscript"/>
        </w:rPr>
        <w:t xml:space="preserve">3</w:t>
      </w:r>
      <w:r>
        <w:t xml:space="preserve"> </w:t>
      </w:r>
      <w:r>
        <w:t xml:space="preserve">Means are geometric means.</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r>
        <w:t xml:space="preserve"> </w:t>
      </w:r>
      <w:r>
        <w:rPr>
          <w:vertAlign w:val="superscript"/>
        </w:rPr>
        <w:t xml:space="preserve">5</w:t>
      </w:r>
      <w:r>
        <w:t xml:space="preserve"> </w:t>
      </w:r>
      <w:r>
        <w:t xml:space="preserve">SD is standard deviation.</w:t>
      </w:r>
    </w:p>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rPr>
          <w:rStyle w:val="NormalTok"/>
        </w:rPr>
        <w:t xml:space="preserve">dc_flags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filename)</w:t>
      </w:r>
      <w:r>
        <w:br/>
      </w:r>
      <w:r>
        <w:rPr>
          <w:rStyle w:val="NormalTok"/>
        </w:rPr>
        <w:t xml:space="preserve">dc_flags</w:t>
      </w:r>
      <w:r>
        <w:rPr>
          <w:rStyle w:val="SpecialCharTok"/>
        </w:rPr>
        <w:t xml:space="preserve">$</w:t>
      </w:r>
      <w:r>
        <w:rPr>
          <w:rStyle w:val="NormalTok"/>
        </w:rPr>
        <w:t xml:space="preserve">column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"_flag"</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column)</w:t>
      </w:r>
      <w:r>
        <w:br/>
      </w:r>
      <w:r>
        <w:rPr>
          <w:rStyle w:val="FunctionTok"/>
        </w:rPr>
        <w:t xml:space="preserve">colnames</w:t>
      </w:r>
      <w:r>
        <w:rPr>
          <w:rStyle w:val="NormalTok"/>
        </w:rPr>
        <w:t xml:space="preserve">(dc_flags)</w:t>
      </w:r>
      <w:r>
        <w:rPr>
          <w:rStyle w:val="OtherTok"/>
        </w:rPr>
        <w:t xml:space="preserve">&lt;-</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 Missing"</w:t>
      </w:r>
      <w:r>
        <w:rPr>
          <w:rStyle w:val="NormalTok"/>
        </w:rPr>
        <w:t xml:space="preserve">, </w:t>
      </w:r>
      <w:r>
        <w:rPr>
          <w:rStyle w:val="StringTok"/>
        </w:rPr>
        <w:t xml:space="preserve">"RRU"</w:t>
      </w:r>
      <w:r>
        <w:rPr>
          <w:rStyle w:val="NormalTok"/>
        </w:rPr>
        <w:t xml:space="preserve">)</w:t>
      </w:r>
      <w:r>
        <w:br/>
      </w:r>
      <w:r>
        <w:rPr>
          <w:rStyle w:val="FunctionTok"/>
        </w:rPr>
        <w:t xml:space="preserve">colnames</w:t>
      </w:r>
      <w:r>
        <w:rPr>
          <w:rStyle w:val="NormalTok"/>
        </w:rPr>
        <w:t xml:space="preserve">(dc_flags)[</w:t>
      </w:r>
      <w:r>
        <w:rPr>
          <w:rStyle w:val="DecValTok"/>
        </w:rPr>
        <w:t xml:space="preserve">1</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"File Name"</w:t>
      </w:r>
      <w:r>
        <w:rPr>
          <w:rStyle w:val="NormalTok"/>
        </w:rPr>
        <w:t xml:space="preserve">, </w:t>
      </w:r>
      <w:r>
        <w:rPr>
          <w:rStyle w:val="StringTok"/>
        </w:rPr>
        <w:t xml:space="preserve">"^1^"</w:t>
      </w:r>
      <w:r>
        <w:rPr>
          <w:rStyle w:val="NormalTok"/>
        </w:rPr>
        <w:t xml:space="preserve">)</w:t>
      </w:r>
      <w:r>
        <w:br/>
      </w:r>
      <w:r>
        <w:rPr>
          <w:rStyle w:val="FunctionTok"/>
        </w:rPr>
        <w:t xml:space="preserve">colnames</w:t>
      </w:r>
      <w:r>
        <w:rPr>
          <w:rStyle w:val="NormalTok"/>
        </w:rPr>
        <w:t xml:space="preserve">(dc_flags)[</w:t>
      </w:r>
      <w:r>
        <w:rPr>
          <w:rStyle w:val="DecValTok"/>
        </w:rPr>
        <w:t xml:space="preserve">2</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"Colum"</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(dc_flags)[</w:t>
      </w:r>
      <w:r>
        <w:rPr>
          <w:rStyle w:val="DecValTok"/>
        </w:rPr>
        <w:t xml:space="preserve">3</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"A"</w:t>
      </w:r>
      <w:r>
        <w:rPr>
          <w:rStyle w:val="NormalTok"/>
        </w:rPr>
        <w:t xml:space="preserve">, </w:t>
      </w:r>
      <w:r>
        <w:rPr>
          <w:rStyle w:val="StringTok"/>
        </w:rPr>
        <w:t xml:space="preserve">"^3^"</w:t>
      </w:r>
      <w:r>
        <w:rPr>
          <w:rStyle w:val="NormalTok"/>
        </w:rPr>
        <w:t xml:space="preserve">)</w:t>
      </w:r>
      <w:r>
        <w:br/>
      </w:r>
      <w:r>
        <w:rPr>
          <w:rStyle w:val="FunctionTok"/>
        </w:rPr>
        <w:t xml:space="preserve">colnames</w:t>
      </w:r>
      <w:r>
        <w:rPr>
          <w:rStyle w:val="NormalTok"/>
        </w:rPr>
        <w:t xml:space="preserve">(dc_flags)[</w:t>
      </w:r>
      <w:r>
        <w:rPr>
          <w:rStyle w:val="DecValTok"/>
        </w:rPr>
        <w:t xml:space="preserve">9</w:t>
      </w:r>
      <w:r>
        <w:rPr>
          <w:rStyle w:val="NormalTok"/>
        </w:rPr>
        <w:t xml:space="preserve">]</w:t>
      </w:r>
      <w:r>
        <w:rPr>
          <w:rStyle w:val="OtherTok"/>
        </w:rPr>
        <w:t xml:space="preserve">&lt;-</w:t>
      </w:r>
      <w:r>
        <w:rPr>
          <w:rStyle w:val="FunctionTok"/>
        </w:rPr>
        <w:t xml:space="preserve">paste0</w:t>
      </w:r>
      <w:r>
        <w:rPr>
          <w:rStyle w:val="NormalTok"/>
        </w:rPr>
        <w:t xml:space="preserve">(</w:t>
      </w:r>
      <w:r>
        <w:rPr>
          <w:rStyle w:val="StringTok"/>
        </w:rPr>
        <w:t xml:space="preserve">"RRU"</w:t>
      </w:r>
      <w:r>
        <w:rPr>
          <w:rStyle w:val="NormalTok"/>
        </w:rPr>
        <w:t xml:space="preserve">, </w:t>
      </w:r>
      <w:r>
        <w:rPr>
          <w:rStyle w:val="StringTok"/>
        </w:rPr>
        <w:t xml:space="preserve">"^4^"</w:t>
      </w:r>
      <w:r>
        <w:rPr>
          <w:rStyle w:val="NormalTok"/>
        </w:rPr>
        <w:t xml:space="preserve">)</w:t>
      </w:r>
      <w:r>
        <w:br/>
      </w:r>
      <w:r>
        <w:br/>
      </w:r>
      <w:r>
        <w:rPr>
          <w:rStyle w:val="CommentTok"/>
        </w:rPr>
        <w:t xml:space="preserve">#Generate the table:</w:t>
      </w:r>
      <w:r>
        <w:br/>
      </w:r>
      <w:r>
        <w:rPr>
          <w:rStyle w:val="NormalTok"/>
        </w:rPr>
        <w:t xml:space="preserve">kableExtra</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'**Table 3.3: Summary of data quality flags for each column**'</w:t>
      </w:r>
      <w:r>
        <w:rPr>
          <w:rStyle w:val="NormalTok"/>
        </w:rPr>
        <w:t xml:space="preserve">, </w:t>
      </w:r>
      <w:r>
        <w:rPr>
          <w:rStyle w:val="AttributeTok"/>
        </w:rPr>
        <w:t xml:space="preserve">col.names =</w:t>
      </w:r>
      <w:r>
        <w:rPr>
          <w:rStyle w:val="NormalTok"/>
        </w:rPr>
        <w:t xml:space="preserve"> ,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kableExtra</w:t>
      </w:r>
      <w:r>
        <w:rPr>
          <w:rStyle w:val="SpecialCharTok"/>
        </w:rPr>
        <w:t xml:space="preserve">::</w:t>
      </w:r>
      <w:r>
        <w:rPr>
          <w:rStyle w:val="FunctionTok"/>
        </w:rPr>
        <w:t xml:space="preserve">add_footnote</w:t>
      </w:r>
      <w:r>
        <w:rPr>
          <w:rStyle w:val="NormalTok"/>
        </w:rPr>
        <w:t xml:space="preserve">(</w:t>
      </w:r>
      <w:r>
        <w:rPr>
          <w:rStyle w:val="FunctionTok"/>
        </w:rPr>
        <w:t xml:space="preserve">c</w:t>
      </w:r>
      <w:r>
        <w:rPr>
          <w:rStyle w:val="NormalTok"/>
        </w:rPr>
        <w:t xml:space="preserve">(</w:t>
      </w:r>
      <w:r>
        <w:rPr>
          <w:rStyle w:val="StringTok"/>
        </w:rPr>
        <w:t xml:space="preserve">"NAs for a given file indicates no quality controlled data were found."</w:t>
      </w:r>
      <w:r>
        <w:rPr>
          <w:rStyle w:val="NormalTok"/>
        </w:rPr>
        <w:t xml:space="preserve">,</w:t>
      </w:r>
      <w:r>
        <w:br/>
      </w:r>
      <w:r>
        <w:rPr>
          <w:rStyle w:val="NormalTok"/>
        </w:rPr>
        <w:t xml:space="preserve">               </w:t>
      </w:r>
      <w:r>
        <w:rPr>
          <w:rStyle w:val="StringTok"/>
        </w:rPr>
        <w:t xml:space="preserve">"The '_flag' suffix has been omitted from column names for brevity."</w:t>
      </w:r>
      <w:r>
        <w:rPr>
          <w:rStyle w:val="NormalTok"/>
        </w:rPr>
        <w:t xml:space="preserve">,</w:t>
      </w:r>
      <w:r>
        <w:br/>
      </w:r>
      <w:r>
        <w:rPr>
          <w:rStyle w:val="NormalTok"/>
        </w:rPr>
        <w:t xml:space="preserve">               </w:t>
      </w:r>
      <w:r>
        <w:rPr>
          <w:rStyle w:val="StringTok"/>
        </w:rPr>
        <w:t xml:space="preserve">"All non-missing data in specified unflagged columns are considered accepted."</w:t>
      </w:r>
      <w:r>
        <w:rPr>
          <w:rStyle w:val="NormalTok"/>
        </w:rPr>
        <w:t xml:space="preserve">,</w:t>
      </w:r>
      <w:r>
        <w:br/>
      </w:r>
      <w:r>
        <w:rPr>
          <w:rStyle w:val="NormalTok"/>
        </w:rPr>
        <w:t xml:space="preserve">               </w:t>
      </w:r>
      <w:r>
        <w:rPr>
          <w:rStyle w:val="StringTok"/>
        </w:rPr>
        <w:t xml:space="preserve">"RRU (unweighted relative response) is calculated as the number of accepted (where A and AE are both considered accepted) divided by the total number of observations plus the number of missing observations."</w:t>
      </w:r>
      <w:r>
        <w:rPr>
          <w:rStyle w:val="NormalTok"/>
        </w:rPr>
        <w:t xml:space="preserve">), </w:t>
      </w:r>
      <w:r>
        <w:rPr>
          <w:rStyle w:val="AttributeTok"/>
        </w:rPr>
        <w:t xml:space="preserve">notation =</w:t>
      </w:r>
      <w:r>
        <w:rPr>
          <w:rStyle w:val="NormalTok"/>
        </w:rPr>
        <w:t xml:space="preserve"> </w:t>
      </w:r>
      <w:r>
        <w:rPr>
          <w:rStyle w:val="StringTok"/>
        </w:rPr>
        <w:t xml:space="preserve">"number"</w:t>
      </w:r>
      <w:r>
        <w:rPr>
          <w:rStyle w:val="NormalTok"/>
        </w:rPr>
        <w:t xml:space="preserve">)</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jc w:val="start"/>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r>
              <w:rPr>
                <w:vertAlign w:val="superscript"/>
              </w:rPr>
              <w:t xml:space="preserve">1</w:t>
            </w:r>
          </w:p>
        </w:tc>
        <w:tc>
          <w:tcPr/>
          <w:p>
            <w:pPr>
              <w:pStyle w:val="Compact"/>
              <w:jc w:val="left"/>
            </w:pPr>
            <w:r>
              <w:t xml:space="preserve">Colum</w:t>
            </w:r>
            <w:r>
              <w:rPr>
                <w:vertAlign w:val="superscript"/>
              </w:rPr>
              <w:t xml:space="preserve">2</w:t>
            </w:r>
          </w:p>
        </w:tc>
        <w:tc>
          <w:tcPr/>
          <w:p>
            <w:pPr>
              <w:pStyle w:val="Compact"/>
              <w:jc w:val="right"/>
            </w:pPr>
            <w:r>
              <w:t xml:space="preserve">A</w:t>
            </w:r>
            <w:r>
              <w:rPr>
                <w:vertAlign w:val="superscript"/>
              </w:rPr>
              <w:t xml:space="preserve">3</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 Missing</w:t>
            </w:r>
          </w:p>
        </w:tc>
        <w:tc>
          <w:tcPr/>
          <w:p>
            <w:pPr>
              <w:pStyle w:val="Compact"/>
              <w:jc w:val="right"/>
            </w:pPr>
            <w:r>
              <w:t xml:space="preserve">RRU</w:t>
            </w:r>
            <w:r>
              <w:rPr>
                <w:vertAlign w:val="superscript"/>
              </w:rPr>
              <w:t xml:space="preserve">4</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rPr>
          <w:bCs/>
          <w:b/>
        </w:rPr>
        <w:t xml:space="preserve">Note:</w:t>
      </w:r>
      <w:r>
        <w:t xml:space="preserve"> </w:t>
      </w:r>
      <w:r>
        <w:rPr>
          <w:vertAlign w:val="superscript"/>
        </w:rPr>
        <w:t xml:space="preserve">1</w:t>
      </w:r>
      <w:r>
        <w:t xml:space="preserve"> </w:t>
      </w:r>
      <w:r>
        <w:t xml:space="preserve">NAs for a given file indicates no quality controlled data were found.</w:t>
      </w:r>
      <w:r>
        <w:t xml:space="preserve"> </w:t>
      </w:r>
      <w:r>
        <w:rPr>
          <w:vertAlign w:val="superscript"/>
        </w:rPr>
        <w:t xml:space="preserve">2</w:t>
      </w:r>
      <w:r>
        <w:t xml:space="preserve"> </w:t>
      </w:r>
      <w:r>
        <w:t xml:space="preserve">The ’_flag’ suffix has been omitted from column names for brevity.</w:t>
      </w:r>
      <w:r>
        <w:t xml:space="preserve"> </w:t>
      </w:r>
      <w:r>
        <w:rPr>
          <w:vertAlign w:val="superscript"/>
        </w:rPr>
        <w:t xml:space="preserve">3</w:t>
      </w:r>
      <w:r>
        <w:t xml:space="preserve"> </w:t>
      </w:r>
      <w:r>
        <w:t xml:space="preserve">All non-missing data in specified unflagged columns are considered accepted.</w:t>
      </w:r>
      <w:r>
        <w:t xml:space="preserve"> </w:t>
      </w:r>
      <w:r>
        <w:rPr>
          <w:vertAlign w:val="superscript"/>
        </w:rPr>
        <w:t xml:space="preserve">4</w:t>
      </w:r>
      <w:r>
        <w:t xml:space="preserve"> </w:t>
      </w:r>
      <w:r>
        <w:t xml:space="preserve">RRU (unweighted relative response) is calculated as the number of accepted (where A and AE are both considered accepted) divided by the total number of observations plus the number of missing observations.</w:t>
      </w:r>
    </w:p>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72" name="Picture"/>
            <a:graphic>
              <a:graphicData uri="http://schemas.openxmlformats.org/drawingml/2006/picture">
                <pic:pic>
                  <pic:nvPicPr>
                    <pic:cNvPr descr="vignettes/common/ProcessingWorkflow.png" id="73"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QCkit_0.1.3           lubridate_1.9.3       forcats_1.0.0        </w:t>
      </w:r>
      <w:r>
        <w:br/>
      </w:r>
      <w:r>
        <w:rPr>
          <w:rStyle w:val="VerbatimChar"/>
        </w:rPr>
        <w:t xml:space="preserve">##  [4] stringr_1.5.1         dplyr_1.1.4           purrr_1.0.2          </w:t>
      </w:r>
      <w:r>
        <w:br/>
      </w:r>
      <w:r>
        <w:rPr>
          <w:rStyle w:val="VerbatimChar"/>
        </w:rPr>
        <w:t xml:space="preserve">##  [7] readr_2.1.4           tidyr_1.3.0           tibble_3.2.1         </w:t>
      </w:r>
      <w:r>
        <w:br/>
      </w:r>
      <w:r>
        <w:rPr>
          <w:rStyle w:val="VerbatimChar"/>
        </w:rPr>
        <w:t xml:space="preserve">## [10] ggplot2_3.4.4         tidyverse_2.0.0       devtools_2.4.5       </w:t>
      </w:r>
      <w:r>
        <w:br/>
      </w:r>
      <w:r>
        <w:rPr>
          <w:rStyle w:val="VerbatimChar"/>
        </w:rPr>
        <w:t xml:space="preserve">## [13] usethis_2.2.2         kableExtra_1.3.4.9000 yaml_2.3.8           </w:t>
      </w:r>
      <w:r>
        <w:br/>
      </w:r>
      <w:r>
        <w:rPr>
          <w:rStyle w:val="VerbatimChar"/>
        </w:rPr>
        <w:t xml:space="preserve">## [16] knitr_1.45            pander_0.6.5          rmarkdown_2.25       </w:t>
      </w:r>
      <w:r>
        <w:br/>
      </w:r>
      <w:r>
        <w:rPr>
          <w:rStyle w:val="VerbatimChar"/>
        </w:rPr>
        <w:t xml:space="preserve">## [19] markdown_1.11        </w:t>
      </w:r>
      <w:r>
        <w:br/>
      </w:r>
      <w:r>
        <w:rPr>
          <w:rStyle w:val="VerbatimChar"/>
        </w:rPr>
        <w:t xml:space="preserve">## </w:t>
      </w:r>
      <w:r>
        <w:br/>
      </w:r>
      <w:r>
        <w:rPr>
          <w:rStyle w:val="VerbatimChar"/>
        </w:rPr>
        <w:t xml:space="preserve">## loaded via a namespace (and not attached):</w:t>
      </w:r>
      <w:r>
        <w:br/>
      </w:r>
      <w:r>
        <w:rPr>
          <w:rStyle w:val="VerbatimChar"/>
        </w:rPr>
        <w:t xml:space="preserve">##  [1] gtable_0.3.4      xfun_0.41         htmlwidgets_1.6.4 remotes_2.4.2.1  </w:t>
      </w:r>
      <w:r>
        <w:br/>
      </w:r>
      <w:r>
        <w:rPr>
          <w:rStyle w:val="VerbatimChar"/>
        </w:rPr>
        <w:t xml:space="preserve">##  [5] processx_3.8.2    tzdb_0.4.0        callr_3.7.3       vctrs_0.6.5      </w:t>
      </w:r>
      <w:r>
        <w:br/>
      </w:r>
      <w:r>
        <w:rPr>
          <w:rStyle w:val="VerbatimChar"/>
        </w:rPr>
        <w:t xml:space="preserve">##  [9] tools_4.3.2       ps_1.7.5          generics_0.1.3    parallel_4.3.2   </w:t>
      </w:r>
      <w:r>
        <w:br/>
      </w:r>
      <w:r>
        <w:rPr>
          <w:rStyle w:val="VerbatimChar"/>
        </w:rPr>
        <w:t xml:space="preserve">## [13] curl_5.2.0        fansi_1.0.6       highr_0.10        pkgconfig_2.0.3  </w:t>
      </w:r>
      <w:r>
        <w:br/>
      </w:r>
      <w:r>
        <w:rPr>
          <w:rStyle w:val="VerbatimChar"/>
        </w:rPr>
        <w:t xml:space="preserve">## [17] webshot_0.5.5     lifecycle_1.0.4   compiler_4.3.2    munsell_0.5.0    </w:t>
      </w:r>
      <w:r>
        <w:br/>
      </w:r>
      <w:r>
        <w:rPr>
          <w:rStyle w:val="VerbatimChar"/>
        </w:rPr>
        <w:t xml:space="preserve">## [21] httpuv_1.6.12     htmltools_0.5.7   later_1.3.1       pillar_1.9.0     </w:t>
      </w:r>
      <w:r>
        <w:br/>
      </w:r>
      <w:r>
        <w:rPr>
          <w:rStyle w:val="VerbatimChar"/>
        </w:rPr>
        <w:t xml:space="preserve">## [25] crayon_1.5.2      urlchecker_1.0.1  ellipsis_0.3.2    cachem_1.0.8     </w:t>
      </w:r>
      <w:r>
        <w:br/>
      </w:r>
      <w:r>
        <w:rPr>
          <w:rStyle w:val="VerbatimChar"/>
        </w:rPr>
        <w:t xml:space="preserve">## [29] sessioninfo_1.2.2 mime_0.12         tidyselect_1.2.0  rvest_1.0.3      </w:t>
      </w:r>
      <w:r>
        <w:br/>
      </w:r>
      <w:r>
        <w:rPr>
          <w:rStyle w:val="VerbatimChar"/>
        </w:rPr>
        <w:t xml:space="preserve">## [33] digest_0.6.33     stringi_1.8.3     fastmap_1.1.1     grid_4.3.2       </w:t>
      </w:r>
      <w:r>
        <w:br/>
      </w:r>
      <w:r>
        <w:rPr>
          <w:rStyle w:val="VerbatimChar"/>
        </w:rPr>
        <w:t xml:space="preserve">## [37] archive_1.1.6     colorspace_2.1-0  cli_3.6.2         magrittr_2.0.3   </w:t>
      </w:r>
      <w:r>
        <w:br/>
      </w:r>
      <w:r>
        <w:rPr>
          <w:rStyle w:val="VerbatimChar"/>
        </w:rPr>
        <w:t xml:space="preserve">## [41] pkgbuild_1.4.2    utf8_1.2.4        withr_2.5.2       prettyunits_1.2.0</w:t>
      </w:r>
      <w:r>
        <w:br/>
      </w:r>
      <w:r>
        <w:rPr>
          <w:rStyle w:val="VerbatimChar"/>
        </w:rPr>
        <w:t xml:space="preserve">## [45] scales_1.3.0      promises_1.2.1    bit64_4.0.5       timechange_0.2.0 </w:t>
      </w:r>
      <w:r>
        <w:br/>
      </w:r>
      <w:r>
        <w:rPr>
          <w:rStyle w:val="VerbatimChar"/>
        </w:rPr>
        <w:t xml:space="preserve">## [49] httr_1.4.7        bit_4.0.5         png_0.1-8         hms_1.1.3        </w:t>
      </w:r>
      <w:r>
        <w:br/>
      </w:r>
      <w:r>
        <w:rPr>
          <w:rStyle w:val="VerbatimChar"/>
        </w:rPr>
        <w:t xml:space="preserve">## [53] memoise_2.0.1     shiny_1.8.0       evaluate_0.23     miniUI_0.1.1.1   </w:t>
      </w:r>
      <w:r>
        <w:br/>
      </w:r>
      <w:r>
        <w:rPr>
          <w:rStyle w:val="VerbatimChar"/>
        </w:rPr>
        <w:t xml:space="preserve">## [57] viridisLite_0.4.2 profvis_0.3.8     rlang_1.1.2       Rcpp_1.0.11      </w:t>
      </w:r>
      <w:r>
        <w:br/>
      </w:r>
      <w:r>
        <w:rPr>
          <w:rStyle w:val="VerbatimChar"/>
        </w:rPr>
        <w:t xml:space="preserve">## [61] xtable_1.8-4      glue_1.6.2        xml2_1.3.6        pkgload_1.3.3    </w:t>
      </w:r>
      <w:r>
        <w:br/>
      </w:r>
      <w:r>
        <w:rPr>
          <w:rStyle w:val="VerbatimChar"/>
        </w:rPr>
        <w:t xml:space="preserve">## [65] vroom_1.6.5       svglite_2.1.2     rstudioapi_0.15.0 plyr_1.8.9       </w:t>
      </w:r>
      <w:r>
        <w:br/>
      </w:r>
      <w:r>
        <w:rPr>
          <w:rStyle w:val="VerbatimChar"/>
        </w:rPr>
        <w:t xml:space="preserve">## [69] R6_2.5.1          systemfonts_1.0.5 fs_1.6.3</w:t>
      </w:r>
    </w:p>
    <w:p>
      <w:pPr>
        <w:pStyle w:val="SourceCode"/>
      </w:pPr>
      <w:r>
        <w:rPr>
          <w:rStyle w:val="FunctionTok"/>
        </w:rPr>
        <w:t xml:space="preserve">Sys.time</w:t>
      </w:r>
      <w:r>
        <w:rPr>
          <w:rStyle w:val="NormalTok"/>
        </w:rPr>
        <w:t xml:space="preserve">()</w:t>
      </w:r>
    </w:p>
    <w:p>
      <w:pPr>
        <w:pStyle w:val="SourceCode"/>
      </w:pPr>
      <w:r>
        <w:rPr>
          <w:rStyle w:val="VerbatimChar"/>
        </w:rPr>
        <w:t xml:space="preserve">## [1] "2024-01-03 11:45:52 MST"</w:t>
      </w:r>
    </w:p>
    <w:p>
      <w:r>
        <w:br w:type="page"/>
      </w:r>
    </w:p>
    <w:bookmarkEnd w:id="74"/>
    <w:bookmarkStart w:id="75"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4.3.2 (2023-10-31 ucrt)</w:t>
      </w:r>
      <w:r>
        <w:br/>
      </w:r>
      <w:r>
        <w:rPr>
          <w:rStyle w:val="VerbatimChar"/>
        </w:rPr>
        <w:t xml:space="preserve">## Platform: x86_64-w64-mingw32/x64 (64-bit)</w:t>
      </w:r>
      <w:r>
        <w:br/>
      </w:r>
      <w:r>
        <w:rPr>
          <w:rStyle w:val="VerbatimChar"/>
        </w:rPr>
        <w:t xml:space="preserve">## Running under: Windows 10 x64 (build 19045)</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time zone: America/Denver</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QCkit_0.1.3           lubridate_1.9.3       forcats_1.0.0        </w:t>
      </w:r>
      <w:r>
        <w:br/>
      </w:r>
      <w:r>
        <w:rPr>
          <w:rStyle w:val="VerbatimChar"/>
        </w:rPr>
        <w:t xml:space="preserve">##  [4] stringr_1.5.1         dplyr_1.1.4           purrr_1.0.2          </w:t>
      </w:r>
      <w:r>
        <w:br/>
      </w:r>
      <w:r>
        <w:rPr>
          <w:rStyle w:val="VerbatimChar"/>
        </w:rPr>
        <w:t xml:space="preserve">##  [7] readr_2.1.4           tidyr_1.3.0           tibble_3.2.1         </w:t>
      </w:r>
      <w:r>
        <w:br/>
      </w:r>
      <w:r>
        <w:rPr>
          <w:rStyle w:val="VerbatimChar"/>
        </w:rPr>
        <w:t xml:space="preserve">## [10] ggplot2_3.4.4         tidyverse_2.0.0       devtools_2.4.5       </w:t>
      </w:r>
      <w:r>
        <w:br/>
      </w:r>
      <w:r>
        <w:rPr>
          <w:rStyle w:val="VerbatimChar"/>
        </w:rPr>
        <w:t xml:space="preserve">## [13] usethis_2.2.2         kableExtra_1.3.4.9000 yaml_2.3.8           </w:t>
      </w:r>
      <w:r>
        <w:br/>
      </w:r>
      <w:r>
        <w:rPr>
          <w:rStyle w:val="VerbatimChar"/>
        </w:rPr>
        <w:t xml:space="preserve">## [16] knitr_1.45            pander_0.6.5          rmarkdown_2.25       </w:t>
      </w:r>
      <w:r>
        <w:br/>
      </w:r>
      <w:r>
        <w:rPr>
          <w:rStyle w:val="VerbatimChar"/>
        </w:rPr>
        <w:t xml:space="preserve">## [19] markdown_1.11        </w:t>
      </w:r>
      <w:r>
        <w:br/>
      </w:r>
      <w:r>
        <w:rPr>
          <w:rStyle w:val="VerbatimChar"/>
        </w:rPr>
        <w:t xml:space="preserve">## </w:t>
      </w:r>
      <w:r>
        <w:br/>
      </w:r>
      <w:r>
        <w:rPr>
          <w:rStyle w:val="VerbatimChar"/>
        </w:rPr>
        <w:t xml:space="preserve">## loaded via a namespace (and not attached):</w:t>
      </w:r>
      <w:r>
        <w:br/>
      </w:r>
      <w:r>
        <w:rPr>
          <w:rStyle w:val="VerbatimChar"/>
        </w:rPr>
        <w:t xml:space="preserve">##  [1] gtable_0.3.4      xfun_0.41         htmlwidgets_1.6.4 remotes_2.4.2.1  </w:t>
      </w:r>
      <w:r>
        <w:br/>
      </w:r>
      <w:r>
        <w:rPr>
          <w:rStyle w:val="VerbatimChar"/>
        </w:rPr>
        <w:t xml:space="preserve">##  [5] processx_3.8.2    tzdb_0.4.0        callr_3.7.3       vctrs_0.6.5      </w:t>
      </w:r>
      <w:r>
        <w:br/>
      </w:r>
      <w:r>
        <w:rPr>
          <w:rStyle w:val="VerbatimChar"/>
        </w:rPr>
        <w:t xml:space="preserve">##  [9] tools_4.3.2       ps_1.7.5          generics_0.1.3    parallel_4.3.2   </w:t>
      </w:r>
      <w:r>
        <w:br/>
      </w:r>
      <w:r>
        <w:rPr>
          <w:rStyle w:val="VerbatimChar"/>
        </w:rPr>
        <w:t xml:space="preserve">## [13] curl_5.2.0        fansi_1.0.6       highr_0.10        pkgconfig_2.0.3  </w:t>
      </w:r>
      <w:r>
        <w:br/>
      </w:r>
      <w:r>
        <w:rPr>
          <w:rStyle w:val="VerbatimChar"/>
        </w:rPr>
        <w:t xml:space="preserve">## [17] webshot_0.5.5     lifecycle_1.0.4   compiler_4.3.2    munsell_0.5.0    </w:t>
      </w:r>
      <w:r>
        <w:br/>
      </w:r>
      <w:r>
        <w:rPr>
          <w:rStyle w:val="VerbatimChar"/>
        </w:rPr>
        <w:t xml:space="preserve">## [21] httpuv_1.6.12     htmltools_0.5.7   later_1.3.1       pillar_1.9.0     </w:t>
      </w:r>
      <w:r>
        <w:br/>
      </w:r>
      <w:r>
        <w:rPr>
          <w:rStyle w:val="VerbatimChar"/>
        </w:rPr>
        <w:t xml:space="preserve">## [25] crayon_1.5.2      urlchecker_1.0.1  ellipsis_0.3.2    cachem_1.0.8     </w:t>
      </w:r>
      <w:r>
        <w:br/>
      </w:r>
      <w:r>
        <w:rPr>
          <w:rStyle w:val="VerbatimChar"/>
        </w:rPr>
        <w:t xml:space="preserve">## [29] sessioninfo_1.2.2 mime_0.12         tidyselect_1.2.0  rvest_1.0.3      </w:t>
      </w:r>
      <w:r>
        <w:br/>
      </w:r>
      <w:r>
        <w:rPr>
          <w:rStyle w:val="VerbatimChar"/>
        </w:rPr>
        <w:t xml:space="preserve">## [33] digest_0.6.33     stringi_1.8.3     fastmap_1.1.1     grid_4.3.2       </w:t>
      </w:r>
      <w:r>
        <w:br/>
      </w:r>
      <w:r>
        <w:rPr>
          <w:rStyle w:val="VerbatimChar"/>
        </w:rPr>
        <w:t xml:space="preserve">## [37] archive_1.1.6     colorspace_2.1-0  cli_3.6.2         magrittr_2.0.3   </w:t>
      </w:r>
      <w:r>
        <w:br/>
      </w:r>
      <w:r>
        <w:rPr>
          <w:rStyle w:val="VerbatimChar"/>
        </w:rPr>
        <w:t xml:space="preserve">## [41] pkgbuild_1.4.2    utf8_1.2.4        withr_2.5.2       prettyunits_1.2.0</w:t>
      </w:r>
      <w:r>
        <w:br/>
      </w:r>
      <w:r>
        <w:rPr>
          <w:rStyle w:val="VerbatimChar"/>
        </w:rPr>
        <w:t xml:space="preserve">## [45] scales_1.3.0      promises_1.2.1    bit64_4.0.5       timechange_0.2.0 </w:t>
      </w:r>
      <w:r>
        <w:br/>
      </w:r>
      <w:r>
        <w:rPr>
          <w:rStyle w:val="VerbatimChar"/>
        </w:rPr>
        <w:t xml:space="preserve">## [49] httr_1.4.7        bit_4.0.5         png_0.1-8         hms_1.1.3        </w:t>
      </w:r>
      <w:r>
        <w:br/>
      </w:r>
      <w:r>
        <w:rPr>
          <w:rStyle w:val="VerbatimChar"/>
        </w:rPr>
        <w:t xml:space="preserve">## [53] memoise_2.0.1     shiny_1.8.0       evaluate_0.23     miniUI_0.1.1.1   </w:t>
      </w:r>
      <w:r>
        <w:br/>
      </w:r>
      <w:r>
        <w:rPr>
          <w:rStyle w:val="VerbatimChar"/>
        </w:rPr>
        <w:t xml:space="preserve">## [57] viridisLite_0.4.2 profvis_0.3.8     rlang_1.1.2       Rcpp_1.0.11      </w:t>
      </w:r>
      <w:r>
        <w:br/>
      </w:r>
      <w:r>
        <w:rPr>
          <w:rStyle w:val="VerbatimChar"/>
        </w:rPr>
        <w:t xml:space="preserve">## [61] xtable_1.8-4      glue_1.6.2        xml2_1.3.6        pkgload_1.3.3    </w:t>
      </w:r>
      <w:r>
        <w:br/>
      </w:r>
      <w:r>
        <w:rPr>
          <w:rStyle w:val="VerbatimChar"/>
        </w:rPr>
        <w:t xml:space="preserve">## [65] vroom_1.6.5       svglite_2.1.2     rstudioapi_0.15.0 plyr_1.8.9       </w:t>
      </w:r>
      <w:r>
        <w:br/>
      </w:r>
      <w:r>
        <w:rPr>
          <w:rStyle w:val="VerbatimChar"/>
        </w:rPr>
        <w:t xml:space="preserve">## [69] R6_2.5.1          systemfonts_1.0.5 fs_1.6.3</w:t>
      </w:r>
    </w:p>
    <w:p>
      <w:pPr>
        <w:pStyle w:val="SourceCode"/>
      </w:pPr>
      <w:r>
        <w:rPr>
          <w:rStyle w:val="VerbatimChar"/>
        </w:rPr>
        <w:t xml:space="preserve">## [1] "2024-01-03 11:45:52 MST"</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6" Target="http://science.nature.nps.gov/im/monitor/npscape/viewer/" TargetMode="External" /><Relationship Type="http://schemas.openxmlformats.org/officeDocument/2006/relationships/hyperlink" Id="rId65" Target="http://www.epa.gov/storet/" TargetMode="External" /><Relationship Type="http://schemas.openxmlformats.org/officeDocument/2006/relationships/hyperlink" Id="rId62" Target="http://www.fws.gov/endangered/" TargetMode="External" /><Relationship Type="http://schemas.openxmlformats.org/officeDocument/2006/relationships/hyperlink" Id="rId61" Target="http://www.nature.nps.gov/publications/nrpm/" TargetMode="External" /><Relationship Type="http://schemas.openxmlformats.org/officeDocument/2006/relationships/hyperlink" Id="rId64" Target="http://www.ncdc.noaa.gov/" TargetMode="External" /><Relationship Type="http://schemas.openxmlformats.org/officeDocument/2006/relationships/hyperlink" Id="rId68" Target="https://aquatic.biodata.usgs.gov/" TargetMode="External" /><Relationship Type="http://schemas.openxmlformats.org/officeDocument/2006/relationships/hyperlink" Id="rId59" Target="https://conps.org/" TargetMode="External" /><Relationship Type="http://schemas.openxmlformats.org/officeDocument/2006/relationships/hyperlink" Id="rId44" Target="https://doi.org" TargetMode="External" /><Relationship Type="http://schemas.openxmlformats.org/officeDocument/2006/relationships/hyperlink" Id="rId49" Target="https://doi.org/10.1002/jwmg.92" TargetMode="External" /><Relationship Type="http://schemas.openxmlformats.org/officeDocument/2006/relationships/hyperlink" Id="rId48" Target="https://doi.org/10.2307/2265717" TargetMode="External" /><Relationship Type="http://schemas.openxmlformats.org/officeDocument/2006/relationships/hyperlink" Id="rId53" Target="https://doi.org/10.2737/PNW-GTR-352" TargetMode="External" /><Relationship Type="http://schemas.openxmlformats.org/officeDocument/2006/relationships/hyperlink" Id="rId54"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60" Target="https://irma.nps.gov" TargetMode="External" /><Relationship Type="http://schemas.openxmlformats.org/officeDocument/2006/relationships/hyperlink" Id="rId67"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6" Target="http://science.nature.nps.gov/im/monitor/npscape/viewer/" TargetMode="External" /><Relationship Type="http://schemas.openxmlformats.org/officeDocument/2006/relationships/hyperlink" Id="rId65" Target="http://www.epa.gov/storet/" TargetMode="External" /><Relationship Type="http://schemas.openxmlformats.org/officeDocument/2006/relationships/hyperlink" Id="rId62" Target="http://www.fws.gov/endangered/" TargetMode="External" /><Relationship Type="http://schemas.openxmlformats.org/officeDocument/2006/relationships/hyperlink" Id="rId61" Target="http://www.nature.nps.gov/publications/nrpm/" TargetMode="External" /><Relationship Type="http://schemas.openxmlformats.org/officeDocument/2006/relationships/hyperlink" Id="rId64" Target="http://www.ncdc.noaa.gov/" TargetMode="External" /><Relationship Type="http://schemas.openxmlformats.org/officeDocument/2006/relationships/hyperlink" Id="rId68" Target="https://aquatic.biodata.usgs.gov/" TargetMode="External" /><Relationship Type="http://schemas.openxmlformats.org/officeDocument/2006/relationships/hyperlink" Id="rId59" Target="https://conps.org/" TargetMode="External" /><Relationship Type="http://schemas.openxmlformats.org/officeDocument/2006/relationships/hyperlink" Id="rId44" Target="https://doi.org" TargetMode="External" /><Relationship Type="http://schemas.openxmlformats.org/officeDocument/2006/relationships/hyperlink" Id="rId49" Target="https://doi.org/10.1002/jwmg.92" TargetMode="External" /><Relationship Type="http://schemas.openxmlformats.org/officeDocument/2006/relationships/hyperlink" Id="rId48" Target="https://doi.org/10.2307/2265717" TargetMode="External" /><Relationship Type="http://schemas.openxmlformats.org/officeDocument/2006/relationships/hyperlink" Id="rId53" Target="https://doi.org/10.2737/PNW-GTR-352" TargetMode="External" /><Relationship Type="http://schemas.openxmlformats.org/officeDocument/2006/relationships/hyperlink" Id="rId54"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60" Target="https://irma.nps.gov" TargetMode="External" /><Relationship Type="http://schemas.openxmlformats.org/officeDocument/2006/relationships/hyperlink" Id="rId67"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2024-01-03T18:45:53Z</dcterms:created>
  <dcterms:modified xsi:type="dcterms:W3CDTF">2024-01-03T18:45:53Z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national-park-service-DRR.csl</vt:lpwstr>
  </property>
  <property fmtid="{D5CDD505-2E9C-101B-9397-08002B2CF9AE}" pid="4" name="output">
    <vt:lpwstr/>
  </property>
</Properties>
</file>