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9F" w:rsidRDefault="00A73761" w:rsidP="00C247AE">
      <w:pPr>
        <w:jc w:val="center"/>
        <w:rPr>
          <w:rFonts w:ascii="Times New Roman" w:hAnsi="Times New Roman"/>
          <w:b/>
          <w:sz w:val="24"/>
          <w:szCs w:val="24"/>
        </w:rPr>
      </w:pPr>
      <w:r w:rsidRPr="0082524A">
        <w:rPr>
          <w:rFonts w:ascii="Times New Roman" w:hAnsi="Times New Roman"/>
          <w:b/>
          <w:sz w:val="24"/>
          <w:szCs w:val="24"/>
        </w:rPr>
        <w:t xml:space="preserve">Impact of </w:t>
      </w:r>
      <w:r w:rsidR="005844C2">
        <w:rPr>
          <w:rFonts w:ascii="Times New Roman" w:hAnsi="Times New Roman"/>
          <w:b/>
          <w:sz w:val="24"/>
          <w:szCs w:val="24"/>
        </w:rPr>
        <w:t xml:space="preserve">Negative </w:t>
      </w:r>
      <w:r w:rsidRPr="0082524A">
        <w:rPr>
          <w:rFonts w:ascii="Times New Roman" w:hAnsi="Times New Roman"/>
          <w:b/>
          <w:sz w:val="24"/>
          <w:szCs w:val="24"/>
        </w:rPr>
        <w:t xml:space="preserve">Campaign Ads on </w:t>
      </w:r>
      <w:r w:rsidR="00A159A8" w:rsidRPr="0082524A">
        <w:rPr>
          <w:rFonts w:ascii="Times New Roman" w:hAnsi="Times New Roman"/>
          <w:b/>
          <w:sz w:val="24"/>
          <w:szCs w:val="24"/>
        </w:rPr>
        <w:t>Favorability Ratings of Parties</w:t>
      </w:r>
    </w:p>
    <w:p w:rsidR="00C247AE" w:rsidRPr="00C247AE" w:rsidRDefault="00C247AE" w:rsidP="00CA3726">
      <w:pPr>
        <w:rPr>
          <w:rFonts w:ascii="Times New Roman" w:hAnsi="Times New Roman"/>
          <w:b/>
          <w:sz w:val="24"/>
          <w:szCs w:val="24"/>
        </w:rPr>
      </w:pPr>
    </w:p>
    <w:p w:rsidR="00F04FB0" w:rsidRPr="00077513" w:rsidRDefault="009622AB" w:rsidP="00077513">
      <w:pPr>
        <w:autoSpaceDE w:val="0"/>
        <w:autoSpaceDN w:val="0"/>
        <w:adjustRightInd w:val="0"/>
        <w:spacing w:line="480" w:lineRule="auto"/>
        <w:ind w:firstLine="720"/>
        <w:rPr>
          <w:rFonts w:ascii="EhrhardtMT-Regular" w:hAnsi="EhrhardtMT-Regular" w:cs="EhrhardtMT-Regular"/>
          <w:sz w:val="21"/>
          <w:szCs w:val="21"/>
        </w:rPr>
      </w:pPr>
      <w:r>
        <w:rPr>
          <w:rFonts w:ascii="Times New Roman" w:hAnsi="Times New Roman"/>
          <w:sz w:val="24"/>
          <w:szCs w:val="24"/>
        </w:rPr>
        <w:t xml:space="preserve">One way to estimate </w:t>
      </w:r>
      <w:r w:rsidR="00242A9C">
        <w:rPr>
          <w:rFonts w:ascii="Times New Roman" w:hAnsi="Times New Roman"/>
          <w:sz w:val="24"/>
          <w:szCs w:val="24"/>
        </w:rPr>
        <w:t>the impact</w:t>
      </w:r>
      <w:r w:rsidR="00B35F22">
        <w:rPr>
          <w:rFonts w:ascii="Times New Roman" w:hAnsi="Times New Roman"/>
          <w:sz w:val="24"/>
          <w:szCs w:val="24"/>
        </w:rPr>
        <w:t xml:space="preserve"> of exposure to </w:t>
      </w:r>
      <w:r w:rsidR="009E52CF">
        <w:rPr>
          <w:rFonts w:ascii="Times New Roman" w:hAnsi="Times New Roman"/>
          <w:sz w:val="24"/>
          <w:szCs w:val="24"/>
        </w:rPr>
        <w:t xml:space="preserve">negative </w:t>
      </w:r>
      <w:r w:rsidR="00B35F22">
        <w:rPr>
          <w:rFonts w:ascii="Times New Roman" w:hAnsi="Times New Roman"/>
          <w:sz w:val="24"/>
          <w:szCs w:val="24"/>
        </w:rPr>
        <w:t>campaign advertising affect partisan affect</w:t>
      </w:r>
      <w:r w:rsidR="00242A9C">
        <w:rPr>
          <w:rFonts w:ascii="Times New Roman" w:hAnsi="Times New Roman"/>
          <w:sz w:val="24"/>
          <w:szCs w:val="24"/>
        </w:rPr>
        <w:t xml:space="preserve"> would be</w:t>
      </w:r>
      <w:r w:rsidR="00D12A4E">
        <w:rPr>
          <w:rFonts w:ascii="Times New Roman" w:hAnsi="Times New Roman"/>
          <w:sz w:val="24"/>
          <w:szCs w:val="24"/>
        </w:rPr>
        <w:t xml:space="preserve"> </w:t>
      </w:r>
      <w:r w:rsidR="003B628B">
        <w:rPr>
          <w:rFonts w:ascii="Times New Roman" w:hAnsi="Times New Roman"/>
          <w:sz w:val="24"/>
          <w:szCs w:val="24"/>
        </w:rPr>
        <w:t>to</w:t>
      </w:r>
      <w:r w:rsidR="007F21DF">
        <w:rPr>
          <w:rFonts w:ascii="Times New Roman" w:hAnsi="Times New Roman"/>
          <w:sz w:val="24"/>
          <w:szCs w:val="24"/>
        </w:rPr>
        <w:t xml:space="preserve"> simply</w:t>
      </w:r>
      <w:r w:rsidR="003B628B">
        <w:rPr>
          <w:rFonts w:ascii="Times New Roman" w:hAnsi="Times New Roman"/>
          <w:sz w:val="24"/>
          <w:szCs w:val="24"/>
        </w:rPr>
        <w:t xml:space="preserve"> </w:t>
      </w:r>
      <w:proofErr w:type="gramStart"/>
      <w:r w:rsidR="003B628B">
        <w:rPr>
          <w:rFonts w:ascii="Times New Roman" w:hAnsi="Times New Roman"/>
          <w:sz w:val="24"/>
          <w:szCs w:val="24"/>
        </w:rPr>
        <w:t>regress</w:t>
      </w:r>
      <w:proofErr w:type="gramEnd"/>
      <w:r w:rsidR="003B628B">
        <w:rPr>
          <w:rFonts w:ascii="Times New Roman" w:hAnsi="Times New Roman"/>
          <w:sz w:val="24"/>
          <w:szCs w:val="24"/>
        </w:rPr>
        <w:t xml:space="preserve"> </w:t>
      </w:r>
      <w:r w:rsidR="005C1EB9">
        <w:rPr>
          <w:rFonts w:ascii="Times New Roman" w:hAnsi="Times New Roman"/>
          <w:sz w:val="24"/>
          <w:szCs w:val="24"/>
        </w:rPr>
        <w:t xml:space="preserve">partisan affect on </w:t>
      </w:r>
      <w:r w:rsidR="00A23C25">
        <w:rPr>
          <w:rFonts w:ascii="Times New Roman" w:hAnsi="Times New Roman"/>
          <w:sz w:val="24"/>
          <w:szCs w:val="24"/>
        </w:rPr>
        <w:t>self reports of campaign advertising.</w:t>
      </w:r>
      <w:r w:rsidR="00242A9C">
        <w:rPr>
          <w:rFonts w:ascii="Times New Roman" w:hAnsi="Times New Roman"/>
          <w:sz w:val="24"/>
          <w:szCs w:val="24"/>
        </w:rPr>
        <w:t xml:space="preserve"> How</w:t>
      </w:r>
      <w:r w:rsidR="00F165EE">
        <w:rPr>
          <w:rFonts w:ascii="Times New Roman" w:hAnsi="Times New Roman"/>
          <w:sz w:val="24"/>
          <w:szCs w:val="24"/>
        </w:rPr>
        <w:t xml:space="preserve">ever the estimates </w:t>
      </w:r>
      <w:r w:rsidR="001055EE">
        <w:rPr>
          <w:rFonts w:ascii="Times New Roman" w:hAnsi="Times New Roman"/>
          <w:sz w:val="24"/>
          <w:szCs w:val="24"/>
        </w:rPr>
        <w:t>are</w:t>
      </w:r>
      <w:r w:rsidR="00F165EE">
        <w:rPr>
          <w:rFonts w:ascii="Times New Roman" w:hAnsi="Times New Roman"/>
          <w:sz w:val="24"/>
          <w:szCs w:val="24"/>
        </w:rPr>
        <w:t xml:space="preserve"> </w:t>
      </w:r>
      <w:r w:rsidR="007B4F4D">
        <w:rPr>
          <w:rFonts w:ascii="Times New Roman" w:hAnsi="Times New Roman"/>
          <w:sz w:val="24"/>
          <w:szCs w:val="24"/>
        </w:rPr>
        <w:t xml:space="preserve">likely </w:t>
      </w:r>
      <w:r w:rsidR="00F165EE">
        <w:rPr>
          <w:rFonts w:ascii="Times New Roman" w:hAnsi="Times New Roman"/>
          <w:sz w:val="24"/>
          <w:szCs w:val="24"/>
        </w:rPr>
        <w:t xml:space="preserve">biased </w:t>
      </w:r>
      <w:r w:rsidR="00976DBB">
        <w:rPr>
          <w:rFonts w:ascii="Times New Roman" w:hAnsi="Times New Roman"/>
          <w:sz w:val="24"/>
          <w:szCs w:val="24"/>
        </w:rPr>
        <w:t>because</w:t>
      </w:r>
      <w:r w:rsidR="00F165EE">
        <w:rPr>
          <w:rFonts w:ascii="Times New Roman" w:hAnsi="Times New Roman"/>
          <w:sz w:val="24"/>
          <w:szCs w:val="24"/>
        </w:rPr>
        <w:t xml:space="preserve"> – 1) Self-reports about campaign advertising are error prone</w:t>
      </w:r>
      <w:r w:rsidR="00077513">
        <w:rPr>
          <w:rFonts w:ascii="Times New Roman" w:hAnsi="Times New Roman"/>
          <w:sz w:val="24"/>
          <w:szCs w:val="24"/>
        </w:rPr>
        <w:t xml:space="preserve"> </w:t>
      </w:r>
      <w:r w:rsidR="00077513" w:rsidRPr="00540AD3">
        <w:rPr>
          <w:rFonts w:ascii="Times New Roman" w:hAnsi="Times New Roman"/>
          <w:sz w:val="24"/>
          <w:szCs w:val="24"/>
        </w:rPr>
        <w:t xml:space="preserve">(Ansolabehere, Iyengar, and Simon 1999; Johnston, Hagen, and Jamieson 2004 and Goldstein and </w:t>
      </w:r>
      <w:proofErr w:type="spellStart"/>
      <w:r w:rsidR="00077513" w:rsidRPr="00540AD3">
        <w:rPr>
          <w:rFonts w:ascii="Times New Roman" w:hAnsi="Times New Roman"/>
          <w:sz w:val="24"/>
          <w:szCs w:val="24"/>
        </w:rPr>
        <w:t>Ridout</w:t>
      </w:r>
      <w:proofErr w:type="spellEnd"/>
      <w:r w:rsidR="00077513" w:rsidRPr="00540AD3">
        <w:rPr>
          <w:rFonts w:ascii="Times New Roman" w:hAnsi="Times New Roman"/>
          <w:sz w:val="24"/>
          <w:szCs w:val="24"/>
        </w:rPr>
        <w:t xml:space="preserve"> 2004</w:t>
      </w:r>
      <w:r w:rsidR="00B861BC">
        <w:rPr>
          <w:rFonts w:ascii="Times New Roman" w:hAnsi="Times New Roman"/>
          <w:sz w:val="24"/>
          <w:szCs w:val="24"/>
        </w:rPr>
        <w:t>)</w:t>
      </w:r>
      <w:r w:rsidR="00F165EE" w:rsidRPr="00540AD3">
        <w:rPr>
          <w:rFonts w:ascii="Times New Roman" w:hAnsi="Times New Roman"/>
          <w:sz w:val="24"/>
          <w:szCs w:val="24"/>
        </w:rPr>
        <w:t>,</w:t>
      </w:r>
      <w:r w:rsidR="00542650" w:rsidRPr="00540AD3">
        <w:rPr>
          <w:rFonts w:ascii="Times New Roman" w:hAnsi="Times New Roman"/>
          <w:sz w:val="24"/>
          <w:szCs w:val="24"/>
        </w:rPr>
        <w:t xml:space="preserve"> </w:t>
      </w:r>
      <w:r w:rsidR="002707F0" w:rsidRPr="00540AD3">
        <w:rPr>
          <w:rFonts w:ascii="Times New Roman" w:hAnsi="Times New Roman"/>
          <w:sz w:val="24"/>
          <w:szCs w:val="24"/>
        </w:rPr>
        <w:t>with errors</w:t>
      </w:r>
      <w:r w:rsidR="00542650" w:rsidRPr="00540AD3">
        <w:rPr>
          <w:rFonts w:ascii="Times New Roman" w:hAnsi="Times New Roman"/>
          <w:sz w:val="24"/>
          <w:szCs w:val="24"/>
        </w:rPr>
        <w:t xml:space="preserve"> </w:t>
      </w:r>
      <w:r w:rsidR="003E00BF" w:rsidRPr="00540AD3">
        <w:rPr>
          <w:rFonts w:ascii="Times New Roman" w:hAnsi="Times New Roman"/>
          <w:sz w:val="24"/>
          <w:szCs w:val="24"/>
        </w:rPr>
        <w:t xml:space="preserve">likely </w:t>
      </w:r>
      <w:r w:rsidR="00C4258D" w:rsidRPr="00540AD3">
        <w:rPr>
          <w:rFonts w:ascii="Times New Roman" w:hAnsi="Times New Roman"/>
          <w:sz w:val="24"/>
          <w:szCs w:val="24"/>
        </w:rPr>
        <w:t xml:space="preserve">positively </w:t>
      </w:r>
      <w:r w:rsidR="00B342E0" w:rsidRPr="00540AD3">
        <w:rPr>
          <w:rFonts w:ascii="Times New Roman" w:hAnsi="Times New Roman"/>
          <w:sz w:val="24"/>
          <w:szCs w:val="24"/>
        </w:rPr>
        <w:t>cor</w:t>
      </w:r>
      <w:r w:rsidR="00542650" w:rsidRPr="00540AD3">
        <w:rPr>
          <w:rFonts w:ascii="Times New Roman" w:hAnsi="Times New Roman"/>
          <w:sz w:val="24"/>
          <w:szCs w:val="24"/>
        </w:rPr>
        <w:t xml:space="preserve">related </w:t>
      </w:r>
      <w:r w:rsidR="00B342E0" w:rsidRPr="00540AD3">
        <w:rPr>
          <w:rFonts w:ascii="Times New Roman" w:hAnsi="Times New Roman"/>
          <w:sz w:val="24"/>
          <w:szCs w:val="24"/>
        </w:rPr>
        <w:t xml:space="preserve">with </w:t>
      </w:r>
      <w:r w:rsidR="008A416E" w:rsidRPr="00540AD3">
        <w:rPr>
          <w:rFonts w:ascii="Times New Roman" w:hAnsi="Times New Roman"/>
          <w:sz w:val="24"/>
          <w:szCs w:val="24"/>
        </w:rPr>
        <w:t xml:space="preserve">partisan </w:t>
      </w:r>
      <w:r w:rsidR="00542650" w:rsidRPr="00540AD3">
        <w:rPr>
          <w:rFonts w:ascii="Times New Roman" w:hAnsi="Times New Roman"/>
          <w:sz w:val="24"/>
          <w:szCs w:val="24"/>
        </w:rPr>
        <w:t>affect</w:t>
      </w:r>
      <w:r w:rsidR="00976DBB" w:rsidRPr="00540AD3">
        <w:rPr>
          <w:rFonts w:ascii="Times New Roman" w:hAnsi="Times New Roman"/>
          <w:sz w:val="24"/>
          <w:szCs w:val="24"/>
        </w:rPr>
        <w:t>;</w:t>
      </w:r>
      <w:r w:rsidR="00F165EE" w:rsidRPr="00540AD3">
        <w:rPr>
          <w:rFonts w:ascii="Times New Roman" w:hAnsi="Times New Roman"/>
          <w:sz w:val="24"/>
          <w:szCs w:val="24"/>
        </w:rPr>
        <w:t xml:space="preserve"> 2)</w:t>
      </w:r>
      <w:r w:rsidR="005647B3" w:rsidRPr="00540AD3">
        <w:rPr>
          <w:rFonts w:ascii="Times New Roman" w:hAnsi="Times New Roman"/>
          <w:sz w:val="24"/>
          <w:szCs w:val="24"/>
        </w:rPr>
        <w:t xml:space="preserve"> </w:t>
      </w:r>
      <w:r w:rsidR="00DC0D01">
        <w:rPr>
          <w:rFonts w:ascii="Times New Roman" w:hAnsi="Times New Roman"/>
          <w:sz w:val="24"/>
          <w:szCs w:val="24"/>
        </w:rPr>
        <w:t>There is ‘confounded’ s</w:t>
      </w:r>
      <w:r w:rsidR="005647B3" w:rsidRPr="00540AD3">
        <w:rPr>
          <w:rFonts w:ascii="Times New Roman" w:hAnsi="Times New Roman"/>
          <w:sz w:val="24"/>
          <w:szCs w:val="24"/>
        </w:rPr>
        <w:t>elf-selection in who sees campaign ads</w:t>
      </w:r>
      <w:r w:rsidR="00B90CBD" w:rsidRPr="00540AD3">
        <w:rPr>
          <w:rFonts w:ascii="Times New Roman" w:hAnsi="Times New Roman"/>
          <w:sz w:val="24"/>
          <w:szCs w:val="24"/>
        </w:rPr>
        <w:t xml:space="preserve">, </w:t>
      </w:r>
      <w:r w:rsidR="00976DBB" w:rsidRPr="00540AD3">
        <w:rPr>
          <w:rFonts w:ascii="Times New Roman" w:hAnsi="Times New Roman"/>
          <w:sz w:val="24"/>
          <w:szCs w:val="24"/>
        </w:rPr>
        <w:t>for instance,</w:t>
      </w:r>
      <w:r w:rsidR="00B90CBD" w:rsidRPr="00540AD3">
        <w:rPr>
          <w:rFonts w:ascii="Times New Roman" w:hAnsi="Times New Roman"/>
          <w:sz w:val="24"/>
          <w:szCs w:val="24"/>
        </w:rPr>
        <w:t xml:space="preserve"> </w:t>
      </w:r>
      <w:r w:rsidR="00F97768" w:rsidRPr="00540AD3">
        <w:rPr>
          <w:rFonts w:ascii="Times New Roman" w:hAnsi="Times New Roman"/>
          <w:sz w:val="24"/>
          <w:szCs w:val="24"/>
        </w:rPr>
        <w:t>strong partisans</w:t>
      </w:r>
      <w:r w:rsidR="003005BA" w:rsidRPr="00540AD3">
        <w:rPr>
          <w:rFonts w:ascii="Times New Roman" w:hAnsi="Times New Roman"/>
          <w:sz w:val="24"/>
          <w:szCs w:val="24"/>
        </w:rPr>
        <w:t xml:space="preserve"> </w:t>
      </w:r>
      <w:r w:rsidR="00B369D5">
        <w:rPr>
          <w:rFonts w:ascii="Times New Roman" w:hAnsi="Times New Roman"/>
          <w:sz w:val="24"/>
          <w:szCs w:val="24"/>
        </w:rPr>
        <w:t xml:space="preserve">likely </w:t>
      </w:r>
      <w:r w:rsidR="003005BA" w:rsidRPr="00540AD3">
        <w:rPr>
          <w:rFonts w:ascii="Times New Roman" w:hAnsi="Times New Roman"/>
          <w:sz w:val="24"/>
          <w:szCs w:val="24"/>
        </w:rPr>
        <w:t>see more political ads and also</w:t>
      </w:r>
      <w:r w:rsidR="00B369D5">
        <w:rPr>
          <w:rFonts w:ascii="Times New Roman" w:hAnsi="Times New Roman"/>
          <w:sz w:val="24"/>
          <w:szCs w:val="24"/>
        </w:rPr>
        <w:t xml:space="preserve"> likely</w:t>
      </w:r>
      <w:r w:rsidR="003005BA" w:rsidRPr="00540AD3">
        <w:rPr>
          <w:rFonts w:ascii="Times New Roman" w:hAnsi="Times New Roman"/>
          <w:sz w:val="24"/>
          <w:szCs w:val="24"/>
        </w:rPr>
        <w:t xml:space="preserve"> hold larger partisan affect,</w:t>
      </w:r>
      <w:r w:rsidR="00E85D99">
        <w:rPr>
          <w:rFonts w:ascii="Times New Roman" w:hAnsi="Times New Roman"/>
          <w:sz w:val="24"/>
          <w:szCs w:val="24"/>
        </w:rPr>
        <w:t xml:space="preserve"> perhaps</w:t>
      </w:r>
      <w:r w:rsidR="003005BA" w:rsidRPr="00540AD3">
        <w:rPr>
          <w:rFonts w:ascii="Times New Roman" w:hAnsi="Times New Roman"/>
          <w:sz w:val="24"/>
          <w:szCs w:val="24"/>
        </w:rPr>
        <w:t xml:space="preserve"> causally so</w:t>
      </w:r>
      <w:r w:rsidR="00907822" w:rsidRPr="00540AD3">
        <w:rPr>
          <w:rFonts w:ascii="Times New Roman" w:hAnsi="Times New Roman"/>
          <w:sz w:val="24"/>
          <w:szCs w:val="24"/>
        </w:rPr>
        <w:t xml:space="preserve">. </w:t>
      </w:r>
      <w:r w:rsidR="00386C61" w:rsidRPr="00540AD3">
        <w:rPr>
          <w:rFonts w:ascii="Times New Roman" w:hAnsi="Times New Roman"/>
          <w:sz w:val="24"/>
          <w:szCs w:val="24"/>
        </w:rPr>
        <w:t xml:space="preserve">Given </w:t>
      </w:r>
      <w:r w:rsidR="004B2DD3" w:rsidRPr="00540AD3">
        <w:rPr>
          <w:rFonts w:ascii="Times New Roman" w:hAnsi="Times New Roman"/>
          <w:sz w:val="24"/>
          <w:szCs w:val="24"/>
        </w:rPr>
        <w:t>the</w:t>
      </w:r>
      <w:r w:rsidR="004C01B0" w:rsidRPr="00540AD3">
        <w:rPr>
          <w:rFonts w:ascii="Times New Roman" w:hAnsi="Times New Roman"/>
          <w:sz w:val="24"/>
          <w:szCs w:val="24"/>
        </w:rPr>
        <w:t xml:space="preserve"> </w:t>
      </w:r>
      <w:r w:rsidR="00386C61" w:rsidRPr="00540AD3">
        <w:rPr>
          <w:rFonts w:ascii="Times New Roman" w:hAnsi="Times New Roman"/>
          <w:sz w:val="24"/>
          <w:szCs w:val="24"/>
        </w:rPr>
        <w:t xml:space="preserve">concerns about endogeneity in self-reported </w:t>
      </w:r>
      <w:r w:rsidR="004C01B0" w:rsidRPr="00540AD3">
        <w:rPr>
          <w:rFonts w:ascii="Times New Roman" w:hAnsi="Times New Roman"/>
          <w:sz w:val="24"/>
          <w:szCs w:val="24"/>
        </w:rPr>
        <w:t>recall of advertising and affect towards parties,</w:t>
      </w:r>
      <w:r w:rsidR="004B2DD3" w:rsidRPr="00540AD3">
        <w:rPr>
          <w:rFonts w:ascii="Times New Roman" w:hAnsi="Times New Roman"/>
          <w:sz w:val="24"/>
          <w:szCs w:val="24"/>
        </w:rPr>
        <w:t xml:space="preserve"> and other confounders,</w:t>
      </w:r>
      <w:r w:rsidR="004C01B0" w:rsidRPr="00540AD3">
        <w:rPr>
          <w:rFonts w:ascii="Times New Roman" w:hAnsi="Times New Roman"/>
          <w:sz w:val="24"/>
          <w:szCs w:val="24"/>
        </w:rPr>
        <w:t xml:space="preserve"> we</w:t>
      </w:r>
      <w:r w:rsidR="00125AFD" w:rsidRPr="00540AD3">
        <w:rPr>
          <w:rFonts w:ascii="Times New Roman" w:hAnsi="Times New Roman"/>
          <w:sz w:val="24"/>
          <w:szCs w:val="24"/>
        </w:rPr>
        <w:t xml:space="preserve"> </w:t>
      </w:r>
      <w:r w:rsidR="00665ACF" w:rsidRPr="00540AD3">
        <w:rPr>
          <w:rFonts w:ascii="Times New Roman" w:hAnsi="Times New Roman"/>
          <w:sz w:val="24"/>
          <w:szCs w:val="24"/>
        </w:rPr>
        <w:t>rely on</w:t>
      </w:r>
      <w:r w:rsidR="00125AFD" w:rsidRPr="00540AD3">
        <w:rPr>
          <w:rFonts w:ascii="Times New Roman" w:hAnsi="Times New Roman"/>
          <w:sz w:val="24"/>
          <w:szCs w:val="24"/>
        </w:rPr>
        <w:t xml:space="preserve"> exogenous variation in the volume of campaign</w:t>
      </w:r>
      <w:r w:rsidR="006A483F" w:rsidRPr="00540AD3">
        <w:rPr>
          <w:rFonts w:ascii="Times New Roman" w:hAnsi="Times New Roman"/>
          <w:sz w:val="24"/>
          <w:szCs w:val="24"/>
        </w:rPr>
        <w:t xml:space="preserve"> ads</w:t>
      </w:r>
      <w:r w:rsidR="006A483F">
        <w:rPr>
          <w:rFonts w:ascii="Times New Roman" w:hAnsi="Times New Roman"/>
          <w:sz w:val="24"/>
          <w:szCs w:val="24"/>
        </w:rPr>
        <w:t xml:space="preserve"> run on television </w:t>
      </w:r>
      <w:r w:rsidR="002B707D">
        <w:rPr>
          <w:rFonts w:ascii="Times New Roman" w:hAnsi="Times New Roman"/>
          <w:sz w:val="24"/>
          <w:szCs w:val="24"/>
        </w:rPr>
        <w:t>to estimate the effect.</w:t>
      </w:r>
    </w:p>
    <w:p w:rsidR="00661FE1" w:rsidRDefault="00CD3EF9" w:rsidP="002B104B">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 xml:space="preserve">Some </w:t>
      </w:r>
      <w:r w:rsidR="00166EBA">
        <w:rPr>
          <w:rFonts w:ascii="Times New Roman" w:hAnsi="Times New Roman"/>
          <w:sz w:val="24"/>
          <w:szCs w:val="24"/>
        </w:rPr>
        <w:t>regions</w:t>
      </w:r>
      <w:r>
        <w:rPr>
          <w:rFonts w:ascii="Times New Roman" w:hAnsi="Times New Roman"/>
          <w:sz w:val="24"/>
          <w:szCs w:val="24"/>
        </w:rPr>
        <w:t xml:space="preserve"> receive </w:t>
      </w:r>
      <w:r w:rsidR="005054C1">
        <w:rPr>
          <w:rFonts w:ascii="Times New Roman" w:hAnsi="Times New Roman"/>
          <w:sz w:val="24"/>
          <w:szCs w:val="24"/>
        </w:rPr>
        <w:t>less</w:t>
      </w:r>
      <w:r>
        <w:rPr>
          <w:rFonts w:ascii="Times New Roman" w:hAnsi="Times New Roman"/>
          <w:sz w:val="24"/>
          <w:szCs w:val="24"/>
        </w:rPr>
        <w:t xml:space="preserve"> campaign advertisement</w:t>
      </w:r>
      <w:r w:rsidR="00FF0AF6">
        <w:rPr>
          <w:rFonts w:ascii="Times New Roman" w:hAnsi="Times New Roman"/>
          <w:sz w:val="24"/>
          <w:szCs w:val="24"/>
        </w:rPr>
        <w:t>, and canvassing efforts, during an election cycle</w:t>
      </w:r>
      <w:r>
        <w:rPr>
          <w:rFonts w:ascii="Times New Roman" w:hAnsi="Times New Roman"/>
          <w:sz w:val="24"/>
          <w:szCs w:val="24"/>
        </w:rPr>
        <w:t xml:space="preserve"> than others</w:t>
      </w:r>
      <w:r w:rsidR="00FF0AF6">
        <w:rPr>
          <w:rFonts w:ascii="Times New Roman" w:hAnsi="Times New Roman"/>
          <w:sz w:val="24"/>
          <w:szCs w:val="24"/>
        </w:rPr>
        <w:t xml:space="preserve">. </w:t>
      </w:r>
      <w:r>
        <w:rPr>
          <w:rFonts w:ascii="Times New Roman" w:hAnsi="Times New Roman"/>
          <w:sz w:val="24"/>
          <w:szCs w:val="24"/>
        </w:rPr>
        <w:t xml:space="preserve"> </w:t>
      </w:r>
      <w:r w:rsidR="008F2227">
        <w:rPr>
          <w:rFonts w:ascii="Times New Roman" w:hAnsi="Times New Roman"/>
          <w:sz w:val="24"/>
          <w:szCs w:val="24"/>
        </w:rPr>
        <w:t>Electoral C</w:t>
      </w:r>
      <w:r w:rsidR="007A35E0">
        <w:rPr>
          <w:rFonts w:ascii="Times New Roman" w:hAnsi="Times New Roman"/>
          <w:sz w:val="24"/>
          <w:szCs w:val="24"/>
        </w:rPr>
        <w:t>ollege considerations</w:t>
      </w:r>
      <w:r w:rsidR="00B022C6">
        <w:rPr>
          <w:rFonts w:ascii="Times New Roman" w:hAnsi="Times New Roman"/>
          <w:sz w:val="24"/>
          <w:szCs w:val="24"/>
        </w:rPr>
        <w:t xml:space="preserve"> (some combination of number of seats in play, and </w:t>
      </w:r>
      <w:r w:rsidR="00FF2D44">
        <w:rPr>
          <w:rFonts w:ascii="Times New Roman" w:hAnsi="Times New Roman"/>
          <w:sz w:val="24"/>
          <w:szCs w:val="24"/>
        </w:rPr>
        <w:t>potential to win a state</w:t>
      </w:r>
      <w:r w:rsidR="00B022C6">
        <w:rPr>
          <w:rFonts w:ascii="Times New Roman" w:hAnsi="Times New Roman"/>
          <w:sz w:val="24"/>
          <w:szCs w:val="24"/>
        </w:rPr>
        <w:t>)</w:t>
      </w:r>
      <w:r w:rsidR="00FF2D44">
        <w:rPr>
          <w:rFonts w:ascii="Times New Roman" w:hAnsi="Times New Roman"/>
          <w:sz w:val="24"/>
          <w:szCs w:val="24"/>
        </w:rPr>
        <w:t xml:space="preserve">, </w:t>
      </w:r>
      <w:r w:rsidR="00214EB5">
        <w:rPr>
          <w:rFonts w:ascii="Times New Roman" w:hAnsi="Times New Roman"/>
          <w:sz w:val="24"/>
          <w:szCs w:val="24"/>
        </w:rPr>
        <w:t>price of buying ads</w:t>
      </w:r>
      <w:r w:rsidR="00BA2435">
        <w:rPr>
          <w:rFonts w:ascii="Times New Roman" w:hAnsi="Times New Roman"/>
          <w:sz w:val="24"/>
          <w:szCs w:val="24"/>
        </w:rPr>
        <w:t xml:space="preserve"> in</w:t>
      </w:r>
      <w:r w:rsidR="00FC6171">
        <w:rPr>
          <w:rFonts w:ascii="Times New Roman" w:hAnsi="Times New Roman"/>
          <w:sz w:val="24"/>
          <w:szCs w:val="24"/>
        </w:rPr>
        <w:t xml:space="preserve"> Designated Market Areas (DMAs)</w:t>
      </w:r>
      <w:r w:rsidR="007A35E0">
        <w:rPr>
          <w:rFonts w:ascii="Times New Roman" w:hAnsi="Times New Roman"/>
          <w:sz w:val="24"/>
          <w:szCs w:val="24"/>
        </w:rPr>
        <w:t xml:space="preserve">, </w:t>
      </w:r>
      <w:r w:rsidR="00E42DEB">
        <w:rPr>
          <w:rFonts w:ascii="Times New Roman" w:hAnsi="Times New Roman"/>
          <w:sz w:val="24"/>
          <w:szCs w:val="24"/>
        </w:rPr>
        <w:t>etc.</w:t>
      </w:r>
      <w:r w:rsidR="009F5B50">
        <w:rPr>
          <w:rFonts w:ascii="Times New Roman" w:hAnsi="Times New Roman"/>
          <w:sz w:val="24"/>
          <w:szCs w:val="24"/>
        </w:rPr>
        <w:t>, all dictate where campaign resources go</w:t>
      </w:r>
      <w:r w:rsidR="00214EB5">
        <w:rPr>
          <w:rFonts w:ascii="Times New Roman" w:hAnsi="Times New Roman"/>
          <w:sz w:val="24"/>
          <w:szCs w:val="24"/>
        </w:rPr>
        <w:t>.</w:t>
      </w:r>
      <w:r w:rsidR="00032146">
        <w:rPr>
          <w:rFonts w:ascii="Times New Roman" w:hAnsi="Times New Roman"/>
          <w:sz w:val="24"/>
          <w:szCs w:val="24"/>
        </w:rPr>
        <w:t xml:space="preserve"> </w:t>
      </w:r>
      <w:r w:rsidR="00032146" w:rsidRPr="00837AA4">
        <w:rPr>
          <w:rFonts w:ascii="Times New Roman" w:hAnsi="Times New Roman"/>
          <w:sz w:val="24"/>
          <w:szCs w:val="24"/>
        </w:rPr>
        <w:t xml:space="preserve">So otherwise identical </w:t>
      </w:r>
      <w:r w:rsidR="00032146">
        <w:rPr>
          <w:rFonts w:ascii="Times New Roman" w:hAnsi="Times New Roman"/>
          <w:sz w:val="24"/>
          <w:szCs w:val="24"/>
        </w:rPr>
        <w:t xml:space="preserve">voters </w:t>
      </w:r>
      <w:r w:rsidR="000C57FB">
        <w:rPr>
          <w:rFonts w:ascii="Times New Roman" w:hAnsi="Times New Roman"/>
          <w:sz w:val="24"/>
          <w:szCs w:val="24"/>
        </w:rPr>
        <w:t>are</w:t>
      </w:r>
      <w:r w:rsidR="00714302">
        <w:rPr>
          <w:rFonts w:ascii="Times New Roman" w:hAnsi="Times New Roman"/>
          <w:sz w:val="24"/>
          <w:szCs w:val="24"/>
        </w:rPr>
        <w:t xml:space="preserve"> exposed to</w:t>
      </w:r>
      <w:r w:rsidR="00032146">
        <w:rPr>
          <w:rFonts w:ascii="Times New Roman" w:hAnsi="Times New Roman"/>
          <w:sz w:val="24"/>
          <w:szCs w:val="24"/>
        </w:rPr>
        <w:t xml:space="preserve"> different </w:t>
      </w:r>
      <w:r w:rsidR="00714302">
        <w:rPr>
          <w:rFonts w:ascii="Times New Roman" w:hAnsi="Times New Roman"/>
          <w:sz w:val="24"/>
          <w:szCs w:val="24"/>
        </w:rPr>
        <w:t>number of</w:t>
      </w:r>
      <w:r w:rsidR="00032146" w:rsidRPr="00837AA4">
        <w:rPr>
          <w:rFonts w:ascii="Times New Roman" w:hAnsi="Times New Roman"/>
          <w:sz w:val="24"/>
          <w:szCs w:val="24"/>
        </w:rPr>
        <w:t xml:space="preserve"> campaign </w:t>
      </w:r>
      <w:r w:rsidR="00714302">
        <w:rPr>
          <w:rFonts w:ascii="Times New Roman" w:hAnsi="Times New Roman"/>
          <w:sz w:val="24"/>
          <w:szCs w:val="24"/>
        </w:rPr>
        <w:t xml:space="preserve">ads </w:t>
      </w:r>
      <w:r w:rsidR="000716CE">
        <w:rPr>
          <w:rFonts w:ascii="Times New Roman" w:hAnsi="Times New Roman"/>
          <w:sz w:val="24"/>
          <w:szCs w:val="24"/>
        </w:rPr>
        <w:t>depending on what area they live in</w:t>
      </w:r>
      <w:r w:rsidR="00032146">
        <w:rPr>
          <w:rFonts w:ascii="Times New Roman" w:hAnsi="Times New Roman"/>
          <w:sz w:val="24"/>
          <w:szCs w:val="24"/>
        </w:rPr>
        <w:t xml:space="preserve">. </w:t>
      </w:r>
      <w:r w:rsidR="0070165A">
        <w:rPr>
          <w:rFonts w:ascii="Times New Roman" w:hAnsi="Times New Roman"/>
          <w:sz w:val="24"/>
          <w:szCs w:val="24"/>
        </w:rPr>
        <w:t xml:space="preserve">Since geography itself doesn’t exert an effect </w:t>
      </w:r>
      <w:r w:rsidR="007C4A6C">
        <w:rPr>
          <w:rFonts w:ascii="Times New Roman" w:hAnsi="Times New Roman"/>
          <w:sz w:val="24"/>
          <w:szCs w:val="24"/>
        </w:rPr>
        <w:t xml:space="preserve">on </w:t>
      </w:r>
      <w:r w:rsidR="008A2947">
        <w:rPr>
          <w:rFonts w:ascii="Times New Roman" w:hAnsi="Times New Roman"/>
          <w:sz w:val="24"/>
          <w:szCs w:val="24"/>
        </w:rPr>
        <w:t xml:space="preserve">partisan </w:t>
      </w:r>
      <w:r w:rsidR="007C4A6C">
        <w:rPr>
          <w:rFonts w:ascii="Times New Roman" w:hAnsi="Times New Roman"/>
          <w:sz w:val="24"/>
          <w:szCs w:val="24"/>
        </w:rPr>
        <w:t xml:space="preserve">affect </w:t>
      </w:r>
      <w:r w:rsidR="0070165A">
        <w:rPr>
          <w:rFonts w:ascii="Times New Roman" w:hAnsi="Times New Roman"/>
          <w:sz w:val="24"/>
          <w:szCs w:val="24"/>
        </w:rPr>
        <w:t xml:space="preserve">of its own, </w:t>
      </w:r>
      <w:r w:rsidR="0005031E">
        <w:rPr>
          <w:rFonts w:ascii="Times New Roman" w:hAnsi="Times New Roman"/>
          <w:sz w:val="24"/>
          <w:szCs w:val="24"/>
        </w:rPr>
        <w:t xml:space="preserve">exogenous </w:t>
      </w:r>
      <w:r w:rsidR="00A34F52">
        <w:rPr>
          <w:rFonts w:ascii="Times New Roman" w:hAnsi="Times New Roman"/>
          <w:sz w:val="24"/>
          <w:szCs w:val="24"/>
        </w:rPr>
        <w:t xml:space="preserve">(geographical) </w:t>
      </w:r>
      <w:r w:rsidR="0005031E">
        <w:rPr>
          <w:rFonts w:ascii="Times New Roman" w:hAnsi="Times New Roman"/>
          <w:sz w:val="24"/>
          <w:szCs w:val="24"/>
        </w:rPr>
        <w:t>variatio</w:t>
      </w:r>
      <w:r w:rsidR="00A34F52">
        <w:rPr>
          <w:rFonts w:ascii="Times New Roman" w:hAnsi="Times New Roman"/>
          <w:sz w:val="24"/>
          <w:szCs w:val="24"/>
        </w:rPr>
        <w:t>n</w:t>
      </w:r>
      <w:r w:rsidR="00A957C0">
        <w:rPr>
          <w:rFonts w:ascii="Times New Roman" w:hAnsi="Times New Roman"/>
          <w:sz w:val="24"/>
          <w:szCs w:val="24"/>
        </w:rPr>
        <w:t xml:space="preserve"> </w:t>
      </w:r>
      <w:r w:rsidR="0070165A">
        <w:rPr>
          <w:rFonts w:ascii="Times New Roman" w:hAnsi="Times New Roman"/>
          <w:sz w:val="24"/>
          <w:szCs w:val="24"/>
        </w:rPr>
        <w:t xml:space="preserve">in ads </w:t>
      </w:r>
      <w:r w:rsidR="00926984">
        <w:rPr>
          <w:rFonts w:ascii="Times New Roman" w:hAnsi="Times New Roman"/>
          <w:sz w:val="24"/>
          <w:szCs w:val="24"/>
        </w:rPr>
        <w:t xml:space="preserve">can be used to identify impact of ads on </w:t>
      </w:r>
      <w:r w:rsidR="00A54340">
        <w:rPr>
          <w:rFonts w:ascii="Times New Roman" w:hAnsi="Times New Roman"/>
          <w:sz w:val="24"/>
          <w:szCs w:val="24"/>
        </w:rPr>
        <w:t>partisan</w:t>
      </w:r>
      <w:r w:rsidR="00926984">
        <w:rPr>
          <w:rFonts w:ascii="Times New Roman" w:hAnsi="Times New Roman"/>
          <w:sz w:val="24"/>
          <w:szCs w:val="24"/>
        </w:rPr>
        <w:t xml:space="preserve"> sentiment.</w:t>
      </w:r>
    </w:p>
    <w:p w:rsidR="00E30D5F" w:rsidRDefault="00281D45" w:rsidP="00765EE5">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We start by</w:t>
      </w:r>
      <w:r w:rsidR="002D2F64">
        <w:rPr>
          <w:rFonts w:ascii="Times New Roman" w:hAnsi="Times New Roman"/>
          <w:sz w:val="24"/>
          <w:szCs w:val="24"/>
        </w:rPr>
        <w:t xml:space="preserve"> </w:t>
      </w:r>
      <w:r w:rsidR="00565A9D">
        <w:rPr>
          <w:rFonts w:ascii="Times New Roman" w:hAnsi="Times New Roman"/>
          <w:sz w:val="24"/>
          <w:szCs w:val="24"/>
        </w:rPr>
        <w:t xml:space="preserve">comparing </w:t>
      </w:r>
      <w:r w:rsidR="00032146">
        <w:rPr>
          <w:rFonts w:ascii="Times New Roman" w:hAnsi="Times New Roman"/>
          <w:sz w:val="24"/>
          <w:szCs w:val="24"/>
        </w:rPr>
        <w:t xml:space="preserve">voters living in </w:t>
      </w:r>
      <w:r w:rsidR="00032146" w:rsidRPr="00837AA4">
        <w:rPr>
          <w:rFonts w:ascii="Times New Roman" w:hAnsi="Times New Roman"/>
          <w:sz w:val="24"/>
          <w:szCs w:val="24"/>
        </w:rPr>
        <w:t>battleground and non-ba</w:t>
      </w:r>
      <w:r w:rsidR="00513A4A">
        <w:rPr>
          <w:rFonts w:ascii="Times New Roman" w:hAnsi="Times New Roman"/>
          <w:sz w:val="24"/>
          <w:szCs w:val="24"/>
        </w:rPr>
        <w:t>ttleground states.</w:t>
      </w:r>
      <w:r w:rsidR="00F44DA2">
        <w:rPr>
          <w:rFonts w:ascii="Times New Roman" w:hAnsi="Times New Roman"/>
          <w:sz w:val="24"/>
          <w:szCs w:val="24"/>
        </w:rPr>
        <w:t xml:space="preserve"> Each </w:t>
      </w:r>
      <w:r w:rsidR="00CB52EC">
        <w:rPr>
          <w:rFonts w:ascii="Times New Roman" w:hAnsi="Times New Roman"/>
          <w:sz w:val="24"/>
          <w:szCs w:val="24"/>
        </w:rPr>
        <w:t xml:space="preserve">presidential </w:t>
      </w:r>
      <w:r w:rsidR="00F44DA2">
        <w:rPr>
          <w:rFonts w:ascii="Times New Roman" w:hAnsi="Times New Roman"/>
          <w:sz w:val="24"/>
          <w:szCs w:val="24"/>
        </w:rPr>
        <w:t>e</w:t>
      </w:r>
      <w:r w:rsidR="0017407F">
        <w:rPr>
          <w:rFonts w:ascii="Times New Roman" w:hAnsi="Times New Roman"/>
          <w:sz w:val="24"/>
          <w:szCs w:val="24"/>
        </w:rPr>
        <w:t xml:space="preserve">lection cycle some states </w:t>
      </w:r>
      <w:r w:rsidR="00CA3F17">
        <w:rPr>
          <w:rFonts w:ascii="Times New Roman" w:hAnsi="Times New Roman"/>
          <w:sz w:val="24"/>
          <w:szCs w:val="24"/>
        </w:rPr>
        <w:t>are anointed</w:t>
      </w:r>
      <w:r w:rsidR="0017407F">
        <w:rPr>
          <w:rFonts w:ascii="Times New Roman" w:hAnsi="Times New Roman"/>
          <w:sz w:val="24"/>
          <w:szCs w:val="24"/>
        </w:rPr>
        <w:t xml:space="preserve"> ‘battleground</w:t>
      </w:r>
      <w:r w:rsidR="00CA3F17">
        <w:rPr>
          <w:rFonts w:ascii="Times New Roman" w:hAnsi="Times New Roman"/>
          <w:sz w:val="24"/>
          <w:szCs w:val="24"/>
        </w:rPr>
        <w:t xml:space="preserve"> states</w:t>
      </w:r>
      <w:r w:rsidR="00F44DA2">
        <w:rPr>
          <w:rFonts w:ascii="Times New Roman" w:hAnsi="Times New Roman"/>
          <w:sz w:val="24"/>
          <w:szCs w:val="24"/>
        </w:rPr>
        <w:t>’</w:t>
      </w:r>
      <w:r w:rsidR="0017407F">
        <w:rPr>
          <w:rFonts w:ascii="Times New Roman" w:hAnsi="Times New Roman"/>
          <w:sz w:val="24"/>
          <w:szCs w:val="24"/>
        </w:rPr>
        <w:t xml:space="preserve"> based on the perception that</w:t>
      </w:r>
      <w:r w:rsidR="005C7111">
        <w:rPr>
          <w:rFonts w:ascii="Times New Roman" w:hAnsi="Times New Roman"/>
          <w:sz w:val="24"/>
          <w:szCs w:val="24"/>
        </w:rPr>
        <w:t xml:space="preserve"> </w:t>
      </w:r>
      <w:r w:rsidR="000503FE">
        <w:rPr>
          <w:rFonts w:ascii="Times New Roman" w:hAnsi="Times New Roman"/>
          <w:sz w:val="24"/>
          <w:szCs w:val="24"/>
        </w:rPr>
        <w:t>states are</w:t>
      </w:r>
      <w:r w:rsidR="00F44DA2">
        <w:rPr>
          <w:rFonts w:ascii="Times New Roman" w:hAnsi="Times New Roman"/>
          <w:sz w:val="24"/>
          <w:szCs w:val="24"/>
        </w:rPr>
        <w:t xml:space="preserve"> competitive</w:t>
      </w:r>
      <w:r w:rsidR="00B1238F">
        <w:rPr>
          <w:rFonts w:ascii="Times New Roman" w:hAnsi="Times New Roman"/>
          <w:sz w:val="24"/>
          <w:szCs w:val="24"/>
        </w:rPr>
        <w:t xml:space="preserve"> </w:t>
      </w:r>
      <w:r w:rsidR="00BD4FB8">
        <w:rPr>
          <w:rFonts w:ascii="Times New Roman" w:hAnsi="Times New Roman"/>
          <w:sz w:val="24"/>
          <w:szCs w:val="24"/>
        </w:rPr>
        <w:t>and</w:t>
      </w:r>
      <w:r w:rsidR="00EC5724">
        <w:rPr>
          <w:rFonts w:ascii="Times New Roman" w:hAnsi="Times New Roman"/>
          <w:sz w:val="24"/>
          <w:szCs w:val="24"/>
        </w:rPr>
        <w:t xml:space="preserve"> the</w:t>
      </w:r>
      <w:r w:rsidR="00BD4FB8">
        <w:rPr>
          <w:rFonts w:ascii="Times New Roman" w:hAnsi="Times New Roman"/>
          <w:sz w:val="24"/>
          <w:szCs w:val="24"/>
        </w:rPr>
        <w:t xml:space="preserve"> </w:t>
      </w:r>
      <w:r w:rsidR="00C733CC">
        <w:rPr>
          <w:rFonts w:ascii="Times New Roman" w:hAnsi="Times New Roman"/>
          <w:sz w:val="24"/>
          <w:szCs w:val="24"/>
        </w:rPr>
        <w:t>Electoral College</w:t>
      </w:r>
      <w:r w:rsidR="00BD4FB8">
        <w:rPr>
          <w:rFonts w:ascii="Times New Roman" w:hAnsi="Times New Roman"/>
          <w:sz w:val="24"/>
          <w:szCs w:val="24"/>
        </w:rPr>
        <w:t xml:space="preserve"> seats in play</w:t>
      </w:r>
      <w:r w:rsidR="00F44DA2">
        <w:rPr>
          <w:rFonts w:ascii="Times New Roman" w:hAnsi="Times New Roman"/>
          <w:sz w:val="24"/>
          <w:szCs w:val="24"/>
        </w:rPr>
        <w:t>.</w:t>
      </w:r>
      <w:r w:rsidR="001055EE">
        <w:rPr>
          <w:rFonts w:ascii="Times New Roman" w:hAnsi="Times New Roman"/>
          <w:sz w:val="24"/>
          <w:szCs w:val="24"/>
        </w:rPr>
        <w:t xml:space="preserve"> </w:t>
      </w:r>
      <w:r w:rsidR="003633D0">
        <w:rPr>
          <w:rFonts w:ascii="Times New Roman" w:hAnsi="Times New Roman"/>
          <w:sz w:val="24"/>
          <w:szCs w:val="24"/>
        </w:rPr>
        <w:t xml:space="preserve">These battleground states </w:t>
      </w:r>
      <w:r w:rsidR="00FB6450">
        <w:rPr>
          <w:rFonts w:ascii="Times New Roman" w:hAnsi="Times New Roman"/>
          <w:sz w:val="24"/>
          <w:szCs w:val="24"/>
        </w:rPr>
        <w:t>are sites of far more intense</w:t>
      </w:r>
      <w:r w:rsidR="003633D0">
        <w:rPr>
          <w:rFonts w:ascii="Times New Roman" w:hAnsi="Times New Roman"/>
          <w:sz w:val="24"/>
          <w:szCs w:val="24"/>
        </w:rPr>
        <w:t xml:space="preserve"> campaigning </w:t>
      </w:r>
      <w:r w:rsidR="003230D7">
        <w:rPr>
          <w:rFonts w:ascii="Times New Roman" w:hAnsi="Times New Roman"/>
          <w:sz w:val="24"/>
          <w:szCs w:val="24"/>
        </w:rPr>
        <w:t xml:space="preserve">– ads, </w:t>
      </w:r>
      <w:r w:rsidR="000213CF">
        <w:rPr>
          <w:rFonts w:ascii="Times New Roman" w:hAnsi="Times New Roman"/>
          <w:sz w:val="24"/>
          <w:szCs w:val="24"/>
        </w:rPr>
        <w:t>canvassing,</w:t>
      </w:r>
      <w:r w:rsidR="00703326">
        <w:rPr>
          <w:rFonts w:ascii="Times New Roman" w:hAnsi="Times New Roman"/>
          <w:sz w:val="24"/>
          <w:szCs w:val="24"/>
        </w:rPr>
        <w:t xml:space="preserve"> </w:t>
      </w:r>
      <w:r w:rsidR="000213CF">
        <w:rPr>
          <w:rFonts w:ascii="Times New Roman" w:hAnsi="Times New Roman"/>
          <w:sz w:val="24"/>
          <w:szCs w:val="24"/>
        </w:rPr>
        <w:t>visits by candidates</w:t>
      </w:r>
      <w:r w:rsidR="009E24C4">
        <w:rPr>
          <w:rFonts w:ascii="Times New Roman" w:hAnsi="Times New Roman"/>
          <w:sz w:val="24"/>
          <w:szCs w:val="24"/>
        </w:rPr>
        <w:t>, etc.</w:t>
      </w:r>
      <w:r w:rsidR="00956DA8">
        <w:rPr>
          <w:rFonts w:ascii="Times New Roman" w:hAnsi="Times New Roman"/>
          <w:sz w:val="24"/>
          <w:szCs w:val="24"/>
        </w:rPr>
        <w:t xml:space="preserve"> (one presumes the three are heavily correlated)</w:t>
      </w:r>
      <w:r w:rsidR="000213CF">
        <w:rPr>
          <w:rFonts w:ascii="Times New Roman" w:hAnsi="Times New Roman"/>
          <w:sz w:val="24"/>
          <w:szCs w:val="24"/>
        </w:rPr>
        <w:t xml:space="preserve"> </w:t>
      </w:r>
      <w:r w:rsidR="009E24C4">
        <w:rPr>
          <w:rFonts w:ascii="Times New Roman" w:hAnsi="Times New Roman"/>
          <w:sz w:val="24"/>
          <w:szCs w:val="24"/>
        </w:rPr>
        <w:t xml:space="preserve">– </w:t>
      </w:r>
      <w:r w:rsidR="003633D0">
        <w:rPr>
          <w:rFonts w:ascii="Times New Roman" w:hAnsi="Times New Roman"/>
          <w:sz w:val="24"/>
          <w:szCs w:val="24"/>
        </w:rPr>
        <w:t>than the n</w:t>
      </w:r>
      <w:r w:rsidR="006E4D24">
        <w:rPr>
          <w:rFonts w:ascii="Times New Roman" w:hAnsi="Times New Roman"/>
          <w:sz w:val="24"/>
          <w:szCs w:val="24"/>
        </w:rPr>
        <w:t>on-battleground states.</w:t>
      </w:r>
      <w:r w:rsidR="0057794B">
        <w:rPr>
          <w:rFonts w:ascii="Times New Roman" w:hAnsi="Times New Roman"/>
          <w:sz w:val="24"/>
          <w:szCs w:val="24"/>
        </w:rPr>
        <w:t xml:space="preserve"> </w:t>
      </w:r>
      <w:r w:rsidR="003F0E4C">
        <w:rPr>
          <w:rFonts w:ascii="Times New Roman" w:hAnsi="Times New Roman"/>
          <w:sz w:val="24"/>
          <w:szCs w:val="24"/>
        </w:rPr>
        <w:t xml:space="preserve">Residents living in these </w:t>
      </w:r>
      <w:r w:rsidR="003F0E4C">
        <w:rPr>
          <w:rFonts w:ascii="Times New Roman" w:hAnsi="Times New Roman"/>
          <w:sz w:val="24"/>
          <w:szCs w:val="24"/>
        </w:rPr>
        <w:lastRenderedPageBreak/>
        <w:t xml:space="preserve">battleground states are expected to have larger negative partisan affect than </w:t>
      </w:r>
      <w:r w:rsidR="00F865B1">
        <w:rPr>
          <w:rFonts w:ascii="Times New Roman" w:hAnsi="Times New Roman"/>
          <w:sz w:val="24"/>
          <w:szCs w:val="24"/>
        </w:rPr>
        <w:t>those in non-battleground states.</w:t>
      </w:r>
      <w:r w:rsidR="00FB1B74">
        <w:rPr>
          <w:rFonts w:ascii="Times New Roman" w:hAnsi="Times New Roman"/>
          <w:sz w:val="24"/>
          <w:szCs w:val="24"/>
        </w:rPr>
        <w:t xml:space="preserve"> </w:t>
      </w:r>
      <w:r w:rsidR="00254BBE">
        <w:rPr>
          <w:rFonts w:ascii="Times New Roman" w:hAnsi="Times New Roman"/>
          <w:sz w:val="24"/>
          <w:szCs w:val="24"/>
        </w:rPr>
        <w:t>To test the causal pathway more rigorously, w</w:t>
      </w:r>
      <w:r w:rsidR="00F41177">
        <w:rPr>
          <w:rFonts w:ascii="Times New Roman" w:hAnsi="Times New Roman"/>
          <w:sz w:val="24"/>
          <w:szCs w:val="24"/>
        </w:rPr>
        <w:t>e estimate</w:t>
      </w:r>
      <w:r w:rsidR="00FC144E">
        <w:rPr>
          <w:rFonts w:ascii="Times New Roman" w:hAnsi="Times New Roman"/>
          <w:sz w:val="24"/>
          <w:szCs w:val="24"/>
        </w:rPr>
        <w:t xml:space="preserve"> a</w:t>
      </w:r>
      <w:r w:rsidR="00F41177">
        <w:rPr>
          <w:rFonts w:ascii="Times New Roman" w:hAnsi="Times New Roman"/>
          <w:sz w:val="24"/>
          <w:szCs w:val="24"/>
        </w:rPr>
        <w:t xml:space="preserve"> two stage model </w:t>
      </w:r>
      <w:r w:rsidR="00077FC0">
        <w:rPr>
          <w:rFonts w:ascii="Times New Roman" w:hAnsi="Times New Roman"/>
          <w:sz w:val="24"/>
          <w:szCs w:val="24"/>
        </w:rPr>
        <w:t xml:space="preserve">unconditionally, as well as </w:t>
      </w:r>
      <w:r w:rsidR="00F41177">
        <w:rPr>
          <w:rFonts w:ascii="Times New Roman" w:hAnsi="Times New Roman"/>
          <w:sz w:val="24"/>
          <w:szCs w:val="24"/>
        </w:rPr>
        <w:t>controlling for some individual level factors that may possibl</w:t>
      </w:r>
      <w:r w:rsidR="00DA11FE">
        <w:rPr>
          <w:rFonts w:ascii="Times New Roman" w:hAnsi="Times New Roman"/>
          <w:sz w:val="24"/>
          <w:szCs w:val="24"/>
        </w:rPr>
        <w:t xml:space="preserve">y correlate with </w:t>
      </w:r>
      <w:r w:rsidR="00F41177">
        <w:rPr>
          <w:rFonts w:ascii="Times New Roman" w:hAnsi="Times New Roman"/>
          <w:sz w:val="24"/>
          <w:szCs w:val="24"/>
        </w:rPr>
        <w:t xml:space="preserve">partisan affect </w:t>
      </w:r>
      <w:r w:rsidR="00BD4536">
        <w:rPr>
          <w:rFonts w:ascii="Times New Roman" w:hAnsi="Times New Roman"/>
          <w:sz w:val="24"/>
          <w:szCs w:val="24"/>
        </w:rPr>
        <w:t xml:space="preserve">– </w:t>
      </w:r>
      <w:r w:rsidR="00F41177" w:rsidRPr="00837AA4">
        <w:rPr>
          <w:rFonts w:ascii="Times New Roman" w:hAnsi="Times New Roman"/>
          <w:sz w:val="24"/>
          <w:szCs w:val="24"/>
        </w:rPr>
        <w:t>political interest</w:t>
      </w:r>
      <w:r w:rsidR="00DA11FE">
        <w:rPr>
          <w:rFonts w:ascii="Times New Roman" w:hAnsi="Times New Roman"/>
          <w:sz w:val="24"/>
          <w:szCs w:val="24"/>
        </w:rPr>
        <w:t xml:space="preserve"> (in January)</w:t>
      </w:r>
      <w:r w:rsidR="00F41177" w:rsidRPr="00837AA4">
        <w:rPr>
          <w:rFonts w:ascii="Times New Roman" w:hAnsi="Times New Roman"/>
          <w:sz w:val="24"/>
          <w:szCs w:val="24"/>
        </w:rPr>
        <w:t>, gender,</w:t>
      </w:r>
      <w:r w:rsidR="00F41177">
        <w:rPr>
          <w:rFonts w:ascii="Times New Roman" w:hAnsi="Times New Roman"/>
          <w:sz w:val="24"/>
          <w:szCs w:val="24"/>
        </w:rPr>
        <w:t xml:space="preserve"> </w:t>
      </w:r>
      <w:r w:rsidR="00F41177" w:rsidRPr="00837AA4">
        <w:rPr>
          <w:rFonts w:ascii="Times New Roman" w:hAnsi="Times New Roman"/>
          <w:sz w:val="24"/>
          <w:szCs w:val="24"/>
        </w:rPr>
        <w:t xml:space="preserve">strength of partisanship, </w:t>
      </w:r>
      <w:r w:rsidR="00676BC3">
        <w:rPr>
          <w:rFonts w:ascii="Times New Roman" w:hAnsi="Times New Roman"/>
          <w:sz w:val="24"/>
          <w:szCs w:val="24"/>
        </w:rPr>
        <w:t>race (</w:t>
      </w:r>
      <w:r w:rsidR="00F41177" w:rsidRPr="00837AA4">
        <w:rPr>
          <w:rFonts w:ascii="Times New Roman" w:hAnsi="Times New Roman"/>
          <w:sz w:val="24"/>
          <w:szCs w:val="24"/>
        </w:rPr>
        <w:t>indicator</w:t>
      </w:r>
      <w:r w:rsidR="00676BC3">
        <w:rPr>
          <w:rFonts w:ascii="Times New Roman" w:hAnsi="Times New Roman"/>
          <w:sz w:val="24"/>
          <w:szCs w:val="24"/>
        </w:rPr>
        <w:t xml:space="preserve">s for White, </w:t>
      </w:r>
      <w:r w:rsidR="00F41177" w:rsidRPr="00837AA4">
        <w:rPr>
          <w:rFonts w:ascii="Times New Roman" w:hAnsi="Times New Roman"/>
          <w:sz w:val="24"/>
          <w:szCs w:val="24"/>
        </w:rPr>
        <w:t>Black</w:t>
      </w:r>
      <w:r w:rsidR="00676BC3">
        <w:rPr>
          <w:rFonts w:ascii="Times New Roman" w:hAnsi="Times New Roman"/>
          <w:sz w:val="24"/>
          <w:szCs w:val="24"/>
        </w:rPr>
        <w:t>, and Hispanic</w:t>
      </w:r>
      <w:r w:rsidR="00F41177" w:rsidRPr="00837AA4">
        <w:rPr>
          <w:rFonts w:ascii="Times New Roman" w:hAnsi="Times New Roman"/>
          <w:sz w:val="24"/>
          <w:szCs w:val="24"/>
        </w:rPr>
        <w:t xml:space="preserve"> respondents</w:t>
      </w:r>
      <w:r w:rsidR="00676BC3">
        <w:rPr>
          <w:rFonts w:ascii="Times New Roman" w:hAnsi="Times New Roman"/>
          <w:sz w:val="24"/>
          <w:szCs w:val="24"/>
        </w:rPr>
        <w:t>)</w:t>
      </w:r>
      <w:r w:rsidR="00F41177" w:rsidRPr="00837AA4">
        <w:rPr>
          <w:rFonts w:ascii="Times New Roman" w:hAnsi="Times New Roman"/>
          <w:sz w:val="24"/>
          <w:szCs w:val="24"/>
        </w:rPr>
        <w:t xml:space="preserve">, </w:t>
      </w:r>
      <w:r w:rsidR="00F41177">
        <w:rPr>
          <w:rFonts w:ascii="Times New Roman" w:hAnsi="Times New Roman"/>
          <w:sz w:val="24"/>
          <w:szCs w:val="24"/>
        </w:rPr>
        <w:t>gender,</w:t>
      </w:r>
      <w:r w:rsidR="00F41177" w:rsidRPr="00837AA4">
        <w:rPr>
          <w:rFonts w:ascii="Times New Roman" w:hAnsi="Times New Roman"/>
          <w:sz w:val="24"/>
          <w:szCs w:val="24"/>
        </w:rPr>
        <w:t xml:space="preserve"> age</w:t>
      </w:r>
      <w:r w:rsidR="00F41177">
        <w:rPr>
          <w:rFonts w:ascii="Times New Roman" w:hAnsi="Times New Roman"/>
          <w:sz w:val="24"/>
          <w:szCs w:val="24"/>
        </w:rPr>
        <w:t>, and education</w:t>
      </w:r>
      <w:r w:rsidR="00F41177" w:rsidRPr="00837AA4">
        <w:rPr>
          <w:rFonts w:ascii="Times New Roman" w:hAnsi="Times New Roman"/>
          <w:sz w:val="24"/>
          <w:szCs w:val="24"/>
        </w:rPr>
        <w:t>.</w:t>
      </w:r>
      <w:r w:rsidR="00EB18CD">
        <w:rPr>
          <w:rFonts w:ascii="Times New Roman" w:hAnsi="Times New Roman"/>
          <w:sz w:val="24"/>
          <w:szCs w:val="24"/>
        </w:rPr>
        <w:t xml:space="preserve"> We </w:t>
      </w:r>
      <w:r w:rsidR="00EB18CD" w:rsidRPr="00837AA4">
        <w:rPr>
          <w:rFonts w:ascii="Times New Roman" w:hAnsi="Times New Roman"/>
          <w:sz w:val="24"/>
          <w:szCs w:val="24"/>
        </w:rPr>
        <w:t>use an indicator variable</w:t>
      </w:r>
      <w:r w:rsidR="00EB18CD">
        <w:rPr>
          <w:rFonts w:ascii="Times New Roman" w:hAnsi="Times New Roman"/>
          <w:sz w:val="24"/>
          <w:szCs w:val="24"/>
        </w:rPr>
        <w:t xml:space="preserve"> to identify </w:t>
      </w:r>
      <w:r w:rsidR="00EB18CD" w:rsidRPr="00837AA4">
        <w:rPr>
          <w:rFonts w:ascii="Times New Roman" w:hAnsi="Times New Roman"/>
          <w:sz w:val="24"/>
          <w:szCs w:val="24"/>
        </w:rPr>
        <w:t xml:space="preserve">voters who live in one of the </w:t>
      </w:r>
      <w:r w:rsidR="00EB18CD">
        <w:rPr>
          <w:rFonts w:ascii="Times New Roman" w:hAnsi="Times New Roman"/>
          <w:sz w:val="24"/>
          <w:szCs w:val="24"/>
        </w:rPr>
        <w:t>battleground states. List of battleground States in 2008: Florida, Iowa, Minnesota, Nevada, Wisconsin, New Hampshire,</w:t>
      </w:r>
      <w:r w:rsidR="00EB18CD" w:rsidRPr="00837AA4">
        <w:rPr>
          <w:rFonts w:ascii="Times New Roman" w:hAnsi="Times New Roman"/>
          <w:sz w:val="24"/>
          <w:szCs w:val="24"/>
        </w:rPr>
        <w:t xml:space="preserve"> N</w:t>
      </w:r>
      <w:r w:rsidR="00EB18CD">
        <w:rPr>
          <w:rFonts w:ascii="Times New Roman" w:hAnsi="Times New Roman"/>
          <w:sz w:val="24"/>
          <w:szCs w:val="24"/>
        </w:rPr>
        <w:t xml:space="preserve">ew </w:t>
      </w:r>
      <w:r w:rsidR="00EB18CD" w:rsidRPr="00837AA4">
        <w:rPr>
          <w:rFonts w:ascii="Times New Roman" w:hAnsi="Times New Roman"/>
          <w:sz w:val="24"/>
          <w:szCs w:val="24"/>
        </w:rPr>
        <w:t>M</w:t>
      </w:r>
      <w:r w:rsidR="00EB18CD">
        <w:rPr>
          <w:rFonts w:ascii="Times New Roman" w:hAnsi="Times New Roman"/>
          <w:sz w:val="24"/>
          <w:szCs w:val="24"/>
        </w:rPr>
        <w:t>exico, Ohio</w:t>
      </w:r>
      <w:r w:rsidR="00EB18CD" w:rsidRPr="00837AA4">
        <w:rPr>
          <w:rFonts w:ascii="Times New Roman" w:hAnsi="Times New Roman"/>
          <w:sz w:val="24"/>
          <w:szCs w:val="24"/>
        </w:rPr>
        <w:t xml:space="preserve">, </w:t>
      </w:r>
      <w:r w:rsidR="00EB18CD">
        <w:rPr>
          <w:rFonts w:ascii="Times New Roman" w:hAnsi="Times New Roman"/>
          <w:sz w:val="24"/>
          <w:szCs w:val="24"/>
        </w:rPr>
        <w:t xml:space="preserve">and Pennsylvania. For </w:t>
      </w:r>
      <w:r w:rsidR="00EB18CD" w:rsidRPr="00837AA4">
        <w:rPr>
          <w:rFonts w:ascii="Times New Roman" w:hAnsi="Times New Roman"/>
          <w:sz w:val="24"/>
          <w:szCs w:val="24"/>
        </w:rPr>
        <w:t>2004</w:t>
      </w:r>
      <w:r w:rsidR="00EB18CD">
        <w:rPr>
          <w:rFonts w:ascii="Times New Roman" w:hAnsi="Times New Roman"/>
          <w:sz w:val="24"/>
          <w:szCs w:val="24"/>
        </w:rPr>
        <w:t>, we add Missouri, Colorado</w:t>
      </w:r>
      <w:r w:rsidR="00EB18CD" w:rsidRPr="00837AA4">
        <w:rPr>
          <w:rFonts w:ascii="Times New Roman" w:hAnsi="Times New Roman"/>
          <w:sz w:val="24"/>
          <w:szCs w:val="24"/>
        </w:rPr>
        <w:t xml:space="preserve">, </w:t>
      </w:r>
      <w:r w:rsidR="00EB18CD">
        <w:rPr>
          <w:rFonts w:ascii="Times New Roman" w:hAnsi="Times New Roman"/>
          <w:sz w:val="24"/>
          <w:szCs w:val="24"/>
        </w:rPr>
        <w:t>and Hawaii to the 2008 list</w:t>
      </w:r>
      <w:r w:rsidR="00287C0B">
        <w:rPr>
          <w:rFonts w:ascii="Times New Roman" w:hAnsi="Times New Roman"/>
          <w:sz w:val="24"/>
          <w:szCs w:val="24"/>
        </w:rPr>
        <w:t xml:space="preserve"> (see XXX for rationale)</w:t>
      </w:r>
      <w:r w:rsidR="00EB18CD">
        <w:rPr>
          <w:rFonts w:ascii="Times New Roman" w:hAnsi="Times New Roman"/>
          <w:sz w:val="24"/>
          <w:szCs w:val="24"/>
        </w:rPr>
        <w:t xml:space="preserve">. </w:t>
      </w:r>
      <w:r w:rsidR="00B4786F">
        <w:rPr>
          <w:rFonts w:ascii="Times New Roman" w:hAnsi="Times New Roman"/>
          <w:sz w:val="24"/>
          <w:szCs w:val="24"/>
        </w:rPr>
        <w:t xml:space="preserve">There </w:t>
      </w:r>
      <w:r w:rsidR="00E203F7">
        <w:rPr>
          <w:rFonts w:ascii="Times New Roman" w:hAnsi="Times New Roman"/>
          <w:sz w:val="24"/>
          <w:szCs w:val="24"/>
        </w:rPr>
        <w:t>is one worry</w:t>
      </w:r>
      <w:r w:rsidR="00B4786F">
        <w:rPr>
          <w:rFonts w:ascii="Times New Roman" w:hAnsi="Times New Roman"/>
          <w:sz w:val="24"/>
          <w:szCs w:val="24"/>
        </w:rPr>
        <w:t xml:space="preserve"> about our strategy. </w:t>
      </w:r>
      <w:r w:rsidR="00E8319F">
        <w:rPr>
          <w:rFonts w:ascii="Times New Roman" w:hAnsi="Times New Roman"/>
          <w:sz w:val="24"/>
          <w:szCs w:val="24"/>
        </w:rPr>
        <w:t>T</w:t>
      </w:r>
      <w:r w:rsidR="009C3F77">
        <w:rPr>
          <w:rFonts w:ascii="Times New Roman" w:hAnsi="Times New Roman"/>
          <w:sz w:val="24"/>
          <w:szCs w:val="24"/>
        </w:rPr>
        <w:t>he essentially national nature of the media</w:t>
      </w:r>
      <w:r w:rsidR="002E43D0">
        <w:rPr>
          <w:rFonts w:ascii="Times New Roman" w:hAnsi="Times New Roman"/>
          <w:sz w:val="24"/>
          <w:szCs w:val="24"/>
        </w:rPr>
        <w:t xml:space="preserve"> and media campaigns</w:t>
      </w:r>
      <w:r w:rsidR="009C3F77">
        <w:rPr>
          <w:rFonts w:ascii="Times New Roman" w:hAnsi="Times New Roman"/>
          <w:sz w:val="24"/>
          <w:szCs w:val="24"/>
        </w:rPr>
        <w:t xml:space="preserve"> depresses the difference between ‘treatment’ received by residents in battleground and non-battleground states.</w:t>
      </w:r>
      <w:r w:rsidR="00A969A0">
        <w:rPr>
          <w:rFonts w:ascii="Times New Roman" w:hAnsi="Times New Roman"/>
          <w:sz w:val="24"/>
          <w:szCs w:val="24"/>
        </w:rPr>
        <w:t xml:space="preserve"> This is essentially conservative</w:t>
      </w:r>
      <w:r w:rsidR="000604BE">
        <w:rPr>
          <w:rFonts w:ascii="Times New Roman" w:hAnsi="Times New Roman"/>
          <w:sz w:val="24"/>
          <w:szCs w:val="24"/>
        </w:rPr>
        <w:t xml:space="preserve"> so we ignore it</w:t>
      </w:r>
      <w:r w:rsidR="00A969A0">
        <w:rPr>
          <w:rFonts w:ascii="Times New Roman" w:hAnsi="Times New Roman"/>
          <w:sz w:val="24"/>
          <w:szCs w:val="24"/>
        </w:rPr>
        <w:t xml:space="preserve">. </w:t>
      </w:r>
    </w:p>
    <w:p w:rsidR="009763D7" w:rsidRDefault="009763D7" w:rsidP="009763D7">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Some media markets span both battleground states and non-battleground states. For instance, northeast New Jersey is part of New York media market while southwest New Jersey is part of Pennsylvania media market. In addition the New York media market is more expensive than the New Jersey media market. So, residents of the same state can be exposed to different amount of television ads</w:t>
      </w:r>
      <w:r w:rsidRPr="00837AA4">
        <w:rPr>
          <w:rFonts w:ascii="Times New Roman" w:hAnsi="Times New Roman"/>
          <w:sz w:val="24"/>
          <w:szCs w:val="24"/>
        </w:rPr>
        <w:t>.</w:t>
      </w:r>
      <w:r>
        <w:rPr>
          <w:rFonts w:ascii="Times New Roman" w:hAnsi="Times New Roman"/>
          <w:sz w:val="24"/>
          <w:szCs w:val="24"/>
        </w:rPr>
        <w:t xml:space="preserve"> This serves as the second identification strategy.</w:t>
      </w:r>
    </w:p>
    <w:p w:rsidR="007A4B50" w:rsidRDefault="007B50BB" w:rsidP="00765EE5">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During presidential election years,</w:t>
      </w:r>
      <w:r w:rsidR="009F5306">
        <w:rPr>
          <w:rFonts w:ascii="Times New Roman" w:hAnsi="Times New Roman"/>
          <w:sz w:val="24"/>
          <w:szCs w:val="24"/>
        </w:rPr>
        <w:t xml:space="preserve"> some </w:t>
      </w:r>
      <w:r>
        <w:rPr>
          <w:rFonts w:ascii="Times New Roman" w:hAnsi="Times New Roman"/>
          <w:sz w:val="24"/>
          <w:szCs w:val="24"/>
        </w:rPr>
        <w:t>gubernatorial and</w:t>
      </w:r>
      <w:r w:rsidR="009F5306">
        <w:rPr>
          <w:rFonts w:ascii="Times New Roman" w:hAnsi="Times New Roman"/>
          <w:sz w:val="24"/>
          <w:szCs w:val="24"/>
        </w:rPr>
        <w:t xml:space="preserve"> all</w:t>
      </w:r>
      <w:r w:rsidR="00B13F29">
        <w:rPr>
          <w:rFonts w:ascii="Times New Roman" w:hAnsi="Times New Roman"/>
          <w:sz w:val="24"/>
          <w:szCs w:val="24"/>
        </w:rPr>
        <w:t xml:space="preserve"> </w:t>
      </w:r>
      <w:r>
        <w:rPr>
          <w:rFonts w:ascii="Times New Roman" w:hAnsi="Times New Roman"/>
          <w:sz w:val="24"/>
          <w:szCs w:val="24"/>
        </w:rPr>
        <w:t xml:space="preserve">congressional </w:t>
      </w:r>
      <w:r w:rsidR="000E00C3">
        <w:rPr>
          <w:rFonts w:ascii="Times New Roman" w:hAnsi="Times New Roman"/>
          <w:sz w:val="24"/>
          <w:szCs w:val="24"/>
        </w:rPr>
        <w:t>campaigns</w:t>
      </w:r>
      <w:r>
        <w:rPr>
          <w:rFonts w:ascii="Times New Roman" w:hAnsi="Times New Roman"/>
          <w:sz w:val="24"/>
          <w:szCs w:val="24"/>
        </w:rPr>
        <w:t xml:space="preserve"> are also </w:t>
      </w:r>
      <w:r w:rsidR="000E00C3">
        <w:rPr>
          <w:rFonts w:ascii="Times New Roman" w:hAnsi="Times New Roman"/>
          <w:sz w:val="24"/>
          <w:szCs w:val="24"/>
        </w:rPr>
        <w:t>being fought</w:t>
      </w:r>
      <w:r>
        <w:rPr>
          <w:rFonts w:ascii="Times New Roman" w:hAnsi="Times New Roman"/>
          <w:sz w:val="24"/>
          <w:szCs w:val="24"/>
        </w:rPr>
        <w:t>.</w:t>
      </w:r>
      <w:r w:rsidR="006B3B8D">
        <w:rPr>
          <w:rFonts w:ascii="Times New Roman" w:hAnsi="Times New Roman"/>
          <w:sz w:val="24"/>
          <w:szCs w:val="24"/>
        </w:rPr>
        <w:t xml:space="preserve"> </w:t>
      </w:r>
      <w:r w:rsidR="00E90259">
        <w:rPr>
          <w:rFonts w:ascii="Times New Roman" w:hAnsi="Times New Roman"/>
          <w:sz w:val="24"/>
          <w:szCs w:val="24"/>
        </w:rPr>
        <w:t xml:space="preserve">Hence, we can </w:t>
      </w:r>
      <w:r w:rsidR="00377CA5">
        <w:rPr>
          <w:rFonts w:ascii="Times New Roman" w:hAnsi="Times New Roman"/>
          <w:sz w:val="24"/>
          <w:szCs w:val="24"/>
        </w:rPr>
        <w:t xml:space="preserve">utilize heterogeneity in gubernatorial and </w:t>
      </w:r>
      <w:r w:rsidR="009F2A76">
        <w:rPr>
          <w:rFonts w:ascii="Times New Roman" w:hAnsi="Times New Roman"/>
          <w:sz w:val="24"/>
          <w:szCs w:val="24"/>
        </w:rPr>
        <w:t>congressional campaigning as well.</w:t>
      </w:r>
      <w:r w:rsidR="00377CA5">
        <w:rPr>
          <w:rFonts w:ascii="Times New Roman" w:hAnsi="Times New Roman"/>
          <w:sz w:val="24"/>
          <w:szCs w:val="24"/>
        </w:rPr>
        <w:t xml:space="preserve"> </w:t>
      </w:r>
      <w:r w:rsidR="007A4B50">
        <w:rPr>
          <w:rFonts w:ascii="Times New Roman" w:hAnsi="Times New Roman"/>
          <w:sz w:val="24"/>
          <w:szCs w:val="24"/>
        </w:rPr>
        <w:t>Since our theory is about net exposure to campaign ads, where possible, we pool data from all political campaigns.</w:t>
      </w:r>
      <w:r w:rsidR="004E5B30">
        <w:rPr>
          <w:rFonts w:ascii="Times New Roman" w:hAnsi="Times New Roman"/>
          <w:sz w:val="24"/>
          <w:szCs w:val="24"/>
        </w:rPr>
        <w:t xml:space="preserve"> We then proceed as above – first regressing net partisan affect on total negative ads run in a district controlling for potential individual level confounders, </w:t>
      </w:r>
      <w:r w:rsidR="0069631D">
        <w:rPr>
          <w:rFonts w:ascii="Times New Roman" w:hAnsi="Times New Roman"/>
          <w:sz w:val="24"/>
          <w:szCs w:val="24"/>
        </w:rPr>
        <w:t xml:space="preserve">and follow it </w:t>
      </w:r>
      <w:r w:rsidR="004E5B30">
        <w:rPr>
          <w:rFonts w:ascii="Times New Roman" w:hAnsi="Times New Roman"/>
          <w:sz w:val="24"/>
          <w:szCs w:val="24"/>
        </w:rPr>
        <w:t xml:space="preserve">by </w:t>
      </w:r>
      <w:r w:rsidR="00B06BEF">
        <w:rPr>
          <w:rFonts w:ascii="Times New Roman" w:hAnsi="Times New Roman"/>
          <w:sz w:val="24"/>
          <w:szCs w:val="24"/>
        </w:rPr>
        <w:t>a two stage instrumental variable model.</w:t>
      </w:r>
      <w:r w:rsidR="007A4B50">
        <w:rPr>
          <w:rFonts w:ascii="Times New Roman" w:hAnsi="Times New Roman"/>
          <w:sz w:val="24"/>
          <w:szCs w:val="24"/>
        </w:rPr>
        <w:t xml:space="preserve"> </w:t>
      </w:r>
    </w:p>
    <w:p w:rsidR="00B3477C" w:rsidRDefault="00235A3C" w:rsidP="007607D4">
      <w:pPr>
        <w:spacing w:line="480" w:lineRule="auto"/>
        <w:jc w:val="center"/>
        <w:rPr>
          <w:rFonts w:ascii="Times New Roman" w:hAnsi="Times New Roman"/>
          <w:sz w:val="24"/>
          <w:szCs w:val="24"/>
        </w:rPr>
      </w:pPr>
      <w:r>
        <w:rPr>
          <w:rFonts w:ascii="Times New Roman" w:hAnsi="Times New Roman"/>
          <w:sz w:val="24"/>
          <w:szCs w:val="24"/>
        </w:rPr>
        <w:lastRenderedPageBreak/>
        <w:t>Data</w:t>
      </w:r>
    </w:p>
    <w:p w:rsidR="0055109B" w:rsidRDefault="00BA2722" w:rsidP="009D5679">
      <w:pPr>
        <w:spacing w:line="480" w:lineRule="auto"/>
        <w:ind w:firstLine="720"/>
        <w:rPr>
          <w:rFonts w:ascii="Times New Roman" w:hAnsi="Times New Roman"/>
          <w:sz w:val="24"/>
          <w:szCs w:val="24"/>
        </w:rPr>
      </w:pPr>
      <w:r>
        <w:rPr>
          <w:rFonts w:ascii="Times New Roman" w:hAnsi="Times New Roman"/>
          <w:sz w:val="24"/>
          <w:szCs w:val="24"/>
        </w:rPr>
        <w:t xml:space="preserve">We use data from </w:t>
      </w:r>
      <w:r w:rsidR="00BA209E">
        <w:rPr>
          <w:rFonts w:ascii="Times New Roman" w:hAnsi="Times New Roman"/>
          <w:sz w:val="24"/>
          <w:szCs w:val="24"/>
        </w:rPr>
        <w:t>two</w:t>
      </w:r>
      <w:r w:rsidR="008100B6">
        <w:rPr>
          <w:rFonts w:ascii="Times New Roman" w:hAnsi="Times New Roman"/>
          <w:sz w:val="24"/>
          <w:szCs w:val="24"/>
        </w:rPr>
        <w:t xml:space="preserve"> different</w:t>
      </w:r>
      <w:r w:rsidR="00BA209E">
        <w:rPr>
          <w:rFonts w:ascii="Times New Roman" w:hAnsi="Times New Roman"/>
          <w:sz w:val="24"/>
          <w:szCs w:val="24"/>
        </w:rPr>
        <w:t xml:space="preserve"> </w:t>
      </w:r>
      <w:r w:rsidR="000A6C88">
        <w:rPr>
          <w:rFonts w:ascii="Times New Roman" w:hAnsi="Times New Roman"/>
          <w:sz w:val="24"/>
          <w:szCs w:val="24"/>
        </w:rPr>
        <w:t xml:space="preserve">large national </w:t>
      </w:r>
      <w:r w:rsidR="00BA209E">
        <w:rPr>
          <w:rFonts w:ascii="Times New Roman" w:hAnsi="Times New Roman"/>
          <w:sz w:val="24"/>
          <w:szCs w:val="24"/>
        </w:rPr>
        <w:t>surveys.</w:t>
      </w:r>
      <w:r w:rsidR="005A610D">
        <w:rPr>
          <w:rFonts w:ascii="Times New Roman" w:hAnsi="Times New Roman"/>
          <w:sz w:val="24"/>
          <w:szCs w:val="24"/>
        </w:rPr>
        <w:t xml:space="preserve"> For ad data we rely upon C</w:t>
      </w:r>
      <w:r w:rsidR="007D75F7">
        <w:rPr>
          <w:rFonts w:ascii="Times New Roman" w:hAnsi="Times New Roman"/>
          <w:sz w:val="24"/>
          <w:szCs w:val="24"/>
        </w:rPr>
        <w:t xml:space="preserve">ampaign </w:t>
      </w:r>
      <w:r w:rsidR="005A610D">
        <w:rPr>
          <w:rFonts w:ascii="Times New Roman" w:hAnsi="Times New Roman"/>
          <w:sz w:val="24"/>
          <w:szCs w:val="24"/>
        </w:rPr>
        <w:t>M</w:t>
      </w:r>
      <w:r w:rsidR="007D75F7">
        <w:rPr>
          <w:rFonts w:ascii="Times New Roman" w:hAnsi="Times New Roman"/>
          <w:sz w:val="24"/>
          <w:szCs w:val="24"/>
        </w:rPr>
        <w:t xml:space="preserve">edia </w:t>
      </w:r>
      <w:r w:rsidR="005A610D">
        <w:rPr>
          <w:rFonts w:ascii="Times New Roman" w:hAnsi="Times New Roman"/>
          <w:sz w:val="24"/>
          <w:szCs w:val="24"/>
        </w:rPr>
        <w:t>A</w:t>
      </w:r>
      <w:r w:rsidR="007D75F7">
        <w:rPr>
          <w:rFonts w:ascii="Times New Roman" w:hAnsi="Times New Roman"/>
          <w:sz w:val="24"/>
          <w:szCs w:val="24"/>
        </w:rPr>
        <w:t xml:space="preserve">nalysis </w:t>
      </w:r>
      <w:r w:rsidR="005A610D">
        <w:rPr>
          <w:rFonts w:ascii="Times New Roman" w:hAnsi="Times New Roman"/>
          <w:sz w:val="24"/>
          <w:szCs w:val="24"/>
        </w:rPr>
        <w:t>G</w:t>
      </w:r>
      <w:r w:rsidR="007D75F7">
        <w:rPr>
          <w:rFonts w:ascii="Times New Roman" w:hAnsi="Times New Roman"/>
          <w:sz w:val="24"/>
          <w:szCs w:val="24"/>
        </w:rPr>
        <w:t>roup (CMAG)</w:t>
      </w:r>
      <w:r w:rsidR="005A610D">
        <w:rPr>
          <w:rFonts w:ascii="Times New Roman" w:hAnsi="Times New Roman"/>
          <w:sz w:val="24"/>
          <w:szCs w:val="24"/>
        </w:rPr>
        <w:t xml:space="preserve"> data coded by the</w:t>
      </w:r>
      <w:r w:rsidR="00997A57">
        <w:rPr>
          <w:rFonts w:ascii="Times New Roman" w:hAnsi="Times New Roman"/>
          <w:sz w:val="24"/>
          <w:szCs w:val="24"/>
        </w:rPr>
        <w:t xml:space="preserve"> University of</w:t>
      </w:r>
      <w:r w:rsidR="005A610D">
        <w:rPr>
          <w:rFonts w:ascii="Times New Roman" w:hAnsi="Times New Roman"/>
          <w:sz w:val="24"/>
          <w:szCs w:val="24"/>
        </w:rPr>
        <w:t xml:space="preserve"> Wisconsin Ad</w:t>
      </w:r>
      <w:r w:rsidR="00997A57">
        <w:rPr>
          <w:rFonts w:ascii="Times New Roman" w:hAnsi="Times New Roman"/>
          <w:sz w:val="24"/>
          <w:szCs w:val="24"/>
        </w:rPr>
        <w:t>vertising</w:t>
      </w:r>
      <w:r w:rsidR="005A610D">
        <w:rPr>
          <w:rFonts w:ascii="Times New Roman" w:hAnsi="Times New Roman"/>
          <w:sz w:val="24"/>
          <w:szCs w:val="24"/>
        </w:rPr>
        <w:t xml:space="preserve"> Project.</w:t>
      </w:r>
      <w:r w:rsidR="0055109B">
        <w:rPr>
          <w:rFonts w:ascii="Times New Roman" w:hAnsi="Times New Roman"/>
          <w:sz w:val="24"/>
          <w:szCs w:val="24"/>
        </w:rPr>
        <w:t xml:space="preserve"> </w:t>
      </w:r>
    </w:p>
    <w:p w:rsidR="00D31D9C" w:rsidRDefault="0055109B" w:rsidP="009C6D4D">
      <w:pPr>
        <w:spacing w:line="480" w:lineRule="auto"/>
        <w:rPr>
          <w:rFonts w:ascii="Times New Roman" w:hAnsi="Times New Roman"/>
          <w:sz w:val="24"/>
          <w:szCs w:val="24"/>
        </w:rPr>
      </w:pPr>
      <w:r>
        <w:rPr>
          <w:rFonts w:ascii="Times New Roman" w:hAnsi="Times New Roman"/>
          <w:sz w:val="24"/>
          <w:szCs w:val="24"/>
        </w:rPr>
        <w:t>C</w:t>
      </w:r>
      <w:r w:rsidR="00AF4751">
        <w:rPr>
          <w:rFonts w:ascii="Times New Roman" w:hAnsi="Times New Roman"/>
          <w:sz w:val="24"/>
          <w:szCs w:val="24"/>
        </w:rPr>
        <w:t xml:space="preserve">ooperative </w:t>
      </w:r>
      <w:r>
        <w:rPr>
          <w:rFonts w:ascii="Times New Roman" w:hAnsi="Times New Roman"/>
          <w:sz w:val="24"/>
          <w:szCs w:val="24"/>
        </w:rPr>
        <w:t>C</w:t>
      </w:r>
      <w:r w:rsidR="00AF4751">
        <w:rPr>
          <w:rFonts w:ascii="Times New Roman" w:hAnsi="Times New Roman"/>
          <w:sz w:val="24"/>
          <w:szCs w:val="24"/>
        </w:rPr>
        <w:t xml:space="preserve">ampaign </w:t>
      </w:r>
      <w:r>
        <w:rPr>
          <w:rFonts w:ascii="Times New Roman" w:hAnsi="Times New Roman"/>
          <w:sz w:val="24"/>
          <w:szCs w:val="24"/>
        </w:rPr>
        <w:t>A</w:t>
      </w:r>
      <w:r w:rsidR="00AF4751">
        <w:rPr>
          <w:rFonts w:ascii="Times New Roman" w:hAnsi="Times New Roman"/>
          <w:sz w:val="24"/>
          <w:szCs w:val="24"/>
        </w:rPr>
        <w:t xml:space="preserve">nalysis </w:t>
      </w:r>
      <w:r>
        <w:rPr>
          <w:rFonts w:ascii="Times New Roman" w:hAnsi="Times New Roman"/>
          <w:sz w:val="24"/>
          <w:szCs w:val="24"/>
        </w:rPr>
        <w:t>P</w:t>
      </w:r>
      <w:r w:rsidR="00AF4751">
        <w:rPr>
          <w:rFonts w:ascii="Times New Roman" w:hAnsi="Times New Roman"/>
          <w:sz w:val="24"/>
          <w:szCs w:val="24"/>
        </w:rPr>
        <w:t>roject</w:t>
      </w:r>
      <w:r w:rsidR="0068266F">
        <w:rPr>
          <w:rFonts w:ascii="Times New Roman" w:hAnsi="Times New Roman"/>
          <w:sz w:val="24"/>
          <w:szCs w:val="24"/>
        </w:rPr>
        <w:t xml:space="preserve"> (CCAP)</w:t>
      </w:r>
      <w:r w:rsidR="00BA209E">
        <w:rPr>
          <w:rFonts w:ascii="Times New Roman" w:hAnsi="Times New Roman"/>
          <w:sz w:val="24"/>
          <w:szCs w:val="24"/>
        </w:rPr>
        <w:t xml:space="preserve"> </w:t>
      </w:r>
    </w:p>
    <w:p w:rsidR="00F324FB" w:rsidRDefault="0072467A" w:rsidP="00F90141">
      <w:pPr>
        <w:spacing w:line="480" w:lineRule="auto"/>
        <w:ind w:firstLine="720"/>
        <w:rPr>
          <w:rFonts w:ascii="Times New Roman" w:hAnsi="Times New Roman"/>
          <w:sz w:val="24"/>
          <w:szCs w:val="24"/>
        </w:rPr>
      </w:pPr>
      <w:r>
        <w:rPr>
          <w:rFonts w:ascii="Times New Roman" w:hAnsi="Times New Roman"/>
          <w:color w:val="000000"/>
          <w:sz w:val="24"/>
          <w:szCs w:val="24"/>
        </w:rPr>
        <w:t>A nationally representative sample of registered voters</w:t>
      </w:r>
      <w:r w:rsidR="001D0CF0">
        <w:rPr>
          <w:rFonts w:ascii="Times New Roman" w:hAnsi="Times New Roman"/>
          <w:color w:val="000000"/>
          <w:sz w:val="24"/>
          <w:szCs w:val="24"/>
        </w:rPr>
        <w:t>,</w:t>
      </w:r>
      <w:r w:rsidR="001D0CF0" w:rsidRPr="001D0CF0">
        <w:rPr>
          <w:rFonts w:ascii="Times New Roman" w:hAnsi="Times New Roman"/>
          <w:sz w:val="24"/>
          <w:szCs w:val="24"/>
        </w:rPr>
        <w:t xml:space="preserve"> </w:t>
      </w:r>
      <w:r w:rsidR="001D0CF0" w:rsidRPr="00D35C81">
        <w:rPr>
          <w:rFonts w:ascii="Times New Roman" w:hAnsi="Times New Roman"/>
          <w:sz w:val="24"/>
          <w:szCs w:val="24"/>
        </w:rPr>
        <w:t>stratified by</w:t>
      </w:r>
      <w:r w:rsidR="001D0CF0">
        <w:rPr>
          <w:rFonts w:ascii="Times New Roman" w:hAnsi="Times New Roman"/>
          <w:sz w:val="24"/>
          <w:szCs w:val="24"/>
        </w:rPr>
        <w:t xml:space="preserve"> </w:t>
      </w:r>
      <w:r w:rsidR="0041195A">
        <w:rPr>
          <w:rFonts w:ascii="Times New Roman" w:hAnsi="Times New Roman"/>
          <w:sz w:val="24"/>
          <w:szCs w:val="24"/>
        </w:rPr>
        <w:t>battleground</w:t>
      </w:r>
      <w:r w:rsidR="00391471">
        <w:rPr>
          <w:rFonts w:ascii="Times New Roman" w:hAnsi="Times New Roman"/>
          <w:sz w:val="24"/>
          <w:szCs w:val="24"/>
        </w:rPr>
        <w:t xml:space="preserve"> (</w:t>
      </w:r>
      <w:r w:rsidR="00391471" w:rsidRPr="00D35C81">
        <w:rPr>
          <w:rFonts w:ascii="Times New Roman" w:hAnsi="Times New Roman"/>
          <w:sz w:val="24"/>
          <w:szCs w:val="24"/>
        </w:rPr>
        <w:t>(FL, IA, MN, NV, WI,</w:t>
      </w:r>
      <w:r w:rsidR="00391471">
        <w:rPr>
          <w:rFonts w:ascii="Times New Roman" w:hAnsi="Times New Roman"/>
          <w:sz w:val="24"/>
          <w:szCs w:val="24"/>
        </w:rPr>
        <w:t xml:space="preserve"> </w:t>
      </w:r>
      <w:r w:rsidR="00391471" w:rsidRPr="00D35C81">
        <w:rPr>
          <w:rFonts w:ascii="Times New Roman" w:hAnsi="Times New Roman"/>
          <w:sz w:val="24"/>
          <w:szCs w:val="24"/>
        </w:rPr>
        <w:t>NH, NM, OH, PA)</w:t>
      </w:r>
      <w:r w:rsidR="0041195A">
        <w:rPr>
          <w:rFonts w:ascii="Times New Roman" w:hAnsi="Times New Roman"/>
          <w:sz w:val="24"/>
          <w:szCs w:val="24"/>
        </w:rPr>
        <w:t xml:space="preserve"> and</w:t>
      </w:r>
      <w:r w:rsidR="001D0CF0" w:rsidRPr="00D35C81">
        <w:rPr>
          <w:rFonts w:ascii="Times New Roman" w:hAnsi="Times New Roman"/>
          <w:sz w:val="24"/>
          <w:szCs w:val="24"/>
        </w:rPr>
        <w:t xml:space="preserve"> non-battleground states</w:t>
      </w:r>
      <w:r w:rsidR="001D0CF0">
        <w:rPr>
          <w:rFonts w:ascii="Times New Roman" w:hAnsi="Times New Roman"/>
          <w:sz w:val="24"/>
          <w:szCs w:val="24"/>
        </w:rPr>
        <w:t>,</w:t>
      </w:r>
      <w:r w:rsidR="0013574A">
        <w:rPr>
          <w:rFonts w:ascii="Times New Roman" w:hAnsi="Times New Roman"/>
          <w:color w:val="000000"/>
          <w:sz w:val="24"/>
          <w:szCs w:val="24"/>
        </w:rPr>
        <w:t xml:space="preserve"> was surveyed</w:t>
      </w:r>
      <w:r w:rsidR="003A3D7E">
        <w:rPr>
          <w:rFonts w:ascii="Times New Roman" w:hAnsi="Times New Roman"/>
          <w:color w:val="000000"/>
          <w:sz w:val="24"/>
          <w:szCs w:val="24"/>
        </w:rPr>
        <w:t xml:space="preserve"> online </w:t>
      </w:r>
      <w:r w:rsidR="0013574A">
        <w:rPr>
          <w:rFonts w:ascii="Times New Roman" w:hAnsi="Times New Roman"/>
          <w:color w:val="000000"/>
          <w:sz w:val="24"/>
          <w:szCs w:val="24"/>
        </w:rPr>
        <w:t>over the course of 2008 election campaign.</w:t>
      </w:r>
      <w:r>
        <w:rPr>
          <w:rFonts w:ascii="Times New Roman" w:hAnsi="Times New Roman"/>
          <w:color w:val="000000"/>
          <w:sz w:val="24"/>
          <w:szCs w:val="24"/>
        </w:rPr>
        <w:t xml:space="preserve"> </w:t>
      </w:r>
      <w:r w:rsidR="00C0299E">
        <w:rPr>
          <w:rFonts w:ascii="Times New Roman" w:hAnsi="Times New Roman"/>
          <w:sz w:val="24"/>
          <w:szCs w:val="24"/>
        </w:rPr>
        <w:t>A</w:t>
      </w:r>
      <w:r w:rsidR="00956836">
        <w:rPr>
          <w:rFonts w:ascii="Times New Roman" w:hAnsi="Times New Roman"/>
          <w:sz w:val="24"/>
          <w:szCs w:val="24"/>
        </w:rPr>
        <w:t>bout a</w:t>
      </w:r>
      <w:r w:rsidR="00C0299E">
        <w:rPr>
          <w:rFonts w:ascii="Times New Roman" w:hAnsi="Times New Roman"/>
          <w:sz w:val="24"/>
          <w:szCs w:val="24"/>
        </w:rPr>
        <w:t xml:space="preserve">s many respondents in </w:t>
      </w:r>
      <w:r w:rsidR="0069493B" w:rsidRPr="00D35C81">
        <w:rPr>
          <w:rFonts w:ascii="Times New Roman" w:hAnsi="Times New Roman"/>
          <w:sz w:val="24"/>
          <w:szCs w:val="24"/>
        </w:rPr>
        <w:t xml:space="preserve">battleground states </w:t>
      </w:r>
      <w:r w:rsidR="00C0299E">
        <w:rPr>
          <w:rFonts w:ascii="Times New Roman" w:hAnsi="Times New Roman"/>
          <w:sz w:val="24"/>
          <w:szCs w:val="24"/>
        </w:rPr>
        <w:t>were</w:t>
      </w:r>
      <w:r w:rsidR="0069493B">
        <w:rPr>
          <w:rFonts w:ascii="Times New Roman" w:hAnsi="Times New Roman"/>
          <w:sz w:val="24"/>
          <w:szCs w:val="24"/>
        </w:rPr>
        <w:t xml:space="preserve"> sampled </w:t>
      </w:r>
      <w:r w:rsidR="00C0299E">
        <w:rPr>
          <w:rFonts w:ascii="Times New Roman" w:hAnsi="Times New Roman"/>
          <w:sz w:val="24"/>
          <w:szCs w:val="24"/>
        </w:rPr>
        <w:t>as in</w:t>
      </w:r>
      <w:r w:rsidR="0069493B" w:rsidRPr="00D35C81">
        <w:rPr>
          <w:rFonts w:ascii="Times New Roman" w:hAnsi="Times New Roman"/>
          <w:sz w:val="24"/>
          <w:szCs w:val="24"/>
        </w:rPr>
        <w:t xml:space="preserve"> non-battleground</w:t>
      </w:r>
      <w:r w:rsidR="00C0299E">
        <w:rPr>
          <w:rFonts w:ascii="Times New Roman" w:hAnsi="Times New Roman"/>
          <w:sz w:val="24"/>
          <w:szCs w:val="24"/>
        </w:rPr>
        <w:t xml:space="preserve"> states</w:t>
      </w:r>
      <w:r w:rsidR="0069493B" w:rsidRPr="00D35C81">
        <w:rPr>
          <w:rFonts w:ascii="Times New Roman" w:hAnsi="Times New Roman"/>
          <w:sz w:val="24"/>
          <w:szCs w:val="24"/>
        </w:rPr>
        <w:t xml:space="preserve">. </w:t>
      </w:r>
      <w:r w:rsidR="00132E7D">
        <w:rPr>
          <w:rFonts w:ascii="Times New Roman" w:hAnsi="Times New Roman"/>
          <w:color w:val="000000"/>
          <w:sz w:val="24"/>
          <w:szCs w:val="24"/>
        </w:rPr>
        <w:t>O</w:t>
      </w:r>
      <w:r w:rsidR="00795C42">
        <w:rPr>
          <w:rFonts w:ascii="Times New Roman" w:hAnsi="Times New Roman"/>
          <w:color w:val="000000"/>
          <w:sz w:val="24"/>
          <w:szCs w:val="24"/>
        </w:rPr>
        <w:t>ver</w:t>
      </w:r>
      <w:r w:rsidR="003478F0" w:rsidRPr="005415BE">
        <w:rPr>
          <w:rFonts w:ascii="Times New Roman" w:hAnsi="Times New Roman"/>
          <w:color w:val="000000"/>
          <w:sz w:val="24"/>
          <w:szCs w:val="24"/>
        </w:rPr>
        <w:t xml:space="preserve"> six-wave</w:t>
      </w:r>
      <w:r w:rsidR="00795C42">
        <w:rPr>
          <w:rFonts w:ascii="Times New Roman" w:hAnsi="Times New Roman"/>
          <w:color w:val="000000"/>
          <w:sz w:val="24"/>
          <w:szCs w:val="24"/>
        </w:rPr>
        <w:t>s</w:t>
      </w:r>
      <w:r w:rsidR="003478F0" w:rsidRPr="005415BE">
        <w:rPr>
          <w:rFonts w:ascii="Times New Roman" w:hAnsi="Times New Roman"/>
          <w:color w:val="000000"/>
          <w:sz w:val="24"/>
          <w:szCs w:val="24"/>
        </w:rPr>
        <w:t>,</w:t>
      </w:r>
      <w:r w:rsidR="00715672">
        <w:rPr>
          <w:rFonts w:ascii="Times New Roman" w:hAnsi="Times New Roman"/>
          <w:color w:val="000000"/>
          <w:sz w:val="24"/>
          <w:szCs w:val="24"/>
        </w:rPr>
        <w:t xml:space="preserve"> </w:t>
      </w:r>
      <w:r w:rsidR="00795C42">
        <w:rPr>
          <w:rFonts w:ascii="Times New Roman" w:hAnsi="Times New Roman"/>
          <w:color w:val="000000"/>
          <w:sz w:val="24"/>
          <w:szCs w:val="24"/>
        </w:rPr>
        <w:t>starting December 2007</w:t>
      </w:r>
      <w:r w:rsidR="00CA0ADB">
        <w:rPr>
          <w:rFonts w:ascii="Times New Roman" w:hAnsi="Times New Roman"/>
          <w:color w:val="000000"/>
          <w:sz w:val="24"/>
          <w:szCs w:val="24"/>
        </w:rPr>
        <w:t xml:space="preserve"> and culminating with </w:t>
      </w:r>
      <w:r w:rsidR="00CA0ADB" w:rsidRPr="005415BE">
        <w:rPr>
          <w:rFonts w:ascii="Times New Roman" w:hAnsi="Times New Roman"/>
          <w:color w:val="000000"/>
          <w:sz w:val="24"/>
          <w:szCs w:val="24"/>
        </w:rPr>
        <w:t>a post-election survey in</w:t>
      </w:r>
      <w:r w:rsidR="00CA0ADB">
        <w:rPr>
          <w:rFonts w:ascii="Times New Roman" w:hAnsi="Times New Roman"/>
          <w:color w:val="000000"/>
          <w:sz w:val="24"/>
          <w:szCs w:val="24"/>
        </w:rPr>
        <w:t xml:space="preserve"> </w:t>
      </w:r>
      <w:r w:rsidR="00CA0ADB" w:rsidRPr="005415BE">
        <w:rPr>
          <w:rFonts w:ascii="Times New Roman" w:hAnsi="Times New Roman"/>
          <w:color w:val="000000"/>
          <w:sz w:val="24"/>
          <w:szCs w:val="24"/>
        </w:rPr>
        <w:t>November</w:t>
      </w:r>
      <w:r w:rsidR="00B04BF5">
        <w:rPr>
          <w:rFonts w:ascii="Times New Roman" w:hAnsi="Times New Roman"/>
          <w:color w:val="000000"/>
          <w:sz w:val="24"/>
          <w:szCs w:val="24"/>
        </w:rPr>
        <w:t>, 20,000 respondents were surveyed at least thrice.</w:t>
      </w:r>
      <w:r w:rsidR="003A4039">
        <w:rPr>
          <w:rFonts w:ascii="Times New Roman" w:hAnsi="Times New Roman"/>
          <w:color w:val="000000"/>
          <w:sz w:val="24"/>
          <w:szCs w:val="24"/>
        </w:rPr>
        <w:t xml:space="preserve"> For a more detailed account of sampling and survey procedures see Jackman and Vavreck (2009).</w:t>
      </w:r>
    </w:p>
    <w:p w:rsidR="00313DE3" w:rsidRDefault="002C5D23" w:rsidP="00313DE3">
      <w:pPr>
        <w:spacing w:line="480" w:lineRule="auto"/>
        <w:rPr>
          <w:rFonts w:ascii="Times New Roman" w:hAnsi="Times New Roman"/>
          <w:sz w:val="24"/>
          <w:szCs w:val="24"/>
        </w:rPr>
      </w:pPr>
      <w:r>
        <w:rPr>
          <w:rFonts w:ascii="Times New Roman" w:hAnsi="Times New Roman"/>
          <w:sz w:val="24"/>
          <w:szCs w:val="24"/>
        </w:rPr>
        <w:t>Political Issue Survey</w:t>
      </w:r>
      <w:r w:rsidR="00A919AA">
        <w:rPr>
          <w:rFonts w:ascii="Times New Roman" w:hAnsi="Times New Roman"/>
          <w:sz w:val="24"/>
          <w:szCs w:val="24"/>
        </w:rPr>
        <w:t xml:space="preserve"> </w:t>
      </w:r>
    </w:p>
    <w:p w:rsidR="002C5D23" w:rsidRDefault="002C5D23" w:rsidP="00313DE3">
      <w:pPr>
        <w:spacing w:line="480" w:lineRule="auto"/>
        <w:rPr>
          <w:rFonts w:ascii="Times New Roman" w:hAnsi="Times New Roman"/>
          <w:sz w:val="24"/>
          <w:szCs w:val="24"/>
        </w:rPr>
      </w:pPr>
      <w:r>
        <w:rPr>
          <w:rFonts w:ascii="Times New Roman" w:hAnsi="Times New Roman"/>
          <w:sz w:val="24"/>
          <w:szCs w:val="24"/>
        </w:rPr>
        <w:tab/>
      </w:r>
      <w:r w:rsidR="008D31DB">
        <w:rPr>
          <w:rFonts w:ascii="Times New Roman" w:hAnsi="Times New Roman"/>
          <w:sz w:val="24"/>
          <w:szCs w:val="24"/>
        </w:rPr>
        <w:t xml:space="preserve">We use data from survey commissioned by </w:t>
      </w:r>
      <w:r w:rsidR="00F7759D">
        <w:rPr>
          <w:rFonts w:ascii="Times New Roman" w:hAnsi="Times New Roman"/>
          <w:sz w:val="24"/>
          <w:szCs w:val="24"/>
        </w:rPr>
        <w:t xml:space="preserve">Hillygus and </w:t>
      </w:r>
      <w:r w:rsidR="00BE7D8C">
        <w:rPr>
          <w:rFonts w:ascii="Times New Roman" w:hAnsi="Times New Roman"/>
          <w:sz w:val="24"/>
          <w:szCs w:val="24"/>
        </w:rPr>
        <w:t>Shields</w:t>
      </w:r>
      <w:r w:rsidR="008D31DB">
        <w:rPr>
          <w:rFonts w:ascii="Times New Roman" w:hAnsi="Times New Roman"/>
          <w:sz w:val="24"/>
          <w:szCs w:val="24"/>
        </w:rPr>
        <w:t xml:space="preserve"> (</w:t>
      </w:r>
      <w:r w:rsidR="00B00E35">
        <w:rPr>
          <w:rFonts w:ascii="Times New Roman" w:hAnsi="Times New Roman"/>
          <w:sz w:val="24"/>
          <w:szCs w:val="24"/>
        </w:rPr>
        <w:t xml:space="preserve">see Hillygus and Shields 2008) </w:t>
      </w:r>
      <w:r w:rsidR="00812315">
        <w:rPr>
          <w:rFonts w:ascii="Times New Roman" w:hAnsi="Times New Roman"/>
          <w:sz w:val="24"/>
          <w:szCs w:val="24"/>
        </w:rPr>
        <w:t>right after</w:t>
      </w:r>
      <w:r w:rsidR="008D31DB">
        <w:rPr>
          <w:rFonts w:ascii="Times New Roman" w:hAnsi="Times New Roman"/>
          <w:sz w:val="24"/>
          <w:szCs w:val="24"/>
        </w:rPr>
        <w:t xml:space="preserve"> the 2004 </w:t>
      </w:r>
      <w:r w:rsidR="009978AB">
        <w:rPr>
          <w:rFonts w:ascii="Times New Roman" w:hAnsi="Times New Roman"/>
          <w:sz w:val="24"/>
          <w:szCs w:val="24"/>
        </w:rPr>
        <w:t xml:space="preserve">presidential </w:t>
      </w:r>
      <w:r w:rsidR="008D31DB">
        <w:rPr>
          <w:rFonts w:ascii="Times New Roman" w:hAnsi="Times New Roman"/>
          <w:sz w:val="24"/>
          <w:szCs w:val="24"/>
        </w:rPr>
        <w:t>campaign.</w:t>
      </w:r>
      <w:r w:rsidR="00F7759D">
        <w:rPr>
          <w:rFonts w:ascii="Times New Roman" w:hAnsi="Times New Roman"/>
          <w:sz w:val="24"/>
          <w:szCs w:val="24"/>
        </w:rPr>
        <w:t xml:space="preserve"> </w:t>
      </w:r>
      <w:r w:rsidR="00414416">
        <w:rPr>
          <w:rFonts w:ascii="Times New Roman" w:hAnsi="Times New Roman"/>
          <w:sz w:val="24"/>
          <w:szCs w:val="24"/>
        </w:rPr>
        <w:t xml:space="preserve">A stratified sample of </w:t>
      </w:r>
      <w:r w:rsidR="00EB6710">
        <w:rPr>
          <w:rFonts w:ascii="Times New Roman" w:hAnsi="Times New Roman"/>
          <w:sz w:val="24"/>
          <w:szCs w:val="24"/>
        </w:rPr>
        <w:t xml:space="preserve">2800 </w:t>
      </w:r>
      <w:r w:rsidR="00374A07">
        <w:rPr>
          <w:rFonts w:ascii="Times New Roman" w:hAnsi="Times New Roman"/>
          <w:sz w:val="24"/>
          <w:szCs w:val="24"/>
        </w:rPr>
        <w:t xml:space="preserve">adults from across the nation </w:t>
      </w:r>
      <w:r w:rsidR="00EB6710">
        <w:rPr>
          <w:rFonts w:ascii="Times New Roman" w:hAnsi="Times New Roman"/>
          <w:sz w:val="24"/>
          <w:szCs w:val="24"/>
        </w:rPr>
        <w:t xml:space="preserve">was interviewed between </w:t>
      </w:r>
      <w:r w:rsidR="00B63CBA" w:rsidRPr="00812315">
        <w:rPr>
          <w:rFonts w:ascii="Times New Roman" w:hAnsi="Times New Roman"/>
          <w:sz w:val="24"/>
          <w:szCs w:val="24"/>
        </w:rPr>
        <w:t>November 5, 2004 and November 16, 2004.</w:t>
      </w:r>
      <w:r w:rsidR="006F4D86">
        <w:rPr>
          <w:rFonts w:ascii="Times New Roman" w:hAnsi="Times New Roman"/>
          <w:sz w:val="24"/>
          <w:szCs w:val="24"/>
        </w:rPr>
        <w:t xml:space="preserve"> The data were weighted to match CPS benchmarks. For more on sampling and survey administration see Hillygus and Shields (2008).</w:t>
      </w:r>
    </w:p>
    <w:p w:rsidR="00493A65" w:rsidRDefault="00493A65" w:rsidP="00313DE3">
      <w:pPr>
        <w:spacing w:line="480" w:lineRule="auto"/>
        <w:rPr>
          <w:rFonts w:ascii="Times New Roman" w:hAnsi="Times New Roman"/>
          <w:sz w:val="24"/>
          <w:szCs w:val="24"/>
        </w:rPr>
      </w:pPr>
      <w:r>
        <w:rPr>
          <w:rFonts w:ascii="Times New Roman" w:hAnsi="Times New Roman"/>
          <w:sz w:val="24"/>
          <w:szCs w:val="24"/>
        </w:rPr>
        <w:t>Wisconsin Advertising Project Data</w:t>
      </w:r>
    </w:p>
    <w:p w:rsidR="00DC6BD9" w:rsidRDefault="007658AB" w:rsidP="006C1200">
      <w:pPr>
        <w:spacing w:line="480" w:lineRule="auto"/>
        <w:ind w:firstLine="720"/>
        <w:rPr>
          <w:rFonts w:ascii="Times New Roman" w:hAnsi="Times New Roman"/>
          <w:sz w:val="24"/>
          <w:szCs w:val="24"/>
        </w:rPr>
      </w:pPr>
      <w:r>
        <w:rPr>
          <w:rFonts w:ascii="Times New Roman" w:hAnsi="Times New Roman"/>
          <w:sz w:val="24"/>
          <w:szCs w:val="24"/>
        </w:rPr>
        <w:t>The data catalogs ads broa</w:t>
      </w:r>
      <w:r w:rsidR="00493A65" w:rsidRPr="003C322D">
        <w:rPr>
          <w:rFonts w:ascii="Times New Roman" w:hAnsi="Times New Roman"/>
          <w:sz w:val="24"/>
          <w:szCs w:val="24"/>
        </w:rPr>
        <w:t>dcast on the national broadcast</w:t>
      </w:r>
      <w:r w:rsidR="000B0EFD">
        <w:rPr>
          <w:rFonts w:ascii="Times New Roman" w:hAnsi="Times New Roman"/>
          <w:sz w:val="24"/>
          <w:szCs w:val="24"/>
        </w:rPr>
        <w:t xml:space="preserve"> and cable television networks </w:t>
      </w:r>
      <w:r w:rsidR="00493A65" w:rsidRPr="003C322D">
        <w:rPr>
          <w:rFonts w:ascii="Times New Roman" w:hAnsi="Times New Roman"/>
          <w:sz w:val="24"/>
          <w:szCs w:val="24"/>
        </w:rPr>
        <w:t xml:space="preserve">in </w:t>
      </w:r>
      <w:r w:rsidR="000B0EFD">
        <w:rPr>
          <w:rFonts w:ascii="Times New Roman" w:hAnsi="Times New Roman"/>
          <w:sz w:val="24"/>
          <w:szCs w:val="24"/>
        </w:rPr>
        <w:t>the</w:t>
      </w:r>
      <w:r w:rsidR="00493A65" w:rsidRPr="003C322D">
        <w:rPr>
          <w:rFonts w:ascii="Times New Roman" w:hAnsi="Times New Roman"/>
          <w:sz w:val="24"/>
          <w:szCs w:val="24"/>
        </w:rPr>
        <w:t xml:space="preserve"> top </w:t>
      </w:r>
      <w:r w:rsidR="00E14126">
        <w:rPr>
          <w:rFonts w:ascii="Times New Roman" w:hAnsi="Times New Roman"/>
          <w:sz w:val="24"/>
          <w:szCs w:val="24"/>
        </w:rPr>
        <w:t>100</w:t>
      </w:r>
      <w:r w:rsidR="00493A65" w:rsidRPr="003C322D">
        <w:rPr>
          <w:rFonts w:ascii="Times New Roman" w:hAnsi="Times New Roman"/>
          <w:sz w:val="24"/>
          <w:szCs w:val="24"/>
        </w:rPr>
        <w:t xml:space="preserve"> media</w:t>
      </w:r>
      <w:r w:rsidR="00493A65">
        <w:rPr>
          <w:rFonts w:ascii="Times New Roman" w:hAnsi="Times New Roman"/>
          <w:sz w:val="24"/>
          <w:szCs w:val="24"/>
        </w:rPr>
        <w:t xml:space="preserve"> </w:t>
      </w:r>
      <w:r w:rsidR="00493A65" w:rsidRPr="003C322D">
        <w:rPr>
          <w:rFonts w:ascii="Times New Roman" w:hAnsi="Times New Roman"/>
          <w:sz w:val="24"/>
          <w:szCs w:val="24"/>
        </w:rPr>
        <w:t xml:space="preserve">markets. </w:t>
      </w:r>
      <w:r w:rsidR="0056614C">
        <w:rPr>
          <w:rFonts w:ascii="Times New Roman" w:hAnsi="Times New Roman"/>
          <w:sz w:val="24"/>
          <w:szCs w:val="24"/>
        </w:rPr>
        <w:t xml:space="preserve">We have gubernatorial ad data from 2004 and 2008, </w:t>
      </w:r>
      <w:r w:rsidR="00B9738B">
        <w:rPr>
          <w:rFonts w:ascii="Times New Roman" w:hAnsi="Times New Roman"/>
          <w:sz w:val="24"/>
          <w:szCs w:val="24"/>
        </w:rPr>
        <w:t xml:space="preserve">while we have </w:t>
      </w:r>
      <w:r w:rsidR="0056614C">
        <w:rPr>
          <w:rFonts w:ascii="Times New Roman" w:hAnsi="Times New Roman"/>
          <w:sz w:val="24"/>
          <w:szCs w:val="24"/>
        </w:rPr>
        <w:t>presidential ad data from 2004 only.</w:t>
      </w:r>
      <w:r w:rsidR="008C49D9">
        <w:rPr>
          <w:rFonts w:ascii="Times New Roman" w:hAnsi="Times New Roman"/>
          <w:sz w:val="24"/>
          <w:szCs w:val="24"/>
        </w:rPr>
        <w:t xml:space="preserve"> The advertising data are coded for a variety of characteristics </w:t>
      </w:r>
      <w:r w:rsidR="00AC69F5">
        <w:rPr>
          <w:rFonts w:ascii="Times New Roman" w:hAnsi="Times New Roman"/>
          <w:sz w:val="24"/>
          <w:szCs w:val="24"/>
        </w:rPr>
        <w:t>including negativity.</w:t>
      </w:r>
      <w:r w:rsidR="00B41221">
        <w:rPr>
          <w:rFonts w:ascii="Times New Roman" w:hAnsi="Times New Roman"/>
          <w:sz w:val="24"/>
          <w:szCs w:val="24"/>
        </w:rPr>
        <w:t xml:space="preserve"> </w:t>
      </w:r>
      <w:r w:rsidR="004427DA">
        <w:rPr>
          <w:rFonts w:ascii="Times New Roman" w:hAnsi="Times New Roman"/>
          <w:sz w:val="24"/>
          <w:szCs w:val="24"/>
        </w:rPr>
        <w:t xml:space="preserve"> </w:t>
      </w:r>
    </w:p>
    <w:p w:rsidR="00235A3C" w:rsidRDefault="00235A3C" w:rsidP="007607D4">
      <w:pPr>
        <w:spacing w:line="480" w:lineRule="auto"/>
        <w:jc w:val="center"/>
        <w:rPr>
          <w:rFonts w:ascii="Times New Roman" w:hAnsi="Times New Roman"/>
          <w:sz w:val="24"/>
          <w:szCs w:val="24"/>
        </w:rPr>
      </w:pPr>
      <w:r>
        <w:rPr>
          <w:rFonts w:ascii="Times New Roman" w:hAnsi="Times New Roman"/>
          <w:sz w:val="24"/>
          <w:szCs w:val="24"/>
        </w:rPr>
        <w:t>Measures</w:t>
      </w:r>
    </w:p>
    <w:p w:rsidR="00105795" w:rsidRDefault="00105795" w:rsidP="00313DE3">
      <w:pPr>
        <w:spacing w:line="480" w:lineRule="auto"/>
        <w:rPr>
          <w:rFonts w:ascii="Times New Roman" w:hAnsi="Times New Roman"/>
          <w:sz w:val="24"/>
          <w:szCs w:val="24"/>
        </w:rPr>
      </w:pPr>
      <w:r>
        <w:rPr>
          <w:rFonts w:ascii="Times New Roman" w:hAnsi="Times New Roman"/>
          <w:sz w:val="24"/>
          <w:szCs w:val="24"/>
        </w:rPr>
        <w:lastRenderedPageBreak/>
        <w:t>Partisan Affect</w:t>
      </w:r>
    </w:p>
    <w:p w:rsidR="002B4F43" w:rsidRDefault="00AB4ADB" w:rsidP="00DB7080">
      <w:pPr>
        <w:spacing w:line="480" w:lineRule="auto"/>
        <w:ind w:firstLine="720"/>
        <w:rPr>
          <w:rFonts w:ascii="Times New Roman" w:hAnsi="Times New Roman"/>
          <w:sz w:val="24"/>
          <w:szCs w:val="24"/>
        </w:rPr>
      </w:pPr>
      <w:r>
        <w:rPr>
          <w:rFonts w:ascii="Times New Roman" w:hAnsi="Times New Roman"/>
          <w:sz w:val="24"/>
          <w:szCs w:val="24"/>
        </w:rPr>
        <w:t xml:space="preserve">There are two measures of partisan affect. In Political Issues Survey data, we measure favorability of party via a </w:t>
      </w:r>
      <w:r w:rsidR="0003791A">
        <w:rPr>
          <w:rFonts w:ascii="Times New Roman" w:hAnsi="Times New Roman"/>
          <w:sz w:val="24"/>
          <w:szCs w:val="24"/>
        </w:rPr>
        <w:t>100 point scale</w:t>
      </w:r>
      <w:r>
        <w:rPr>
          <w:rFonts w:ascii="Times New Roman" w:hAnsi="Times New Roman"/>
          <w:sz w:val="24"/>
          <w:szCs w:val="24"/>
        </w:rPr>
        <w:t xml:space="preserve">. We rescale the favorability ratings to lie between 0 and 1. </w:t>
      </w:r>
      <w:r w:rsidR="00664689">
        <w:rPr>
          <w:rFonts w:ascii="Times New Roman" w:hAnsi="Times New Roman"/>
          <w:sz w:val="24"/>
          <w:szCs w:val="24"/>
        </w:rPr>
        <w:t xml:space="preserve">For </w:t>
      </w:r>
      <w:r w:rsidR="008F279A">
        <w:rPr>
          <w:rFonts w:ascii="Times New Roman" w:hAnsi="Times New Roman"/>
          <w:sz w:val="24"/>
          <w:szCs w:val="24"/>
        </w:rPr>
        <w:t>self-identified partisans</w:t>
      </w:r>
      <w:r w:rsidR="00664689">
        <w:rPr>
          <w:rFonts w:ascii="Times New Roman" w:hAnsi="Times New Roman"/>
          <w:sz w:val="24"/>
          <w:szCs w:val="24"/>
        </w:rPr>
        <w:t>, w</w:t>
      </w:r>
      <w:r>
        <w:rPr>
          <w:rFonts w:ascii="Times New Roman" w:hAnsi="Times New Roman"/>
          <w:sz w:val="24"/>
          <w:szCs w:val="24"/>
        </w:rPr>
        <w:t>e create a further variable, a proxy of net partisan affect, by subtracting out party ratings from in party ratings.</w:t>
      </w:r>
      <w:r w:rsidR="00DB7080">
        <w:rPr>
          <w:rFonts w:ascii="Times New Roman" w:hAnsi="Times New Roman"/>
          <w:sz w:val="24"/>
          <w:szCs w:val="24"/>
        </w:rPr>
        <w:t xml:space="preserve"> </w:t>
      </w:r>
      <w:r w:rsidR="002B4F43">
        <w:rPr>
          <w:rFonts w:ascii="Times New Roman" w:hAnsi="Times New Roman"/>
          <w:sz w:val="24"/>
          <w:szCs w:val="24"/>
        </w:rPr>
        <w:t>For CCAP</w:t>
      </w:r>
      <w:r w:rsidR="00DB7080">
        <w:rPr>
          <w:rFonts w:ascii="Times New Roman" w:hAnsi="Times New Roman"/>
          <w:sz w:val="24"/>
          <w:szCs w:val="24"/>
        </w:rPr>
        <w:t>, favorability towards parties was measures on a five point scale. We rescale the ratings to lie between 0 and 1 and once again create a variable that is the difference between in party and out party favorability ratings.</w:t>
      </w:r>
    </w:p>
    <w:p w:rsidR="00235A3C" w:rsidRDefault="00E26399" w:rsidP="00313DE3">
      <w:pPr>
        <w:spacing w:line="480" w:lineRule="auto"/>
        <w:rPr>
          <w:rFonts w:ascii="Times New Roman" w:hAnsi="Times New Roman"/>
          <w:sz w:val="24"/>
          <w:szCs w:val="24"/>
        </w:rPr>
      </w:pPr>
      <w:r>
        <w:rPr>
          <w:rFonts w:ascii="Times New Roman" w:hAnsi="Times New Roman"/>
          <w:sz w:val="24"/>
          <w:szCs w:val="24"/>
        </w:rPr>
        <w:t>Ad Exposure</w:t>
      </w:r>
    </w:p>
    <w:p w:rsidR="00E26399" w:rsidRDefault="0036206C" w:rsidP="00313DE3">
      <w:pPr>
        <w:spacing w:line="480" w:lineRule="auto"/>
        <w:rPr>
          <w:rFonts w:ascii="Times New Roman" w:hAnsi="Times New Roman"/>
          <w:sz w:val="24"/>
          <w:szCs w:val="24"/>
        </w:rPr>
      </w:pPr>
      <w:r>
        <w:rPr>
          <w:rFonts w:ascii="Times New Roman" w:hAnsi="Times New Roman"/>
          <w:sz w:val="24"/>
          <w:szCs w:val="24"/>
        </w:rPr>
        <w:tab/>
      </w:r>
      <w:r w:rsidR="0087523A">
        <w:rPr>
          <w:rFonts w:ascii="Times New Roman" w:hAnsi="Times New Roman"/>
          <w:sz w:val="24"/>
          <w:szCs w:val="24"/>
        </w:rPr>
        <w:t xml:space="preserve">There is considerable self-selection in who </w:t>
      </w:r>
      <w:r w:rsidR="0092462C">
        <w:rPr>
          <w:rFonts w:ascii="Times New Roman" w:hAnsi="Times New Roman"/>
          <w:sz w:val="24"/>
          <w:szCs w:val="24"/>
        </w:rPr>
        <w:t>is exposed to political</w:t>
      </w:r>
      <w:r w:rsidR="0087523A">
        <w:rPr>
          <w:rFonts w:ascii="Times New Roman" w:hAnsi="Times New Roman"/>
          <w:sz w:val="24"/>
          <w:szCs w:val="24"/>
        </w:rPr>
        <w:t xml:space="preserve"> ads run in </w:t>
      </w:r>
      <w:r w:rsidR="002115B7">
        <w:rPr>
          <w:rFonts w:ascii="Times New Roman" w:hAnsi="Times New Roman"/>
          <w:sz w:val="24"/>
          <w:szCs w:val="24"/>
        </w:rPr>
        <w:t>a</w:t>
      </w:r>
      <w:r w:rsidR="0087523A">
        <w:rPr>
          <w:rFonts w:ascii="Times New Roman" w:hAnsi="Times New Roman"/>
          <w:sz w:val="24"/>
          <w:szCs w:val="24"/>
        </w:rPr>
        <w:t xml:space="preserve"> market. </w:t>
      </w:r>
      <w:r w:rsidR="00335CC8">
        <w:rPr>
          <w:rFonts w:ascii="Times New Roman" w:hAnsi="Times New Roman"/>
          <w:sz w:val="24"/>
          <w:szCs w:val="24"/>
        </w:rPr>
        <w:t xml:space="preserve"> </w:t>
      </w:r>
    </w:p>
    <w:p w:rsidR="00AB7233" w:rsidRDefault="00F814B9" w:rsidP="00AB7233">
      <w:pPr>
        <w:autoSpaceDE w:val="0"/>
        <w:autoSpaceDN w:val="0"/>
        <w:adjustRightInd w:val="0"/>
        <w:jc w:val="center"/>
        <w:rPr>
          <w:rFonts w:ascii="Times New Roman" w:hAnsi="Times New Roman"/>
          <w:sz w:val="24"/>
          <w:szCs w:val="24"/>
        </w:rPr>
      </w:pPr>
      <w:r>
        <w:rPr>
          <w:rFonts w:ascii="Times New Roman" w:hAnsi="Times New Roman"/>
          <w:sz w:val="24"/>
          <w:szCs w:val="24"/>
        </w:rPr>
        <w:t>Result</w:t>
      </w:r>
      <w:r w:rsidR="002526FE">
        <w:rPr>
          <w:rFonts w:ascii="Times New Roman" w:hAnsi="Times New Roman"/>
          <w:sz w:val="24"/>
          <w:szCs w:val="24"/>
        </w:rPr>
        <w:t>s</w:t>
      </w:r>
    </w:p>
    <w:p w:rsidR="00F814B9" w:rsidRDefault="00F814B9" w:rsidP="00C51138">
      <w:pPr>
        <w:autoSpaceDE w:val="0"/>
        <w:autoSpaceDN w:val="0"/>
        <w:adjustRightInd w:val="0"/>
        <w:rPr>
          <w:rFonts w:ascii="Times New Roman" w:hAnsi="Times New Roman"/>
          <w:sz w:val="24"/>
          <w:szCs w:val="24"/>
        </w:rPr>
      </w:pPr>
    </w:p>
    <w:p w:rsidR="00011FB9" w:rsidRDefault="00011FB9" w:rsidP="00E35798">
      <w:pPr>
        <w:rPr>
          <w:rFonts w:ascii="Times New Roman" w:hAnsi="Times New Roman"/>
          <w:sz w:val="24"/>
          <w:szCs w:val="24"/>
        </w:rPr>
      </w:pPr>
      <w:r>
        <w:rPr>
          <w:rFonts w:ascii="Times New Roman" w:hAnsi="Times New Roman"/>
          <w:sz w:val="24"/>
          <w:szCs w:val="24"/>
        </w:rPr>
        <w:t xml:space="preserve">Battleground </w:t>
      </w:r>
      <w:proofErr w:type="gramStart"/>
      <w:r>
        <w:rPr>
          <w:rFonts w:ascii="Times New Roman" w:hAnsi="Times New Roman"/>
          <w:sz w:val="24"/>
          <w:szCs w:val="24"/>
        </w:rPr>
        <w:t>V</w:t>
      </w:r>
      <w:r w:rsidR="001B350F">
        <w:rPr>
          <w:rFonts w:ascii="Times New Roman" w:hAnsi="Times New Roman"/>
          <w:sz w:val="24"/>
          <w:szCs w:val="24"/>
        </w:rPr>
        <w:t>s</w:t>
      </w:r>
      <w:proofErr w:type="gramEnd"/>
      <w:r w:rsidR="001B350F">
        <w:rPr>
          <w:rFonts w:ascii="Times New Roman" w:hAnsi="Times New Roman"/>
          <w:sz w:val="24"/>
          <w:szCs w:val="24"/>
        </w:rPr>
        <w:t>.</w:t>
      </w:r>
      <w:r>
        <w:rPr>
          <w:rFonts w:ascii="Times New Roman" w:hAnsi="Times New Roman"/>
          <w:sz w:val="24"/>
          <w:szCs w:val="24"/>
        </w:rPr>
        <w:t xml:space="preserve"> Non-Battleground</w:t>
      </w:r>
    </w:p>
    <w:p w:rsidR="00011FB9" w:rsidRDefault="00011FB9" w:rsidP="00E35798">
      <w:pPr>
        <w:rPr>
          <w:rFonts w:ascii="Times New Roman" w:hAnsi="Times New Roman"/>
          <w:sz w:val="24"/>
          <w:szCs w:val="24"/>
        </w:rPr>
      </w:pPr>
    </w:p>
    <w:p w:rsidR="00E35798" w:rsidRPr="00226165" w:rsidRDefault="00E35798" w:rsidP="00E35798">
      <w:pPr>
        <w:rPr>
          <w:rFonts w:ascii="Times New Roman" w:hAnsi="Times New Roman"/>
          <w:sz w:val="24"/>
          <w:szCs w:val="24"/>
        </w:rPr>
      </w:pPr>
      <w:r w:rsidRPr="00226165">
        <w:rPr>
          <w:rFonts w:ascii="Times New Roman" w:hAnsi="Times New Roman"/>
          <w:sz w:val="24"/>
          <w:szCs w:val="24"/>
        </w:rPr>
        <w:t>Hilly</w:t>
      </w:r>
      <w:r w:rsidR="00475F96" w:rsidRPr="00226165">
        <w:rPr>
          <w:rFonts w:ascii="Times New Roman" w:hAnsi="Times New Roman"/>
          <w:sz w:val="24"/>
          <w:szCs w:val="24"/>
        </w:rPr>
        <w:t>g</w:t>
      </w:r>
      <w:r w:rsidRPr="00226165">
        <w:rPr>
          <w:rFonts w:ascii="Times New Roman" w:hAnsi="Times New Roman"/>
          <w:sz w:val="24"/>
          <w:szCs w:val="24"/>
        </w:rPr>
        <w:t>us Data</w:t>
      </w:r>
    </w:p>
    <w:p w:rsidR="00E35798" w:rsidRDefault="00E35798" w:rsidP="00E35798">
      <w:pPr>
        <w:rPr>
          <w:rFonts w:ascii="Times New Roman" w:hAnsi="Times New Roman"/>
          <w:b/>
          <w:sz w:val="24"/>
          <w:szCs w:val="24"/>
        </w:rPr>
      </w:pPr>
    </w:p>
    <w:p w:rsidR="00E35798" w:rsidRPr="00DA6D5A" w:rsidRDefault="00E35798" w:rsidP="00226165">
      <w:pPr>
        <w:pStyle w:val="ListParagraph"/>
        <w:numPr>
          <w:ilvl w:val="0"/>
          <w:numId w:val="1"/>
        </w:numPr>
        <w:spacing w:line="480" w:lineRule="auto"/>
        <w:rPr>
          <w:rFonts w:ascii="Times New Roman" w:hAnsi="Times New Roman"/>
          <w:sz w:val="24"/>
          <w:szCs w:val="24"/>
        </w:rPr>
      </w:pPr>
      <w:r w:rsidRPr="00DA6D5A">
        <w:rPr>
          <w:rFonts w:ascii="Times New Roman" w:hAnsi="Times New Roman"/>
          <w:sz w:val="24"/>
          <w:szCs w:val="24"/>
        </w:rPr>
        <w:t>No significant differences between ratings of parties in battleground and non-battleground</w:t>
      </w:r>
      <w:r>
        <w:rPr>
          <w:rFonts w:ascii="Times New Roman" w:hAnsi="Times New Roman"/>
          <w:sz w:val="24"/>
          <w:szCs w:val="24"/>
        </w:rPr>
        <w:t>. Control variables don’t improve situation.</w:t>
      </w:r>
    </w:p>
    <w:p w:rsidR="00FD2D8E" w:rsidRDefault="00BC6CD4" w:rsidP="00FD2D8E">
      <w:pPr>
        <w:autoSpaceDE w:val="0"/>
        <w:autoSpaceDN w:val="0"/>
        <w:adjustRightInd w:val="0"/>
        <w:spacing w:line="480" w:lineRule="auto"/>
        <w:rPr>
          <w:rFonts w:ascii="Times New Roman" w:hAnsi="Times New Roman"/>
          <w:sz w:val="24"/>
          <w:szCs w:val="24"/>
        </w:rPr>
      </w:pPr>
      <w:r w:rsidRPr="00BC6CD4">
        <w:rPr>
          <w:rFonts w:ascii="Times New Roman" w:hAnsi="Times New Roman"/>
          <w:sz w:val="24"/>
          <w:szCs w:val="24"/>
        </w:rPr>
        <w:t xml:space="preserve">CCAP </w:t>
      </w:r>
    </w:p>
    <w:p w:rsidR="00BC6CD4" w:rsidRPr="00FD2D8E" w:rsidRDefault="00BC6CD4" w:rsidP="00FD2D8E">
      <w:pPr>
        <w:pStyle w:val="ListParagraph"/>
        <w:numPr>
          <w:ilvl w:val="0"/>
          <w:numId w:val="2"/>
        </w:numPr>
        <w:autoSpaceDE w:val="0"/>
        <w:autoSpaceDN w:val="0"/>
        <w:adjustRightInd w:val="0"/>
        <w:spacing w:line="480" w:lineRule="auto"/>
        <w:rPr>
          <w:rFonts w:ascii="Times New Roman" w:hAnsi="Times New Roman"/>
          <w:sz w:val="24"/>
          <w:szCs w:val="24"/>
        </w:rPr>
      </w:pPr>
      <w:r w:rsidRPr="00FD2D8E">
        <w:rPr>
          <w:rFonts w:ascii="Times New Roman" w:hAnsi="Times New Roman"/>
          <w:sz w:val="24"/>
          <w:szCs w:val="24"/>
        </w:rPr>
        <w:t>We start by reporting results from residence in battleground and non-battleground states.</w:t>
      </w:r>
    </w:p>
    <w:p w:rsidR="00BC6CD4" w:rsidRPr="00BC6CD4" w:rsidRDefault="00BC6CD4" w:rsidP="00FD2D8E">
      <w:pPr>
        <w:pStyle w:val="ListParagraph"/>
        <w:numPr>
          <w:ilvl w:val="0"/>
          <w:numId w:val="2"/>
        </w:numPr>
        <w:autoSpaceDE w:val="0"/>
        <w:autoSpaceDN w:val="0"/>
        <w:adjustRightInd w:val="0"/>
        <w:spacing w:line="480" w:lineRule="auto"/>
        <w:rPr>
          <w:rFonts w:ascii="Times New Roman" w:hAnsi="Times New Roman"/>
          <w:sz w:val="24"/>
          <w:szCs w:val="24"/>
        </w:rPr>
      </w:pPr>
      <w:r w:rsidRPr="00BC6CD4">
        <w:rPr>
          <w:rFonts w:ascii="Times New Roman" w:hAnsi="Times New Roman"/>
          <w:sz w:val="24"/>
          <w:szCs w:val="24"/>
        </w:rPr>
        <w:t>In 2008, self-reported advertising exposure is nearly X% greater for battleground-state residents (See Table 1). Next raw comparison of affect between residents of battleground and non-battleground states reveals that battleground residents hold less negative affect than non-battleground residents (see Table 2). Controlling for potentially post-treatment variables –political interest, and strength of partisan identification – makes the difference in affect across battleground and non-battleground states non-significant.</w:t>
      </w:r>
    </w:p>
    <w:p w:rsidR="00BC6CD4" w:rsidRDefault="00BC6CD4" w:rsidP="00BC6CD4">
      <w:pPr>
        <w:pStyle w:val="ListParagraph"/>
        <w:spacing w:line="480" w:lineRule="auto"/>
        <w:rPr>
          <w:rFonts w:ascii="Times New Roman" w:hAnsi="Times New Roman"/>
          <w:sz w:val="24"/>
          <w:szCs w:val="24"/>
        </w:rPr>
      </w:pPr>
    </w:p>
    <w:p w:rsidR="004563B8" w:rsidRDefault="004563B8" w:rsidP="004563B8">
      <w:pPr>
        <w:autoSpaceDE w:val="0"/>
        <w:autoSpaceDN w:val="0"/>
        <w:adjustRightInd w:val="0"/>
        <w:spacing w:line="480" w:lineRule="auto"/>
        <w:rPr>
          <w:rFonts w:ascii="Times New Roman" w:hAnsi="Times New Roman"/>
          <w:sz w:val="24"/>
          <w:szCs w:val="24"/>
        </w:rPr>
      </w:pPr>
      <w:r>
        <w:rPr>
          <w:rFonts w:ascii="Times New Roman" w:hAnsi="Times New Roman"/>
          <w:sz w:val="24"/>
          <w:szCs w:val="24"/>
        </w:rPr>
        <w:lastRenderedPageBreak/>
        <w:t>DMA Exposure</w:t>
      </w:r>
    </w:p>
    <w:p w:rsidR="00E4507A" w:rsidRDefault="00E4507A" w:rsidP="004563B8">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Hillygus</w:t>
      </w:r>
    </w:p>
    <w:p w:rsidR="00E4507A" w:rsidRPr="00DA6D5A" w:rsidRDefault="00E4507A" w:rsidP="00E4507A">
      <w:pPr>
        <w:pStyle w:val="ListParagraph"/>
        <w:numPr>
          <w:ilvl w:val="0"/>
          <w:numId w:val="3"/>
        </w:numPr>
        <w:spacing w:line="480" w:lineRule="auto"/>
        <w:rPr>
          <w:rFonts w:ascii="Times New Roman" w:hAnsi="Times New Roman"/>
          <w:sz w:val="24"/>
          <w:szCs w:val="24"/>
        </w:rPr>
      </w:pPr>
      <w:r w:rsidRPr="00DA6D5A">
        <w:rPr>
          <w:rFonts w:ascii="Times New Roman" w:hAnsi="Times New Roman"/>
          <w:sz w:val="24"/>
          <w:szCs w:val="24"/>
        </w:rPr>
        <w:t>No survey variables of media exposure</w:t>
      </w:r>
      <w:r>
        <w:rPr>
          <w:rFonts w:ascii="Times New Roman" w:hAnsi="Times New Roman"/>
          <w:sz w:val="24"/>
          <w:szCs w:val="24"/>
        </w:rPr>
        <w:t>, which would have allowed one to estimate a 2SLS model. Battleground → Media Exposure (self-reports) → Partisan Feelings</w:t>
      </w:r>
    </w:p>
    <w:p w:rsidR="00E4507A" w:rsidRPr="00475F96" w:rsidRDefault="00E4507A" w:rsidP="00E4507A">
      <w:pPr>
        <w:pStyle w:val="ListParagraph"/>
        <w:numPr>
          <w:ilvl w:val="0"/>
          <w:numId w:val="3"/>
        </w:numPr>
        <w:autoSpaceDE w:val="0"/>
        <w:autoSpaceDN w:val="0"/>
        <w:adjustRightInd w:val="0"/>
        <w:spacing w:line="480" w:lineRule="auto"/>
        <w:rPr>
          <w:rFonts w:ascii="Times New Roman" w:hAnsi="Times New Roman"/>
          <w:sz w:val="24"/>
          <w:szCs w:val="24"/>
        </w:rPr>
      </w:pPr>
      <w:r w:rsidRPr="00475F96">
        <w:rPr>
          <w:rFonts w:ascii="Times New Roman" w:hAnsi="Times New Roman"/>
          <w:sz w:val="24"/>
          <w:szCs w:val="24"/>
        </w:rPr>
        <w:t>DMA and relevant weight variable missing. Simulations accounting for weight suggest</w:t>
      </w:r>
      <w:r>
        <w:rPr>
          <w:rFonts w:ascii="Times New Roman" w:hAnsi="Times New Roman"/>
          <w:sz w:val="24"/>
          <w:szCs w:val="24"/>
        </w:rPr>
        <w:t xml:space="preserve"> </w:t>
      </w:r>
      <w:r w:rsidRPr="00475F96">
        <w:rPr>
          <w:rFonts w:ascii="Times New Roman" w:hAnsi="Times New Roman"/>
          <w:sz w:val="24"/>
          <w:szCs w:val="24"/>
        </w:rPr>
        <w:t>is unlikely to matter and may even make the situation worse.</w:t>
      </w:r>
    </w:p>
    <w:p w:rsidR="004563B8" w:rsidRDefault="00E4507A" w:rsidP="00774DA2">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CCAP</w:t>
      </w:r>
    </w:p>
    <w:p w:rsidR="00254950" w:rsidRDefault="0001767C" w:rsidP="0088536A">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In 2008, where we only have advertisement data from just gubernatorial campaigns, we just utilize heterogeneity in intensity of gubernatorial campaigns. While i</w:t>
      </w:r>
      <w:r w:rsidR="00254950">
        <w:rPr>
          <w:rFonts w:ascii="Times New Roman" w:hAnsi="Times New Roman"/>
          <w:sz w:val="24"/>
          <w:szCs w:val="24"/>
        </w:rPr>
        <w:t xml:space="preserve">n 2004, where we have data for both gubernatorial and presidential campaign ads, we pool the data. We start by merely predicting negative partisan affect utilizing total number of negative campaign ads shown. Next we control for some potential confounding individual level variables. </w:t>
      </w:r>
      <w:r w:rsidR="00286E4C">
        <w:rPr>
          <w:rFonts w:ascii="Times New Roman" w:hAnsi="Times New Roman"/>
          <w:sz w:val="24"/>
          <w:szCs w:val="24"/>
        </w:rPr>
        <w:t>Number of negative attack ads run in a DMA has a positive impact on out-partisan affect…This is robust to specifications.</w:t>
      </w:r>
    </w:p>
    <w:p w:rsidR="003050D2" w:rsidRDefault="008D3228" w:rsidP="00774DA2">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Instrumental Variable</w:t>
      </w:r>
    </w:p>
    <w:p w:rsidR="00784AEB" w:rsidRDefault="00C32C2A" w:rsidP="00860C10">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 xml:space="preserve">Our ability to </w:t>
      </w:r>
      <w:r w:rsidR="00860C10">
        <w:rPr>
          <w:rFonts w:ascii="Times New Roman" w:hAnsi="Times New Roman"/>
          <w:sz w:val="24"/>
          <w:szCs w:val="24"/>
        </w:rPr>
        <w:t>run a two stage model with 2008 is compromised because the 2008 ad data are from gubernatorial elections, while the ad recall question explicitly asks respondents about presidential ads.</w:t>
      </w:r>
    </w:p>
    <w:p w:rsidR="004B605A" w:rsidRDefault="004B605A" w:rsidP="00774DA2">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Inadvertent Exposure</w:t>
      </w:r>
    </w:p>
    <w:p w:rsidR="006445D6" w:rsidRDefault="006445D6" w:rsidP="0001767C">
      <w:pPr>
        <w:autoSpaceDE w:val="0"/>
        <w:autoSpaceDN w:val="0"/>
        <w:adjustRightInd w:val="0"/>
        <w:spacing w:line="480" w:lineRule="auto"/>
        <w:jc w:val="center"/>
        <w:rPr>
          <w:rFonts w:ascii="Times New Roman" w:hAnsi="Times New Roman"/>
          <w:sz w:val="24"/>
          <w:szCs w:val="24"/>
        </w:rPr>
      </w:pPr>
      <w:r>
        <w:rPr>
          <w:rFonts w:ascii="Times New Roman" w:hAnsi="Times New Roman"/>
          <w:sz w:val="24"/>
          <w:szCs w:val="24"/>
        </w:rPr>
        <w:t>Discussion</w:t>
      </w:r>
    </w:p>
    <w:p w:rsidR="0095413E" w:rsidRPr="00837AA4" w:rsidRDefault="006445D6" w:rsidP="00774DA2">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ab/>
      </w:r>
    </w:p>
    <w:p w:rsidR="007607D4" w:rsidRDefault="007607D4">
      <w:pPr>
        <w:spacing w:after="200" w:line="276" w:lineRule="auto"/>
        <w:rPr>
          <w:rFonts w:ascii="Times New Roman" w:hAnsi="Times New Roman"/>
          <w:sz w:val="24"/>
          <w:szCs w:val="24"/>
        </w:rPr>
      </w:pPr>
      <w:r>
        <w:rPr>
          <w:rFonts w:ascii="Times New Roman" w:hAnsi="Times New Roman"/>
          <w:sz w:val="24"/>
          <w:szCs w:val="24"/>
        </w:rPr>
        <w:br w:type="page"/>
      </w:r>
    </w:p>
    <w:p w:rsidR="00774DA2" w:rsidRDefault="008E0B43" w:rsidP="007607D4">
      <w:pPr>
        <w:spacing w:line="480" w:lineRule="auto"/>
        <w:jc w:val="center"/>
        <w:rPr>
          <w:rFonts w:ascii="Times New Roman" w:hAnsi="Times New Roman"/>
          <w:sz w:val="24"/>
          <w:szCs w:val="24"/>
        </w:rPr>
      </w:pPr>
      <w:r>
        <w:rPr>
          <w:rFonts w:ascii="Times New Roman" w:hAnsi="Times New Roman"/>
          <w:sz w:val="24"/>
          <w:szCs w:val="24"/>
        </w:rPr>
        <w:lastRenderedPageBreak/>
        <w:t>References</w:t>
      </w:r>
    </w:p>
    <w:p w:rsidR="00093583" w:rsidRDefault="00093583" w:rsidP="00186EDC">
      <w:pPr>
        <w:autoSpaceDE w:val="0"/>
        <w:autoSpaceDN w:val="0"/>
        <w:adjustRightInd w:val="0"/>
        <w:spacing w:line="480" w:lineRule="auto"/>
        <w:ind w:left="720" w:hanging="720"/>
        <w:rPr>
          <w:rFonts w:ascii="Times New Roman" w:hAnsi="Times New Roman"/>
          <w:sz w:val="24"/>
          <w:szCs w:val="24"/>
        </w:rPr>
      </w:pPr>
      <w:proofErr w:type="gramStart"/>
      <w:r w:rsidRPr="00093583">
        <w:rPr>
          <w:rFonts w:ascii="Times New Roman" w:hAnsi="Times New Roman"/>
          <w:sz w:val="24"/>
          <w:szCs w:val="24"/>
        </w:rPr>
        <w:t>Freedman, Pau</w:t>
      </w:r>
      <w:r w:rsidR="008868A4">
        <w:rPr>
          <w:rFonts w:ascii="Times New Roman" w:hAnsi="Times New Roman"/>
          <w:sz w:val="24"/>
          <w:szCs w:val="24"/>
        </w:rPr>
        <w:t>l and Kenneth Goldstein.</w:t>
      </w:r>
      <w:proofErr w:type="gramEnd"/>
      <w:r w:rsidR="008868A4">
        <w:rPr>
          <w:rFonts w:ascii="Times New Roman" w:hAnsi="Times New Roman"/>
          <w:sz w:val="24"/>
          <w:szCs w:val="24"/>
        </w:rPr>
        <w:t xml:space="preserve"> 1999. </w:t>
      </w:r>
      <w:r w:rsidRPr="00093583">
        <w:rPr>
          <w:rFonts w:ascii="Times New Roman" w:hAnsi="Times New Roman"/>
          <w:sz w:val="24"/>
          <w:szCs w:val="24"/>
        </w:rPr>
        <w:t>Measuring M</w:t>
      </w:r>
      <w:r>
        <w:rPr>
          <w:rFonts w:ascii="Times New Roman" w:hAnsi="Times New Roman"/>
          <w:sz w:val="24"/>
          <w:szCs w:val="24"/>
        </w:rPr>
        <w:t xml:space="preserve">edia Exposure and the Effects of </w:t>
      </w:r>
      <w:r w:rsidR="008868A4">
        <w:rPr>
          <w:rFonts w:ascii="Times New Roman" w:hAnsi="Times New Roman"/>
          <w:sz w:val="24"/>
          <w:szCs w:val="24"/>
        </w:rPr>
        <w:t>Negative Campaign Ads.</w:t>
      </w:r>
      <w:r w:rsidRPr="00093583">
        <w:rPr>
          <w:rFonts w:ascii="Times New Roman" w:hAnsi="Times New Roman"/>
          <w:sz w:val="24"/>
          <w:szCs w:val="24"/>
        </w:rPr>
        <w:t xml:space="preserve"> </w:t>
      </w:r>
      <w:r w:rsidRPr="008868A4">
        <w:rPr>
          <w:rFonts w:ascii="Times New Roman" w:hAnsi="Times New Roman"/>
          <w:i/>
          <w:sz w:val="24"/>
          <w:szCs w:val="24"/>
        </w:rPr>
        <w:t>American Journal of Political Science</w:t>
      </w:r>
      <w:r w:rsidR="008868A4">
        <w:rPr>
          <w:rFonts w:ascii="Times New Roman" w:hAnsi="Times New Roman"/>
          <w:sz w:val="24"/>
          <w:szCs w:val="24"/>
        </w:rPr>
        <w:t xml:space="preserve"> 4:1189-</w:t>
      </w:r>
      <w:r w:rsidRPr="00093583">
        <w:rPr>
          <w:rFonts w:ascii="Times New Roman" w:hAnsi="Times New Roman"/>
          <w:sz w:val="24"/>
          <w:szCs w:val="24"/>
        </w:rPr>
        <w:t>1208.</w:t>
      </w:r>
    </w:p>
    <w:p w:rsidR="006C2D30" w:rsidRDefault="006C2D30" w:rsidP="00021CF9">
      <w:pPr>
        <w:autoSpaceDE w:val="0"/>
        <w:autoSpaceDN w:val="0"/>
        <w:adjustRightInd w:val="0"/>
        <w:spacing w:line="480" w:lineRule="auto"/>
        <w:ind w:left="720" w:hanging="720"/>
        <w:rPr>
          <w:rFonts w:ascii="Times New Roman" w:hAnsi="Times New Roman"/>
          <w:sz w:val="24"/>
          <w:szCs w:val="24"/>
        </w:rPr>
      </w:pPr>
      <w:proofErr w:type="gramStart"/>
      <w:r w:rsidRPr="006C2D30">
        <w:rPr>
          <w:rFonts w:ascii="Times New Roman" w:hAnsi="Times New Roman"/>
          <w:sz w:val="24"/>
          <w:szCs w:val="24"/>
        </w:rPr>
        <w:t>Freedman, Paul, Michael Franz and Kenneth Goldstein.</w:t>
      </w:r>
      <w:proofErr w:type="gramEnd"/>
      <w:r w:rsidRPr="006C2D30">
        <w:rPr>
          <w:rFonts w:ascii="Times New Roman" w:hAnsi="Times New Roman"/>
          <w:sz w:val="24"/>
          <w:szCs w:val="24"/>
        </w:rPr>
        <w:t xml:space="preserve"> 2004.</w:t>
      </w:r>
      <w:r w:rsidR="0007473B">
        <w:rPr>
          <w:rFonts w:ascii="Times New Roman" w:hAnsi="Times New Roman"/>
          <w:sz w:val="24"/>
          <w:szCs w:val="24"/>
        </w:rPr>
        <w:t xml:space="preserve"> </w:t>
      </w:r>
      <w:r>
        <w:rPr>
          <w:rFonts w:ascii="Times New Roman" w:hAnsi="Times New Roman"/>
          <w:sz w:val="24"/>
          <w:szCs w:val="24"/>
        </w:rPr>
        <w:t>Campaign Advertising and Demo</w:t>
      </w:r>
      <w:r w:rsidR="0007473B">
        <w:rPr>
          <w:rFonts w:ascii="Times New Roman" w:hAnsi="Times New Roman"/>
          <w:sz w:val="24"/>
          <w:szCs w:val="24"/>
        </w:rPr>
        <w:t>cratic Citizenship.</w:t>
      </w:r>
      <w:r w:rsidRPr="006C2D30">
        <w:rPr>
          <w:rFonts w:ascii="Times New Roman" w:hAnsi="Times New Roman"/>
          <w:sz w:val="24"/>
          <w:szCs w:val="24"/>
        </w:rPr>
        <w:t xml:space="preserve"> </w:t>
      </w:r>
      <w:r w:rsidRPr="0007473B">
        <w:rPr>
          <w:rFonts w:ascii="Times New Roman" w:hAnsi="Times New Roman"/>
          <w:i/>
          <w:sz w:val="24"/>
          <w:szCs w:val="24"/>
        </w:rPr>
        <w:t>American Journal of Political Science</w:t>
      </w:r>
      <w:r w:rsidR="0007473B">
        <w:rPr>
          <w:rFonts w:ascii="Times New Roman" w:hAnsi="Times New Roman"/>
          <w:sz w:val="24"/>
          <w:szCs w:val="24"/>
        </w:rPr>
        <w:t xml:space="preserve"> 48:723-</w:t>
      </w:r>
      <w:r w:rsidRPr="006C2D30">
        <w:rPr>
          <w:rFonts w:ascii="Times New Roman" w:hAnsi="Times New Roman"/>
          <w:sz w:val="24"/>
          <w:szCs w:val="24"/>
        </w:rPr>
        <w:t>741.</w:t>
      </w:r>
    </w:p>
    <w:p w:rsidR="00105106" w:rsidRPr="00105106" w:rsidRDefault="00105106" w:rsidP="00092428">
      <w:pPr>
        <w:spacing w:line="480" w:lineRule="auto"/>
        <w:ind w:left="720" w:hanging="720"/>
        <w:rPr>
          <w:rFonts w:ascii="Times New Roman" w:hAnsi="Times New Roman"/>
          <w:sz w:val="24"/>
          <w:szCs w:val="24"/>
        </w:rPr>
      </w:pPr>
      <w:proofErr w:type="gramStart"/>
      <w:r w:rsidRPr="00105106">
        <w:rPr>
          <w:rFonts w:ascii="Times New Roman" w:hAnsi="Times New Roman"/>
          <w:sz w:val="24"/>
          <w:szCs w:val="24"/>
        </w:rPr>
        <w:t>Hillygus, D. Sunshine and Todd G. Shields.</w:t>
      </w:r>
      <w:proofErr w:type="gramEnd"/>
      <w:r w:rsidRPr="00105106">
        <w:rPr>
          <w:rFonts w:ascii="Times New Roman" w:hAnsi="Times New Roman"/>
          <w:sz w:val="24"/>
          <w:szCs w:val="24"/>
        </w:rPr>
        <w:t xml:space="preserve"> 2008. The Persuadable Voter: Wedge Issues in Presidential Campaigns. Princeton: Princeton University Press.</w:t>
      </w:r>
    </w:p>
    <w:p w:rsidR="00105106" w:rsidRDefault="00105106" w:rsidP="00F4246E">
      <w:pPr>
        <w:spacing w:line="480" w:lineRule="auto"/>
        <w:ind w:left="720" w:hanging="720"/>
        <w:rPr>
          <w:rFonts w:ascii="Times New Roman" w:hAnsi="Times New Roman"/>
          <w:sz w:val="24"/>
          <w:szCs w:val="24"/>
        </w:rPr>
      </w:pPr>
      <w:proofErr w:type="gramStart"/>
      <w:r w:rsidRPr="00105106">
        <w:rPr>
          <w:rFonts w:ascii="Times New Roman" w:hAnsi="Times New Roman"/>
          <w:sz w:val="24"/>
          <w:szCs w:val="24"/>
        </w:rPr>
        <w:t>Huber, Gregory A. and Kevin Arceneaux.</w:t>
      </w:r>
      <w:proofErr w:type="gramEnd"/>
      <w:r w:rsidRPr="00105106">
        <w:rPr>
          <w:rFonts w:ascii="Times New Roman" w:hAnsi="Times New Roman"/>
          <w:sz w:val="24"/>
          <w:szCs w:val="24"/>
        </w:rPr>
        <w:t xml:space="preserve"> 2007</w:t>
      </w:r>
      <w:r w:rsidR="00C75E70">
        <w:rPr>
          <w:rFonts w:ascii="Times New Roman" w:hAnsi="Times New Roman"/>
          <w:sz w:val="24"/>
          <w:szCs w:val="24"/>
        </w:rPr>
        <w:t xml:space="preserve">. </w:t>
      </w:r>
      <w:r>
        <w:rPr>
          <w:rFonts w:ascii="Times New Roman" w:hAnsi="Times New Roman"/>
          <w:sz w:val="24"/>
          <w:szCs w:val="24"/>
        </w:rPr>
        <w:t>Identifying the Persuasive Eff</w:t>
      </w:r>
      <w:r w:rsidRPr="00105106">
        <w:rPr>
          <w:rFonts w:ascii="Times New Roman" w:hAnsi="Times New Roman"/>
          <w:sz w:val="24"/>
          <w:szCs w:val="24"/>
        </w:rPr>
        <w:t>ects of Presidential</w:t>
      </w:r>
      <w:r>
        <w:rPr>
          <w:rFonts w:ascii="Times New Roman" w:hAnsi="Times New Roman"/>
          <w:sz w:val="24"/>
          <w:szCs w:val="24"/>
        </w:rPr>
        <w:t xml:space="preserve"> </w:t>
      </w:r>
      <w:r w:rsidR="00C75E70">
        <w:rPr>
          <w:rFonts w:ascii="Times New Roman" w:hAnsi="Times New Roman"/>
          <w:sz w:val="24"/>
          <w:szCs w:val="24"/>
        </w:rPr>
        <w:t>Advertising.</w:t>
      </w:r>
      <w:r w:rsidRPr="00105106">
        <w:rPr>
          <w:rFonts w:ascii="Times New Roman" w:hAnsi="Times New Roman"/>
          <w:sz w:val="24"/>
          <w:szCs w:val="24"/>
        </w:rPr>
        <w:t xml:space="preserve"> </w:t>
      </w:r>
      <w:r w:rsidRPr="00C75E70">
        <w:rPr>
          <w:rFonts w:ascii="Times New Roman" w:hAnsi="Times New Roman"/>
          <w:i/>
          <w:sz w:val="24"/>
          <w:szCs w:val="24"/>
        </w:rPr>
        <w:t>American Journal of Political Science</w:t>
      </w:r>
      <w:r w:rsidR="00C75E70">
        <w:rPr>
          <w:rFonts w:ascii="Times New Roman" w:hAnsi="Times New Roman"/>
          <w:sz w:val="24"/>
          <w:szCs w:val="24"/>
        </w:rPr>
        <w:t xml:space="preserve"> 51:957-</w:t>
      </w:r>
      <w:r w:rsidRPr="00105106">
        <w:rPr>
          <w:rFonts w:ascii="Times New Roman" w:hAnsi="Times New Roman"/>
          <w:sz w:val="24"/>
          <w:szCs w:val="24"/>
        </w:rPr>
        <w:t>977</w:t>
      </w:r>
    </w:p>
    <w:p w:rsidR="002A6194" w:rsidRPr="00105106" w:rsidRDefault="002A6194" w:rsidP="002A6194">
      <w:pPr>
        <w:autoSpaceDE w:val="0"/>
        <w:autoSpaceDN w:val="0"/>
        <w:adjustRightInd w:val="0"/>
        <w:spacing w:line="480" w:lineRule="auto"/>
        <w:rPr>
          <w:rFonts w:ascii="Times New Roman" w:hAnsi="Times New Roman"/>
          <w:sz w:val="24"/>
          <w:szCs w:val="24"/>
        </w:rPr>
      </w:pPr>
      <w:proofErr w:type="gramStart"/>
      <w:r w:rsidRPr="00105106">
        <w:rPr>
          <w:rFonts w:ascii="Times New Roman" w:hAnsi="Times New Roman"/>
          <w:sz w:val="24"/>
          <w:szCs w:val="24"/>
        </w:rPr>
        <w:t>Jackman,</w:t>
      </w:r>
      <w:r>
        <w:rPr>
          <w:rFonts w:ascii="Times New Roman" w:hAnsi="Times New Roman"/>
          <w:sz w:val="24"/>
          <w:szCs w:val="24"/>
        </w:rPr>
        <w:t xml:space="preserve"> Simon and Lynn Vavreck.</w:t>
      </w:r>
      <w:proofErr w:type="gramEnd"/>
      <w:r>
        <w:rPr>
          <w:rFonts w:ascii="Times New Roman" w:hAnsi="Times New Roman"/>
          <w:sz w:val="24"/>
          <w:szCs w:val="24"/>
        </w:rPr>
        <w:t xml:space="preserve"> 2009. </w:t>
      </w:r>
      <w:r w:rsidRPr="00105106">
        <w:rPr>
          <w:rFonts w:ascii="Times New Roman" w:hAnsi="Times New Roman"/>
          <w:sz w:val="24"/>
          <w:szCs w:val="24"/>
        </w:rPr>
        <w:t>The Cooperative Campaign Analysis Project</w:t>
      </w:r>
    </w:p>
    <w:p w:rsidR="002A6194" w:rsidRPr="00105106" w:rsidRDefault="002A6194" w:rsidP="002A6194">
      <w:pPr>
        <w:spacing w:line="480" w:lineRule="auto"/>
        <w:ind w:firstLine="720"/>
        <w:rPr>
          <w:rFonts w:ascii="Times New Roman" w:hAnsi="Times New Roman"/>
          <w:sz w:val="24"/>
          <w:szCs w:val="24"/>
        </w:rPr>
      </w:pPr>
      <w:proofErr w:type="gramStart"/>
      <w:r>
        <w:rPr>
          <w:rFonts w:ascii="Times New Roman" w:hAnsi="Times New Roman"/>
          <w:sz w:val="24"/>
          <w:szCs w:val="24"/>
        </w:rPr>
        <w:t>2007-8.</w:t>
      </w:r>
      <w:r w:rsidRPr="00105106">
        <w:rPr>
          <w:rFonts w:ascii="Times New Roman" w:hAnsi="Times New Roman"/>
          <w:sz w:val="24"/>
          <w:szCs w:val="24"/>
        </w:rPr>
        <w:t xml:space="preserve"> Release 1.5.</w:t>
      </w:r>
      <w:proofErr w:type="gramEnd"/>
      <w:r w:rsidRPr="00105106">
        <w:rPr>
          <w:rFonts w:ascii="Times New Roman" w:hAnsi="Times New Roman"/>
          <w:sz w:val="24"/>
          <w:szCs w:val="24"/>
        </w:rPr>
        <w:t xml:space="preserve"> </w:t>
      </w:r>
      <w:proofErr w:type="gramStart"/>
      <w:r w:rsidRPr="00105106">
        <w:rPr>
          <w:rFonts w:ascii="Times New Roman" w:hAnsi="Times New Roman"/>
          <w:sz w:val="24"/>
          <w:szCs w:val="24"/>
        </w:rPr>
        <w:t>Palo Alto and Los Angeles, CA.</w:t>
      </w:r>
      <w:proofErr w:type="gramEnd"/>
    </w:p>
    <w:p w:rsidR="002A6194" w:rsidRPr="00105106" w:rsidRDefault="002A6194" w:rsidP="00F4246E">
      <w:pPr>
        <w:spacing w:line="480" w:lineRule="auto"/>
        <w:ind w:left="720" w:hanging="720"/>
        <w:rPr>
          <w:rFonts w:ascii="Times New Roman" w:hAnsi="Times New Roman"/>
          <w:sz w:val="24"/>
          <w:szCs w:val="24"/>
        </w:rPr>
      </w:pPr>
    </w:p>
    <w:p w:rsidR="00722A4B" w:rsidRDefault="00722A4B" w:rsidP="00F4246E">
      <w:pPr>
        <w:spacing w:after="200" w:line="276" w:lineRule="auto"/>
        <w:ind w:left="720" w:hanging="720"/>
        <w:rPr>
          <w:rFonts w:ascii="Times New Roman" w:hAnsi="Times New Roman"/>
          <w:sz w:val="24"/>
          <w:szCs w:val="24"/>
        </w:rPr>
      </w:pPr>
      <w:r>
        <w:rPr>
          <w:rFonts w:ascii="Times New Roman" w:hAnsi="Times New Roman"/>
          <w:sz w:val="24"/>
          <w:szCs w:val="24"/>
        </w:rPr>
        <w:br w:type="page"/>
      </w:r>
    </w:p>
    <w:p w:rsidR="00EE7EA9" w:rsidRDefault="00592EAA" w:rsidP="009F25EF">
      <w:pPr>
        <w:pStyle w:val="NoSpacing"/>
        <w:rPr>
          <w:rFonts w:ascii="Times New Roman" w:hAnsi="Times New Roman"/>
          <w:sz w:val="24"/>
          <w:szCs w:val="24"/>
        </w:rPr>
      </w:pPr>
      <w:r w:rsidRPr="009F25EF">
        <w:rPr>
          <w:rFonts w:ascii="Times New Roman" w:hAnsi="Times New Roman"/>
          <w:sz w:val="24"/>
          <w:szCs w:val="24"/>
        </w:rPr>
        <w:lastRenderedPageBreak/>
        <w:t>Table 1</w:t>
      </w:r>
      <w:r w:rsidR="00232B44" w:rsidRPr="009F25EF">
        <w:rPr>
          <w:rFonts w:ascii="Times New Roman" w:hAnsi="Times New Roman"/>
          <w:sz w:val="24"/>
          <w:szCs w:val="24"/>
        </w:rPr>
        <w:t>: Mean self-reported exposure to campaigns by residence in battleground or non-battleground states</w:t>
      </w:r>
      <w:r w:rsidR="009902AB">
        <w:rPr>
          <w:rFonts w:ascii="Times New Roman" w:hAnsi="Times New Roman"/>
          <w:sz w:val="24"/>
          <w:szCs w:val="24"/>
        </w:rPr>
        <w:t xml:space="preserve"> in 2008</w:t>
      </w:r>
    </w:p>
    <w:p w:rsidR="00A63C57" w:rsidRPr="009F25EF" w:rsidRDefault="00A63C57" w:rsidP="009F25EF">
      <w:pPr>
        <w:pStyle w:val="NoSpacing"/>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5"/>
        <w:gridCol w:w="1411"/>
        <w:gridCol w:w="1822"/>
      </w:tblGrid>
      <w:tr w:rsidR="00390EA5" w:rsidRPr="009269C9" w:rsidTr="009307D5">
        <w:tc>
          <w:tcPr>
            <w:tcW w:w="1005" w:type="dxa"/>
            <w:tcBorders>
              <w:top w:val="single" w:sz="4" w:space="0" w:color="auto"/>
              <w:bottom w:val="single" w:sz="4" w:space="0" w:color="auto"/>
            </w:tcBorders>
          </w:tcPr>
          <w:p w:rsidR="00390EA5" w:rsidRPr="009269C9" w:rsidRDefault="00346CBB" w:rsidP="0039110C">
            <w:pPr>
              <w:pStyle w:val="NoSpacing"/>
              <w:rPr>
                <w:rFonts w:ascii="Times New Roman" w:hAnsi="Times New Roman"/>
                <w:sz w:val="20"/>
                <w:szCs w:val="20"/>
              </w:rPr>
            </w:pPr>
            <w:r>
              <w:rPr>
                <w:rFonts w:ascii="Times New Roman" w:hAnsi="Times New Roman"/>
                <w:sz w:val="20"/>
                <w:szCs w:val="20"/>
              </w:rPr>
              <w:t>Measure</w:t>
            </w:r>
          </w:p>
        </w:tc>
        <w:tc>
          <w:tcPr>
            <w:tcW w:w="1411" w:type="dxa"/>
            <w:tcBorders>
              <w:top w:val="single" w:sz="4" w:space="0" w:color="auto"/>
              <w:bottom w:val="single" w:sz="4" w:space="0" w:color="auto"/>
            </w:tcBorders>
          </w:tcPr>
          <w:p w:rsidR="00390EA5" w:rsidRPr="009269C9" w:rsidRDefault="00390EA5" w:rsidP="0022509B">
            <w:pPr>
              <w:pStyle w:val="NoSpacing"/>
              <w:rPr>
                <w:rFonts w:ascii="Times New Roman" w:hAnsi="Times New Roman"/>
                <w:sz w:val="20"/>
                <w:szCs w:val="20"/>
              </w:rPr>
            </w:pPr>
            <w:r w:rsidRPr="009269C9">
              <w:rPr>
                <w:rFonts w:ascii="Times New Roman" w:hAnsi="Times New Roman"/>
                <w:sz w:val="20"/>
                <w:szCs w:val="20"/>
              </w:rPr>
              <w:t xml:space="preserve">Battleground </w:t>
            </w:r>
          </w:p>
        </w:tc>
        <w:tc>
          <w:tcPr>
            <w:tcW w:w="1822" w:type="dxa"/>
            <w:tcBorders>
              <w:top w:val="single" w:sz="4" w:space="0" w:color="auto"/>
              <w:bottom w:val="single" w:sz="4" w:space="0" w:color="auto"/>
            </w:tcBorders>
          </w:tcPr>
          <w:p w:rsidR="00390EA5" w:rsidRPr="009269C9" w:rsidRDefault="0022509B" w:rsidP="0039110C">
            <w:pPr>
              <w:pStyle w:val="NoSpacing"/>
              <w:rPr>
                <w:rFonts w:ascii="Times New Roman" w:hAnsi="Times New Roman"/>
                <w:sz w:val="20"/>
                <w:szCs w:val="20"/>
              </w:rPr>
            </w:pPr>
            <w:r>
              <w:rPr>
                <w:rFonts w:ascii="Times New Roman" w:hAnsi="Times New Roman"/>
                <w:sz w:val="20"/>
                <w:szCs w:val="20"/>
              </w:rPr>
              <w:t xml:space="preserve">Non-Battleground </w:t>
            </w:r>
          </w:p>
        </w:tc>
      </w:tr>
      <w:tr w:rsidR="00390EA5" w:rsidRPr="009269C9" w:rsidTr="009307D5">
        <w:tc>
          <w:tcPr>
            <w:tcW w:w="1005" w:type="dxa"/>
            <w:tcBorders>
              <w:top w:val="single" w:sz="4" w:space="0" w:color="auto"/>
            </w:tcBorders>
          </w:tcPr>
          <w:p w:rsidR="00390EA5" w:rsidRPr="009269C9" w:rsidRDefault="00AF6A0E" w:rsidP="0039110C">
            <w:pPr>
              <w:pStyle w:val="NoSpacing"/>
              <w:rPr>
                <w:rFonts w:ascii="Times New Roman" w:hAnsi="Times New Roman"/>
                <w:sz w:val="20"/>
                <w:szCs w:val="20"/>
              </w:rPr>
            </w:pPr>
            <w:r w:rsidRPr="009269C9">
              <w:rPr>
                <w:rFonts w:ascii="Times New Roman" w:hAnsi="Times New Roman"/>
                <w:sz w:val="20"/>
                <w:szCs w:val="20"/>
              </w:rPr>
              <w:t>Ads</w:t>
            </w:r>
          </w:p>
        </w:tc>
        <w:tc>
          <w:tcPr>
            <w:tcW w:w="1411" w:type="dxa"/>
            <w:tcBorders>
              <w:top w:val="single" w:sz="4" w:space="0" w:color="auto"/>
            </w:tcBorders>
          </w:tcPr>
          <w:p w:rsidR="00390EA5" w:rsidRPr="009269C9" w:rsidRDefault="00390EA5" w:rsidP="0039110C">
            <w:pPr>
              <w:pStyle w:val="NoSpacing"/>
              <w:rPr>
                <w:rFonts w:ascii="Times New Roman" w:hAnsi="Times New Roman"/>
                <w:sz w:val="20"/>
                <w:szCs w:val="20"/>
              </w:rPr>
            </w:pPr>
          </w:p>
        </w:tc>
        <w:tc>
          <w:tcPr>
            <w:tcW w:w="1822" w:type="dxa"/>
            <w:tcBorders>
              <w:top w:val="single" w:sz="4" w:space="0" w:color="auto"/>
            </w:tcBorders>
          </w:tcPr>
          <w:p w:rsidR="00390EA5" w:rsidRPr="009269C9" w:rsidRDefault="00390EA5" w:rsidP="0039110C">
            <w:pPr>
              <w:pStyle w:val="NoSpacing"/>
              <w:rPr>
                <w:rFonts w:ascii="Times New Roman" w:hAnsi="Times New Roman"/>
                <w:sz w:val="20"/>
                <w:szCs w:val="20"/>
              </w:rPr>
            </w:pPr>
          </w:p>
        </w:tc>
      </w:tr>
      <w:tr w:rsidR="00AF6A0E" w:rsidRPr="009269C9" w:rsidTr="009307D5">
        <w:tc>
          <w:tcPr>
            <w:tcW w:w="1005" w:type="dxa"/>
          </w:tcPr>
          <w:p w:rsidR="00AF6A0E" w:rsidRPr="009269C9" w:rsidRDefault="00AF6A0E" w:rsidP="0039110C">
            <w:pPr>
              <w:pStyle w:val="NoSpacing"/>
              <w:rPr>
                <w:rFonts w:ascii="Times New Roman" w:hAnsi="Times New Roman"/>
                <w:sz w:val="20"/>
                <w:szCs w:val="20"/>
              </w:rPr>
            </w:pPr>
          </w:p>
        </w:tc>
        <w:tc>
          <w:tcPr>
            <w:tcW w:w="1411" w:type="dxa"/>
          </w:tcPr>
          <w:p w:rsidR="00AF6A0E" w:rsidRPr="009269C9" w:rsidRDefault="00AF6A0E" w:rsidP="0039110C">
            <w:pPr>
              <w:pStyle w:val="NoSpacing"/>
              <w:rPr>
                <w:rFonts w:ascii="Times New Roman" w:hAnsi="Times New Roman"/>
                <w:sz w:val="20"/>
                <w:szCs w:val="20"/>
              </w:rPr>
            </w:pPr>
          </w:p>
        </w:tc>
        <w:tc>
          <w:tcPr>
            <w:tcW w:w="1822" w:type="dxa"/>
          </w:tcPr>
          <w:p w:rsidR="00AF6A0E" w:rsidRPr="009269C9" w:rsidRDefault="00AF6A0E" w:rsidP="0039110C">
            <w:pPr>
              <w:pStyle w:val="NoSpacing"/>
              <w:rPr>
                <w:rFonts w:ascii="Times New Roman" w:hAnsi="Times New Roman"/>
                <w:sz w:val="20"/>
                <w:szCs w:val="20"/>
              </w:rPr>
            </w:pPr>
          </w:p>
        </w:tc>
      </w:tr>
      <w:tr w:rsidR="00AF6A0E" w:rsidRPr="009269C9" w:rsidTr="009307D5">
        <w:tc>
          <w:tcPr>
            <w:tcW w:w="1005" w:type="dxa"/>
          </w:tcPr>
          <w:p w:rsidR="00AF6A0E" w:rsidRPr="009269C9" w:rsidRDefault="00AF6A0E" w:rsidP="0039110C">
            <w:pPr>
              <w:pStyle w:val="NoSpacing"/>
              <w:rPr>
                <w:rFonts w:ascii="Times New Roman" w:hAnsi="Times New Roman"/>
                <w:sz w:val="20"/>
                <w:szCs w:val="20"/>
              </w:rPr>
            </w:pPr>
          </w:p>
        </w:tc>
        <w:tc>
          <w:tcPr>
            <w:tcW w:w="1411" w:type="dxa"/>
          </w:tcPr>
          <w:p w:rsidR="00AF6A0E" w:rsidRPr="009269C9" w:rsidRDefault="00AF6A0E" w:rsidP="0039110C">
            <w:pPr>
              <w:pStyle w:val="NoSpacing"/>
              <w:rPr>
                <w:rFonts w:ascii="Times New Roman" w:hAnsi="Times New Roman"/>
                <w:sz w:val="20"/>
                <w:szCs w:val="20"/>
              </w:rPr>
            </w:pPr>
          </w:p>
        </w:tc>
        <w:tc>
          <w:tcPr>
            <w:tcW w:w="1822" w:type="dxa"/>
          </w:tcPr>
          <w:p w:rsidR="00AF6A0E" w:rsidRPr="009269C9" w:rsidRDefault="00AF6A0E" w:rsidP="0039110C">
            <w:pPr>
              <w:pStyle w:val="NoSpacing"/>
              <w:rPr>
                <w:rFonts w:ascii="Times New Roman" w:hAnsi="Times New Roman"/>
                <w:sz w:val="20"/>
                <w:szCs w:val="20"/>
              </w:rPr>
            </w:pPr>
          </w:p>
        </w:tc>
      </w:tr>
      <w:tr w:rsidR="00AF6A0E" w:rsidRPr="009269C9" w:rsidTr="009307D5">
        <w:tc>
          <w:tcPr>
            <w:tcW w:w="1005" w:type="dxa"/>
            <w:tcBorders>
              <w:bottom w:val="single" w:sz="4" w:space="0" w:color="auto"/>
            </w:tcBorders>
          </w:tcPr>
          <w:p w:rsidR="00AF6A0E" w:rsidRPr="009269C9" w:rsidRDefault="00AF6A0E" w:rsidP="0039110C">
            <w:pPr>
              <w:pStyle w:val="NoSpacing"/>
              <w:rPr>
                <w:rFonts w:ascii="Times New Roman" w:hAnsi="Times New Roman"/>
                <w:sz w:val="20"/>
                <w:szCs w:val="20"/>
              </w:rPr>
            </w:pPr>
          </w:p>
        </w:tc>
        <w:tc>
          <w:tcPr>
            <w:tcW w:w="1411" w:type="dxa"/>
            <w:tcBorders>
              <w:bottom w:val="single" w:sz="4" w:space="0" w:color="auto"/>
            </w:tcBorders>
          </w:tcPr>
          <w:p w:rsidR="00AF6A0E" w:rsidRPr="009269C9" w:rsidRDefault="00AF6A0E" w:rsidP="0039110C">
            <w:pPr>
              <w:pStyle w:val="NoSpacing"/>
              <w:rPr>
                <w:rFonts w:ascii="Times New Roman" w:hAnsi="Times New Roman"/>
                <w:sz w:val="20"/>
                <w:szCs w:val="20"/>
              </w:rPr>
            </w:pPr>
          </w:p>
        </w:tc>
        <w:tc>
          <w:tcPr>
            <w:tcW w:w="1822" w:type="dxa"/>
            <w:tcBorders>
              <w:bottom w:val="single" w:sz="4" w:space="0" w:color="auto"/>
            </w:tcBorders>
          </w:tcPr>
          <w:p w:rsidR="00AF6A0E" w:rsidRPr="009269C9" w:rsidRDefault="00AF6A0E" w:rsidP="0039110C">
            <w:pPr>
              <w:pStyle w:val="NoSpacing"/>
              <w:rPr>
                <w:rFonts w:ascii="Times New Roman" w:hAnsi="Times New Roman"/>
                <w:sz w:val="20"/>
                <w:szCs w:val="20"/>
              </w:rPr>
            </w:pPr>
          </w:p>
        </w:tc>
      </w:tr>
    </w:tbl>
    <w:p w:rsidR="003D689E" w:rsidRDefault="003D689E" w:rsidP="00774DA2">
      <w:pPr>
        <w:autoSpaceDE w:val="0"/>
        <w:autoSpaceDN w:val="0"/>
        <w:adjustRightInd w:val="0"/>
        <w:spacing w:line="480" w:lineRule="auto"/>
        <w:rPr>
          <w:rFonts w:ascii="Times New Roman" w:hAnsi="Times New Roman"/>
          <w:sz w:val="24"/>
          <w:szCs w:val="24"/>
        </w:rPr>
      </w:pPr>
    </w:p>
    <w:p w:rsidR="0049416D" w:rsidRDefault="0049416D">
      <w:pPr>
        <w:spacing w:after="200" w:line="276" w:lineRule="auto"/>
        <w:rPr>
          <w:rFonts w:ascii="Times New Roman" w:hAnsi="Times New Roman"/>
          <w:sz w:val="24"/>
          <w:szCs w:val="24"/>
        </w:rPr>
      </w:pPr>
      <w:r>
        <w:rPr>
          <w:rFonts w:ascii="Times New Roman" w:hAnsi="Times New Roman"/>
          <w:sz w:val="24"/>
          <w:szCs w:val="24"/>
        </w:rPr>
        <w:br w:type="page"/>
      </w:r>
    </w:p>
    <w:p w:rsidR="0049416D" w:rsidRDefault="0049416D" w:rsidP="0049416D">
      <w:pPr>
        <w:pStyle w:val="NoSpacing"/>
        <w:rPr>
          <w:rFonts w:ascii="Times New Roman" w:hAnsi="Times New Roman"/>
          <w:sz w:val="24"/>
          <w:szCs w:val="24"/>
        </w:rPr>
      </w:pPr>
      <w:r w:rsidRPr="009F25EF">
        <w:rPr>
          <w:rFonts w:ascii="Times New Roman" w:hAnsi="Times New Roman"/>
          <w:sz w:val="24"/>
          <w:szCs w:val="24"/>
        </w:rPr>
        <w:lastRenderedPageBreak/>
        <w:t xml:space="preserve">Table </w:t>
      </w:r>
      <w:r w:rsidR="00926ACE">
        <w:rPr>
          <w:rFonts w:ascii="Times New Roman" w:hAnsi="Times New Roman"/>
          <w:sz w:val="24"/>
          <w:szCs w:val="24"/>
        </w:rPr>
        <w:t>2</w:t>
      </w:r>
      <w:r w:rsidRPr="009F25EF">
        <w:rPr>
          <w:rFonts w:ascii="Times New Roman" w:hAnsi="Times New Roman"/>
          <w:sz w:val="24"/>
          <w:szCs w:val="24"/>
        </w:rPr>
        <w:t xml:space="preserve">: Mean </w:t>
      </w:r>
      <w:r w:rsidR="0080768F">
        <w:rPr>
          <w:rFonts w:ascii="Times New Roman" w:hAnsi="Times New Roman"/>
          <w:sz w:val="24"/>
          <w:szCs w:val="24"/>
        </w:rPr>
        <w:t>partisan affect</w:t>
      </w:r>
      <w:r w:rsidRPr="009F25EF">
        <w:rPr>
          <w:rFonts w:ascii="Times New Roman" w:hAnsi="Times New Roman"/>
          <w:sz w:val="24"/>
          <w:szCs w:val="24"/>
        </w:rPr>
        <w:t xml:space="preserve"> by residence in battleground or non-battleground states</w:t>
      </w:r>
    </w:p>
    <w:p w:rsidR="0049416D" w:rsidRPr="009F25EF" w:rsidRDefault="0049416D" w:rsidP="0049416D">
      <w:pPr>
        <w:pStyle w:val="NoSpacing"/>
        <w:rPr>
          <w:rFonts w:ascii="Times New Roman" w:hAnsi="Times New Roman"/>
          <w:sz w:val="24"/>
          <w:szCs w:val="24"/>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1"/>
        <w:gridCol w:w="1359"/>
        <w:gridCol w:w="1644"/>
        <w:gridCol w:w="600"/>
        <w:gridCol w:w="253"/>
        <w:gridCol w:w="1359"/>
        <w:gridCol w:w="1595"/>
        <w:gridCol w:w="928"/>
      </w:tblGrid>
      <w:tr w:rsidR="00EC2515" w:rsidRPr="001577CE" w:rsidTr="003F3F26">
        <w:tc>
          <w:tcPr>
            <w:tcW w:w="1621" w:type="dxa"/>
            <w:tcBorders>
              <w:top w:val="single" w:sz="4" w:space="0" w:color="auto"/>
            </w:tcBorders>
            <w:vAlign w:val="bottom"/>
          </w:tcPr>
          <w:p w:rsidR="00EC2515" w:rsidRPr="001577CE" w:rsidRDefault="00EC2515" w:rsidP="00455251">
            <w:pPr>
              <w:pStyle w:val="NoSpacing"/>
              <w:jc w:val="center"/>
              <w:rPr>
                <w:rFonts w:ascii="Times New Roman" w:hAnsi="Times New Roman"/>
                <w:sz w:val="20"/>
                <w:szCs w:val="20"/>
              </w:rPr>
            </w:pPr>
          </w:p>
        </w:tc>
        <w:tc>
          <w:tcPr>
            <w:tcW w:w="3003" w:type="dxa"/>
            <w:gridSpan w:val="2"/>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2004</w:t>
            </w:r>
          </w:p>
        </w:tc>
        <w:tc>
          <w:tcPr>
            <w:tcW w:w="600" w:type="dxa"/>
            <w:tcBorders>
              <w:top w:val="single" w:sz="4" w:space="0" w:color="auto"/>
              <w:bottom w:val="single" w:sz="4" w:space="0" w:color="auto"/>
            </w:tcBorders>
          </w:tcPr>
          <w:p w:rsidR="00EC2515" w:rsidRPr="001577CE" w:rsidRDefault="00EC2515" w:rsidP="00455251">
            <w:pPr>
              <w:pStyle w:val="NoSpacing"/>
              <w:jc w:val="center"/>
              <w:rPr>
                <w:rFonts w:ascii="Times New Roman" w:hAnsi="Times New Roman"/>
                <w:sz w:val="20"/>
                <w:szCs w:val="20"/>
              </w:rPr>
            </w:pPr>
          </w:p>
        </w:tc>
        <w:tc>
          <w:tcPr>
            <w:tcW w:w="253" w:type="dxa"/>
            <w:tcBorders>
              <w:top w:val="single" w:sz="4" w:space="0" w:color="auto"/>
            </w:tcBorders>
            <w:vAlign w:val="bottom"/>
          </w:tcPr>
          <w:p w:rsidR="00EC2515" w:rsidRPr="001577CE" w:rsidRDefault="00EC2515" w:rsidP="00455251">
            <w:pPr>
              <w:pStyle w:val="NoSpacing"/>
              <w:jc w:val="center"/>
              <w:rPr>
                <w:rFonts w:ascii="Times New Roman" w:hAnsi="Times New Roman"/>
                <w:sz w:val="20"/>
                <w:szCs w:val="20"/>
              </w:rPr>
            </w:pPr>
          </w:p>
        </w:tc>
        <w:tc>
          <w:tcPr>
            <w:tcW w:w="2954" w:type="dxa"/>
            <w:gridSpan w:val="2"/>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2008</w:t>
            </w:r>
          </w:p>
        </w:tc>
        <w:tc>
          <w:tcPr>
            <w:tcW w:w="928" w:type="dxa"/>
            <w:tcBorders>
              <w:top w:val="single" w:sz="4" w:space="0" w:color="auto"/>
              <w:bottom w:val="single" w:sz="4" w:space="0" w:color="auto"/>
            </w:tcBorders>
          </w:tcPr>
          <w:p w:rsidR="00EC2515" w:rsidRPr="001577CE" w:rsidRDefault="00EC2515" w:rsidP="00455251">
            <w:pPr>
              <w:pStyle w:val="NoSpacing"/>
              <w:jc w:val="center"/>
              <w:rPr>
                <w:rFonts w:ascii="Times New Roman" w:hAnsi="Times New Roman"/>
                <w:sz w:val="20"/>
                <w:szCs w:val="20"/>
              </w:rPr>
            </w:pPr>
          </w:p>
        </w:tc>
      </w:tr>
      <w:tr w:rsidR="003E2F2B" w:rsidRPr="001577CE" w:rsidTr="003F3F26">
        <w:tc>
          <w:tcPr>
            <w:tcW w:w="1621" w:type="dxa"/>
            <w:tcBorders>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p>
        </w:tc>
        <w:tc>
          <w:tcPr>
            <w:tcW w:w="1359" w:type="dxa"/>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Battleground</w:t>
            </w:r>
          </w:p>
        </w:tc>
        <w:tc>
          <w:tcPr>
            <w:tcW w:w="1644" w:type="dxa"/>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Non-Battleground</w:t>
            </w:r>
          </w:p>
        </w:tc>
        <w:tc>
          <w:tcPr>
            <w:tcW w:w="600" w:type="dxa"/>
            <w:tcBorders>
              <w:top w:val="single" w:sz="4" w:space="0" w:color="auto"/>
              <w:bottom w:val="single" w:sz="4" w:space="0" w:color="auto"/>
            </w:tcBorders>
            <w:vAlign w:val="bottom"/>
          </w:tcPr>
          <w:p w:rsidR="00EC2515" w:rsidRPr="001577CE" w:rsidRDefault="00EC2515" w:rsidP="00C646B2">
            <w:pPr>
              <w:pStyle w:val="NoSpacing"/>
              <w:jc w:val="center"/>
              <w:rPr>
                <w:rFonts w:ascii="Times New Roman" w:hAnsi="Times New Roman"/>
                <w:sz w:val="20"/>
                <w:szCs w:val="20"/>
              </w:rPr>
            </w:pPr>
            <w:r>
              <w:rPr>
                <w:rFonts w:ascii="Times New Roman" w:hAnsi="Times New Roman"/>
                <w:sz w:val="20"/>
                <w:szCs w:val="20"/>
              </w:rPr>
              <w:t>Diff.</w:t>
            </w:r>
          </w:p>
        </w:tc>
        <w:tc>
          <w:tcPr>
            <w:tcW w:w="253" w:type="dxa"/>
            <w:vAlign w:val="bottom"/>
          </w:tcPr>
          <w:p w:rsidR="00EC2515" w:rsidRPr="001577CE" w:rsidRDefault="00EC2515" w:rsidP="00455251">
            <w:pPr>
              <w:pStyle w:val="NoSpacing"/>
              <w:jc w:val="center"/>
              <w:rPr>
                <w:rFonts w:ascii="Times New Roman" w:hAnsi="Times New Roman"/>
                <w:sz w:val="20"/>
                <w:szCs w:val="20"/>
              </w:rPr>
            </w:pPr>
          </w:p>
        </w:tc>
        <w:tc>
          <w:tcPr>
            <w:tcW w:w="1359" w:type="dxa"/>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Battleground</w:t>
            </w:r>
          </w:p>
        </w:tc>
        <w:tc>
          <w:tcPr>
            <w:tcW w:w="1595" w:type="dxa"/>
            <w:tcBorders>
              <w:top w:val="single" w:sz="4" w:space="0" w:color="auto"/>
              <w:bottom w:val="single" w:sz="4" w:space="0" w:color="auto"/>
            </w:tcBorders>
            <w:vAlign w:val="bottom"/>
          </w:tcPr>
          <w:p w:rsidR="00EC2515" w:rsidRPr="001577CE" w:rsidRDefault="00EC2515" w:rsidP="00455251">
            <w:pPr>
              <w:pStyle w:val="NoSpacing"/>
              <w:jc w:val="center"/>
              <w:rPr>
                <w:rFonts w:ascii="Times New Roman" w:hAnsi="Times New Roman"/>
                <w:sz w:val="20"/>
                <w:szCs w:val="20"/>
              </w:rPr>
            </w:pPr>
            <w:r w:rsidRPr="001577CE">
              <w:rPr>
                <w:rFonts w:ascii="Times New Roman" w:hAnsi="Times New Roman"/>
                <w:sz w:val="20"/>
                <w:szCs w:val="20"/>
              </w:rPr>
              <w:t>Non-Battleground</w:t>
            </w:r>
          </w:p>
        </w:tc>
        <w:tc>
          <w:tcPr>
            <w:tcW w:w="928" w:type="dxa"/>
            <w:tcBorders>
              <w:top w:val="single" w:sz="4" w:space="0" w:color="auto"/>
              <w:bottom w:val="single" w:sz="4" w:space="0" w:color="auto"/>
            </w:tcBorders>
          </w:tcPr>
          <w:p w:rsidR="00EC2515" w:rsidRPr="001577CE" w:rsidRDefault="00EC2515" w:rsidP="00455251">
            <w:pPr>
              <w:pStyle w:val="NoSpacing"/>
              <w:jc w:val="center"/>
              <w:rPr>
                <w:rFonts w:ascii="Times New Roman" w:hAnsi="Times New Roman"/>
                <w:sz w:val="20"/>
                <w:szCs w:val="20"/>
              </w:rPr>
            </w:pPr>
            <w:r>
              <w:rPr>
                <w:rFonts w:ascii="Times New Roman" w:hAnsi="Times New Roman"/>
                <w:sz w:val="20"/>
                <w:szCs w:val="20"/>
              </w:rPr>
              <w:t>Diff.</w:t>
            </w:r>
          </w:p>
        </w:tc>
      </w:tr>
      <w:tr w:rsidR="003E2F2B" w:rsidRPr="001577CE" w:rsidTr="003F3F26">
        <w:tc>
          <w:tcPr>
            <w:tcW w:w="1621" w:type="dxa"/>
            <w:tcBorders>
              <w:top w:val="single" w:sz="4" w:space="0" w:color="auto"/>
            </w:tcBorders>
          </w:tcPr>
          <w:p w:rsidR="00EC2515" w:rsidRPr="001577CE" w:rsidRDefault="00EC2515" w:rsidP="00511598">
            <w:pPr>
              <w:pStyle w:val="NoSpacing"/>
              <w:rPr>
                <w:rFonts w:ascii="Times New Roman" w:hAnsi="Times New Roman"/>
                <w:sz w:val="20"/>
                <w:szCs w:val="20"/>
              </w:rPr>
            </w:pPr>
            <w:r>
              <w:rPr>
                <w:rFonts w:ascii="Times New Roman" w:hAnsi="Times New Roman"/>
                <w:sz w:val="20"/>
                <w:szCs w:val="20"/>
              </w:rPr>
              <w:t>In-Partisan</w:t>
            </w:r>
          </w:p>
        </w:tc>
        <w:tc>
          <w:tcPr>
            <w:tcW w:w="1359" w:type="dxa"/>
            <w:tcBorders>
              <w:top w:val="single" w:sz="4" w:space="0" w:color="auto"/>
            </w:tcBorders>
          </w:tcPr>
          <w:p w:rsidR="00EC2515" w:rsidRPr="001577CE" w:rsidRDefault="004131A5" w:rsidP="00A00B27">
            <w:pPr>
              <w:pStyle w:val="NoSpacing"/>
              <w:jc w:val="center"/>
              <w:rPr>
                <w:rFonts w:ascii="Times New Roman" w:hAnsi="Times New Roman"/>
                <w:sz w:val="20"/>
                <w:szCs w:val="20"/>
              </w:rPr>
            </w:pPr>
            <w:r>
              <w:rPr>
                <w:rFonts w:ascii="Times New Roman" w:hAnsi="Times New Roman"/>
                <w:sz w:val="20"/>
                <w:szCs w:val="20"/>
              </w:rPr>
              <w:t>.724</w:t>
            </w:r>
          </w:p>
        </w:tc>
        <w:tc>
          <w:tcPr>
            <w:tcW w:w="1644" w:type="dxa"/>
            <w:tcBorders>
              <w:top w:val="single" w:sz="4" w:space="0" w:color="auto"/>
            </w:tcBorders>
          </w:tcPr>
          <w:p w:rsidR="00EC2515" w:rsidRPr="001577CE" w:rsidRDefault="004131A5" w:rsidP="00A00B27">
            <w:pPr>
              <w:pStyle w:val="NoSpacing"/>
              <w:jc w:val="center"/>
              <w:rPr>
                <w:rFonts w:ascii="Times New Roman" w:hAnsi="Times New Roman"/>
                <w:sz w:val="20"/>
                <w:szCs w:val="20"/>
              </w:rPr>
            </w:pPr>
            <w:r>
              <w:rPr>
                <w:rFonts w:ascii="Times New Roman" w:hAnsi="Times New Roman"/>
                <w:sz w:val="20"/>
                <w:szCs w:val="20"/>
              </w:rPr>
              <w:t>.723</w:t>
            </w:r>
          </w:p>
        </w:tc>
        <w:tc>
          <w:tcPr>
            <w:tcW w:w="600" w:type="dxa"/>
            <w:tcBorders>
              <w:top w:val="single" w:sz="4" w:space="0" w:color="auto"/>
            </w:tcBorders>
          </w:tcPr>
          <w:p w:rsidR="00EC2515" w:rsidRPr="001577CE" w:rsidRDefault="00EC2515" w:rsidP="00A00B27">
            <w:pPr>
              <w:pStyle w:val="NoSpacing"/>
              <w:jc w:val="center"/>
              <w:rPr>
                <w:rFonts w:ascii="Times New Roman" w:hAnsi="Times New Roman"/>
                <w:sz w:val="20"/>
                <w:szCs w:val="20"/>
              </w:rPr>
            </w:pPr>
          </w:p>
        </w:tc>
        <w:tc>
          <w:tcPr>
            <w:tcW w:w="253" w:type="dxa"/>
          </w:tcPr>
          <w:p w:rsidR="00EC2515" w:rsidRPr="001577CE" w:rsidRDefault="00EC2515" w:rsidP="00A00B27">
            <w:pPr>
              <w:pStyle w:val="NoSpacing"/>
              <w:jc w:val="center"/>
              <w:rPr>
                <w:rFonts w:ascii="Times New Roman" w:hAnsi="Times New Roman"/>
                <w:sz w:val="20"/>
                <w:szCs w:val="20"/>
              </w:rPr>
            </w:pPr>
          </w:p>
        </w:tc>
        <w:tc>
          <w:tcPr>
            <w:tcW w:w="1359" w:type="dxa"/>
            <w:tcBorders>
              <w:top w:val="single" w:sz="4" w:space="0" w:color="auto"/>
            </w:tcBorders>
          </w:tcPr>
          <w:p w:rsidR="00EC2515" w:rsidRPr="001577CE" w:rsidRDefault="0030583F" w:rsidP="00A00B27">
            <w:pPr>
              <w:pStyle w:val="NoSpacing"/>
              <w:jc w:val="center"/>
              <w:rPr>
                <w:rFonts w:ascii="Times New Roman" w:hAnsi="Times New Roman"/>
                <w:sz w:val="20"/>
                <w:szCs w:val="20"/>
              </w:rPr>
            </w:pPr>
            <w:r>
              <w:rPr>
                <w:rFonts w:ascii="Times New Roman" w:hAnsi="Times New Roman"/>
                <w:sz w:val="20"/>
                <w:szCs w:val="20"/>
              </w:rPr>
              <w:t>.741</w:t>
            </w:r>
          </w:p>
        </w:tc>
        <w:tc>
          <w:tcPr>
            <w:tcW w:w="1595" w:type="dxa"/>
            <w:tcBorders>
              <w:top w:val="single" w:sz="4" w:space="0" w:color="auto"/>
            </w:tcBorders>
          </w:tcPr>
          <w:p w:rsidR="00EC2515" w:rsidRPr="001577CE" w:rsidRDefault="00297837" w:rsidP="00A00B27">
            <w:pPr>
              <w:pStyle w:val="NoSpacing"/>
              <w:jc w:val="center"/>
              <w:rPr>
                <w:rFonts w:ascii="Times New Roman" w:hAnsi="Times New Roman"/>
                <w:sz w:val="20"/>
                <w:szCs w:val="20"/>
              </w:rPr>
            </w:pPr>
            <w:r>
              <w:rPr>
                <w:rFonts w:ascii="Times New Roman" w:hAnsi="Times New Roman"/>
                <w:sz w:val="20"/>
                <w:szCs w:val="20"/>
              </w:rPr>
              <w:t>.741</w:t>
            </w:r>
          </w:p>
        </w:tc>
        <w:tc>
          <w:tcPr>
            <w:tcW w:w="928" w:type="dxa"/>
            <w:tcBorders>
              <w:top w:val="single" w:sz="4" w:space="0" w:color="auto"/>
            </w:tcBorders>
          </w:tcPr>
          <w:p w:rsidR="00EC2515" w:rsidRPr="001577CE" w:rsidRDefault="00EC2515" w:rsidP="00A00B27">
            <w:pPr>
              <w:pStyle w:val="NoSpacing"/>
              <w:jc w:val="center"/>
              <w:rPr>
                <w:rFonts w:ascii="Times New Roman" w:hAnsi="Times New Roman"/>
                <w:sz w:val="20"/>
                <w:szCs w:val="20"/>
              </w:rPr>
            </w:pPr>
          </w:p>
        </w:tc>
      </w:tr>
      <w:tr w:rsidR="003E2F2B" w:rsidRPr="001577CE" w:rsidTr="003F3F26">
        <w:tc>
          <w:tcPr>
            <w:tcW w:w="1621" w:type="dxa"/>
          </w:tcPr>
          <w:p w:rsidR="00EC2515" w:rsidRPr="001577CE" w:rsidRDefault="00EC2515" w:rsidP="00511598">
            <w:pPr>
              <w:pStyle w:val="NoSpacing"/>
              <w:rPr>
                <w:rFonts w:ascii="Times New Roman" w:hAnsi="Times New Roman"/>
                <w:sz w:val="20"/>
                <w:szCs w:val="20"/>
              </w:rPr>
            </w:pPr>
            <w:r>
              <w:rPr>
                <w:rFonts w:ascii="Times New Roman" w:hAnsi="Times New Roman"/>
                <w:sz w:val="20"/>
                <w:szCs w:val="20"/>
              </w:rPr>
              <w:t>Out-Partisan</w:t>
            </w:r>
          </w:p>
        </w:tc>
        <w:tc>
          <w:tcPr>
            <w:tcW w:w="1359" w:type="dxa"/>
          </w:tcPr>
          <w:p w:rsidR="00EC2515" w:rsidRPr="001577CE" w:rsidRDefault="006C6869" w:rsidP="00A00B27">
            <w:pPr>
              <w:pStyle w:val="NoSpacing"/>
              <w:jc w:val="center"/>
              <w:rPr>
                <w:rFonts w:ascii="Times New Roman" w:hAnsi="Times New Roman"/>
                <w:sz w:val="20"/>
                <w:szCs w:val="20"/>
              </w:rPr>
            </w:pPr>
            <w:r>
              <w:rPr>
                <w:rFonts w:ascii="Times New Roman" w:hAnsi="Times New Roman"/>
                <w:sz w:val="20"/>
                <w:szCs w:val="20"/>
              </w:rPr>
              <w:t>.34</w:t>
            </w:r>
            <w:r w:rsidR="00027F9E">
              <w:rPr>
                <w:rFonts w:ascii="Times New Roman" w:hAnsi="Times New Roman"/>
                <w:sz w:val="20"/>
                <w:szCs w:val="20"/>
              </w:rPr>
              <w:t>0</w:t>
            </w:r>
          </w:p>
        </w:tc>
        <w:tc>
          <w:tcPr>
            <w:tcW w:w="1644" w:type="dxa"/>
          </w:tcPr>
          <w:p w:rsidR="00EC2515" w:rsidRPr="001577CE" w:rsidRDefault="006C6869" w:rsidP="00A00B27">
            <w:pPr>
              <w:pStyle w:val="NoSpacing"/>
              <w:jc w:val="center"/>
              <w:rPr>
                <w:rFonts w:ascii="Times New Roman" w:hAnsi="Times New Roman"/>
                <w:sz w:val="20"/>
                <w:szCs w:val="20"/>
              </w:rPr>
            </w:pPr>
            <w:r>
              <w:rPr>
                <w:rFonts w:ascii="Times New Roman" w:hAnsi="Times New Roman"/>
                <w:sz w:val="20"/>
                <w:szCs w:val="20"/>
              </w:rPr>
              <w:t>.337</w:t>
            </w:r>
          </w:p>
        </w:tc>
        <w:tc>
          <w:tcPr>
            <w:tcW w:w="600" w:type="dxa"/>
          </w:tcPr>
          <w:p w:rsidR="00EC2515" w:rsidRPr="001577CE" w:rsidRDefault="00EC2515" w:rsidP="00A00B27">
            <w:pPr>
              <w:pStyle w:val="NoSpacing"/>
              <w:jc w:val="center"/>
              <w:rPr>
                <w:rFonts w:ascii="Times New Roman" w:hAnsi="Times New Roman"/>
                <w:sz w:val="20"/>
                <w:szCs w:val="20"/>
              </w:rPr>
            </w:pPr>
          </w:p>
        </w:tc>
        <w:tc>
          <w:tcPr>
            <w:tcW w:w="253" w:type="dxa"/>
          </w:tcPr>
          <w:p w:rsidR="00EC2515" w:rsidRPr="001577CE" w:rsidRDefault="00EC2515" w:rsidP="00A00B27">
            <w:pPr>
              <w:pStyle w:val="NoSpacing"/>
              <w:jc w:val="center"/>
              <w:rPr>
                <w:rFonts w:ascii="Times New Roman" w:hAnsi="Times New Roman"/>
                <w:sz w:val="20"/>
                <w:szCs w:val="20"/>
              </w:rPr>
            </w:pPr>
          </w:p>
        </w:tc>
        <w:tc>
          <w:tcPr>
            <w:tcW w:w="1359" w:type="dxa"/>
          </w:tcPr>
          <w:p w:rsidR="00EC2515" w:rsidRPr="001577CE" w:rsidRDefault="00D331BB" w:rsidP="00A00B27">
            <w:pPr>
              <w:pStyle w:val="NoSpacing"/>
              <w:jc w:val="center"/>
              <w:rPr>
                <w:rFonts w:ascii="Times New Roman" w:hAnsi="Times New Roman"/>
                <w:sz w:val="20"/>
                <w:szCs w:val="20"/>
              </w:rPr>
            </w:pPr>
            <w:r>
              <w:rPr>
                <w:rFonts w:ascii="Times New Roman" w:hAnsi="Times New Roman"/>
                <w:sz w:val="20"/>
                <w:szCs w:val="20"/>
              </w:rPr>
              <w:t>.152</w:t>
            </w:r>
          </w:p>
        </w:tc>
        <w:tc>
          <w:tcPr>
            <w:tcW w:w="1595" w:type="dxa"/>
          </w:tcPr>
          <w:p w:rsidR="00EC2515" w:rsidRPr="001577CE" w:rsidRDefault="00297837" w:rsidP="00A00B27">
            <w:pPr>
              <w:pStyle w:val="NoSpacing"/>
              <w:jc w:val="center"/>
              <w:rPr>
                <w:rFonts w:ascii="Times New Roman" w:hAnsi="Times New Roman"/>
                <w:sz w:val="20"/>
                <w:szCs w:val="20"/>
              </w:rPr>
            </w:pPr>
            <w:r>
              <w:rPr>
                <w:rFonts w:ascii="Times New Roman" w:hAnsi="Times New Roman"/>
                <w:sz w:val="20"/>
                <w:szCs w:val="20"/>
              </w:rPr>
              <w:t>.125</w:t>
            </w:r>
          </w:p>
        </w:tc>
        <w:tc>
          <w:tcPr>
            <w:tcW w:w="928" w:type="dxa"/>
          </w:tcPr>
          <w:p w:rsidR="00EC2515" w:rsidRPr="001577CE" w:rsidRDefault="00EC2515" w:rsidP="00A00B27">
            <w:pPr>
              <w:pStyle w:val="NoSpacing"/>
              <w:jc w:val="center"/>
              <w:rPr>
                <w:rFonts w:ascii="Times New Roman" w:hAnsi="Times New Roman"/>
                <w:sz w:val="20"/>
                <w:szCs w:val="20"/>
              </w:rPr>
            </w:pPr>
          </w:p>
        </w:tc>
      </w:tr>
      <w:tr w:rsidR="003E2F2B" w:rsidRPr="001577CE" w:rsidTr="003F3F26">
        <w:tc>
          <w:tcPr>
            <w:tcW w:w="1621" w:type="dxa"/>
          </w:tcPr>
          <w:p w:rsidR="00EC2515" w:rsidRPr="001577CE" w:rsidRDefault="00EC2515" w:rsidP="00511598">
            <w:pPr>
              <w:pStyle w:val="NoSpacing"/>
              <w:rPr>
                <w:rFonts w:ascii="Times New Roman" w:hAnsi="Times New Roman"/>
                <w:sz w:val="20"/>
                <w:szCs w:val="20"/>
              </w:rPr>
            </w:pPr>
            <w:r>
              <w:rPr>
                <w:rFonts w:ascii="Times New Roman" w:hAnsi="Times New Roman"/>
                <w:sz w:val="20"/>
                <w:szCs w:val="20"/>
              </w:rPr>
              <w:t>In – Out Partisan</w:t>
            </w:r>
          </w:p>
        </w:tc>
        <w:tc>
          <w:tcPr>
            <w:tcW w:w="1359" w:type="dxa"/>
          </w:tcPr>
          <w:p w:rsidR="00EC2515" w:rsidRPr="001577CE" w:rsidRDefault="00CF6C7E" w:rsidP="00A00B27">
            <w:pPr>
              <w:pStyle w:val="NoSpacing"/>
              <w:jc w:val="center"/>
              <w:rPr>
                <w:rFonts w:ascii="Times New Roman" w:hAnsi="Times New Roman"/>
                <w:sz w:val="20"/>
                <w:szCs w:val="20"/>
              </w:rPr>
            </w:pPr>
            <w:r>
              <w:rPr>
                <w:rFonts w:ascii="Times New Roman" w:hAnsi="Times New Roman"/>
                <w:sz w:val="20"/>
                <w:szCs w:val="20"/>
              </w:rPr>
              <w:t>.384</w:t>
            </w:r>
          </w:p>
        </w:tc>
        <w:tc>
          <w:tcPr>
            <w:tcW w:w="1644" w:type="dxa"/>
          </w:tcPr>
          <w:p w:rsidR="00EC2515" w:rsidRPr="001577CE" w:rsidRDefault="00CF6C7E" w:rsidP="00A00B27">
            <w:pPr>
              <w:pStyle w:val="NoSpacing"/>
              <w:jc w:val="center"/>
              <w:rPr>
                <w:rFonts w:ascii="Times New Roman" w:hAnsi="Times New Roman"/>
                <w:sz w:val="20"/>
                <w:szCs w:val="20"/>
              </w:rPr>
            </w:pPr>
            <w:r>
              <w:rPr>
                <w:rFonts w:ascii="Times New Roman" w:hAnsi="Times New Roman"/>
                <w:sz w:val="20"/>
                <w:szCs w:val="20"/>
              </w:rPr>
              <w:t>.386</w:t>
            </w:r>
          </w:p>
        </w:tc>
        <w:tc>
          <w:tcPr>
            <w:tcW w:w="600" w:type="dxa"/>
          </w:tcPr>
          <w:p w:rsidR="00EC2515" w:rsidRPr="001577CE" w:rsidRDefault="00EC2515" w:rsidP="00A00B27">
            <w:pPr>
              <w:pStyle w:val="NoSpacing"/>
              <w:jc w:val="center"/>
              <w:rPr>
                <w:rFonts w:ascii="Times New Roman" w:hAnsi="Times New Roman"/>
                <w:sz w:val="20"/>
                <w:szCs w:val="20"/>
              </w:rPr>
            </w:pPr>
          </w:p>
        </w:tc>
        <w:tc>
          <w:tcPr>
            <w:tcW w:w="253" w:type="dxa"/>
          </w:tcPr>
          <w:p w:rsidR="00EC2515" w:rsidRPr="001577CE" w:rsidRDefault="00EC2515" w:rsidP="00A00B27">
            <w:pPr>
              <w:pStyle w:val="NoSpacing"/>
              <w:jc w:val="center"/>
              <w:rPr>
                <w:rFonts w:ascii="Times New Roman" w:hAnsi="Times New Roman"/>
                <w:sz w:val="20"/>
                <w:szCs w:val="20"/>
              </w:rPr>
            </w:pPr>
          </w:p>
        </w:tc>
        <w:tc>
          <w:tcPr>
            <w:tcW w:w="1359" w:type="dxa"/>
          </w:tcPr>
          <w:p w:rsidR="00EC2515" w:rsidRPr="001577CE" w:rsidRDefault="00840155" w:rsidP="00A00B27">
            <w:pPr>
              <w:pStyle w:val="NoSpacing"/>
              <w:jc w:val="center"/>
              <w:rPr>
                <w:rFonts w:ascii="Times New Roman" w:hAnsi="Times New Roman"/>
                <w:sz w:val="20"/>
                <w:szCs w:val="20"/>
              </w:rPr>
            </w:pPr>
            <w:r>
              <w:rPr>
                <w:rFonts w:ascii="Times New Roman" w:hAnsi="Times New Roman"/>
                <w:sz w:val="20"/>
                <w:szCs w:val="20"/>
              </w:rPr>
              <w:t>.589</w:t>
            </w:r>
          </w:p>
        </w:tc>
        <w:tc>
          <w:tcPr>
            <w:tcW w:w="1595" w:type="dxa"/>
          </w:tcPr>
          <w:p w:rsidR="00EC2515" w:rsidRPr="001577CE" w:rsidRDefault="00840155" w:rsidP="00A00B27">
            <w:pPr>
              <w:pStyle w:val="NoSpacing"/>
              <w:jc w:val="center"/>
              <w:rPr>
                <w:rFonts w:ascii="Times New Roman" w:hAnsi="Times New Roman"/>
                <w:sz w:val="20"/>
                <w:szCs w:val="20"/>
              </w:rPr>
            </w:pPr>
            <w:r>
              <w:rPr>
                <w:rFonts w:ascii="Times New Roman" w:hAnsi="Times New Roman"/>
                <w:sz w:val="20"/>
                <w:szCs w:val="20"/>
              </w:rPr>
              <w:t>.616</w:t>
            </w:r>
          </w:p>
        </w:tc>
        <w:tc>
          <w:tcPr>
            <w:tcW w:w="928" w:type="dxa"/>
          </w:tcPr>
          <w:p w:rsidR="00EC2515" w:rsidRPr="001577CE" w:rsidRDefault="003E2F2B" w:rsidP="00A00B27">
            <w:pPr>
              <w:pStyle w:val="NoSpacing"/>
              <w:jc w:val="center"/>
              <w:rPr>
                <w:rFonts w:ascii="Times New Roman" w:hAnsi="Times New Roman"/>
                <w:sz w:val="20"/>
                <w:szCs w:val="20"/>
              </w:rPr>
            </w:pPr>
            <w:r>
              <w:rPr>
                <w:rFonts w:ascii="Times New Roman" w:hAnsi="Times New Roman"/>
                <w:sz w:val="20"/>
                <w:szCs w:val="20"/>
              </w:rPr>
              <w:t>-.028</w:t>
            </w:r>
            <w:r w:rsidRPr="003E2F2B">
              <w:rPr>
                <w:rFonts w:ascii="Times New Roman" w:hAnsi="Times New Roman"/>
                <w:sz w:val="20"/>
                <w:szCs w:val="20"/>
                <w:vertAlign w:val="superscript"/>
              </w:rPr>
              <w:t>***</w:t>
            </w:r>
          </w:p>
        </w:tc>
      </w:tr>
      <w:tr w:rsidR="003E2F2B" w:rsidRPr="001577CE" w:rsidTr="003F3F26">
        <w:tc>
          <w:tcPr>
            <w:tcW w:w="1621" w:type="dxa"/>
          </w:tcPr>
          <w:p w:rsidR="00EC2515" w:rsidRDefault="00EC2515" w:rsidP="00511598">
            <w:pPr>
              <w:pStyle w:val="NoSpacing"/>
              <w:rPr>
                <w:rFonts w:ascii="Times New Roman" w:hAnsi="Times New Roman"/>
                <w:sz w:val="20"/>
                <w:szCs w:val="20"/>
              </w:rPr>
            </w:pPr>
          </w:p>
        </w:tc>
        <w:tc>
          <w:tcPr>
            <w:tcW w:w="1359" w:type="dxa"/>
          </w:tcPr>
          <w:p w:rsidR="00EC2515" w:rsidRPr="001577CE" w:rsidRDefault="00EC2515" w:rsidP="00511598">
            <w:pPr>
              <w:pStyle w:val="NoSpacing"/>
              <w:rPr>
                <w:rFonts w:ascii="Times New Roman" w:hAnsi="Times New Roman"/>
                <w:sz w:val="20"/>
                <w:szCs w:val="20"/>
              </w:rPr>
            </w:pPr>
          </w:p>
        </w:tc>
        <w:tc>
          <w:tcPr>
            <w:tcW w:w="1644" w:type="dxa"/>
          </w:tcPr>
          <w:p w:rsidR="00EC2515" w:rsidRPr="001577CE" w:rsidRDefault="00EC2515" w:rsidP="00511598">
            <w:pPr>
              <w:pStyle w:val="NoSpacing"/>
              <w:rPr>
                <w:rFonts w:ascii="Times New Roman" w:hAnsi="Times New Roman"/>
                <w:sz w:val="20"/>
                <w:szCs w:val="20"/>
              </w:rPr>
            </w:pPr>
          </w:p>
        </w:tc>
        <w:tc>
          <w:tcPr>
            <w:tcW w:w="600" w:type="dxa"/>
          </w:tcPr>
          <w:p w:rsidR="00EC2515" w:rsidRPr="001577CE" w:rsidRDefault="00EC2515" w:rsidP="00511598">
            <w:pPr>
              <w:pStyle w:val="NoSpacing"/>
              <w:rPr>
                <w:rFonts w:ascii="Times New Roman" w:hAnsi="Times New Roman"/>
                <w:sz w:val="20"/>
                <w:szCs w:val="20"/>
              </w:rPr>
            </w:pPr>
          </w:p>
        </w:tc>
        <w:tc>
          <w:tcPr>
            <w:tcW w:w="253" w:type="dxa"/>
          </w:tcPr>
          <w:p w:rsidR="00EC2515" w:rsidRPr="001577CE" w:rsidRDefault="00EC2515" w:rsidP="00511598">
            <w:pPr>
              <w:pStyle w:val="NoSpacing"/>
              <w:rPr>
                <w:rFonts w:ascii="Times New Roman" w:hAnsi="Times New Roman"/>
                <w:sz w:val="20"/>
                <w:szCs w:val="20"/>
              </w:rPr>
            </w:pPr>
          </w:p>
        </w:tc>
        <w:tc>
          <w:tcPr>
            <w:tcW w:w="1359" w:type="dxa"/>
          </w:tcPr>
          <w:p w:rsidR="00EC2515" w:rsidRPr="001577CE" w:rsidRDefault="00EC2515" w:rsidP="00511598">
            <w:pPr>
              <w:pStyle w:val="NoSpacing"/>
              <w:rPr>
                <w:rFonts w:ascii="Times New Roman" w:hAnsi="Times New Roman"/>
                <w:sz w:val="20"/>
                <w:szCs w:val="20"/>
              </w:rPr>
            </w:pPr>
          </w:p>
        </w:tc>
        <w:tc>
          <w:tcPr>
            <w:tcW w:w="1595" w:type="dxa"/>
          </w:tcPr>
          <w:p w:rsidR="00EC2515" w:rsidRPr="001577CE" w:rsidRDefault="00EC2515" w:rsidP="00511598">
            <w:pPr>
              <w:pStyle w:val="NoSpacing"/>
              <w:rPr>
                <w:rFonts w:ascii="Times New Roman" w:hAnsi="Times New Roman"/>
                <w:sz w:val="20"/>
                <w:szCs w:val="20"/>
              </w:rPr>
            </w:pPr>
          </w:p>
        </w:tc>
        <w:tc>
          <w:tcPr>
            <w:tcW w:w="928" w:type="dxa"/>
          </w:tcPr>
          <w:p w:rsidR="00EC2515" w:rsidRPr="001577CE" w:rsidRDefault="00EC2515" w:rsidP="00511598">
            <w:pPr>
              <w:pStyle w:val="NoSpacing"/>
              <w:rPr>
                <w:rFonts w:ascii="Times New Roman" w:hAnsi="Times New Roman"/>
                <w:sz w:val="20"/>
                <w:szCs w:val="20"/>
              </w:rPr>
            </w:pPr>
          </w:p>
        </w:tc>
      </w:tr>
      <w:tr w:rsidR="003E2F2B" w:rsidRPr="001577CE" w:rsidTr="003F3F26">
        <w:tc>
          <w:tcPr>
            <w:tcW w:w="1621" w:type="dxa"/>
            <w:tcBorders>
              <w:bottom w:val="single" w:sz="4" w:space="0" w:color="auto"/>
            </w:tcBorders>
          </w:tcPr>
          <w:p w:rsidR="00EC2515" w:rsidRPr="001577CE" w:rsidRDefault="00EC2515" w:rsidP="00511598">
            <w:pPr>
              <w:pStyle w:val="NoSpacing"/>
              <w:rPr>
                <w:rFonts w:ascii="Times New Roman" w:hAnsi="Times New Roman"/>
                <w:sz w:val="20"/>
                <w:szCs w:val="20"/>
              </w:rPr>
            </w:pPr>
            <w:r>
              <w:rPr>
                <w:rFonts w:ascii="Times New Roman" w:hAnsi="Times New Roman"/>
                <w:sz w:val="20"/>
                <w:szCs w:val="20"/>
              </w:rPr>
              <w:t>N</w:t>
            </w:r>
          </w:p>
        </w:tc>
        <w:tc>
          <w:tcPr>
            <w:tcW w:w="1359" w:type="dxa"/>
            <w:tcBorders>
              <w:bottom w:val="single" w:sz="4" w:space="0" w:color="auto"/>
            </w:tcBorders>
          </w:tcPr>
          <w:p w:rsidR="00EC2515" w:rsidRPr="001577CE" w:rsidRDefault="006A0D92" w:rsidP="006A0D92">
            <w:pPr>
              <w:pStyle w:val="NoSpacing"/>
              <w:jc w:val="center"/>
              <w:rPr>
                <w:rFonts w:ascii="Times New Roman" w:hAnsi="Times New Roman"/>
                <w:sz w:val="20"/>
                <w:szCs w:val="20"/>
              </w:rPr>
            </w:pPr>
            <w:r>
              <w:rPr>
                <w:rFonts w:ascii="Times New Roman" w:hAnsi="Times New Roman"/>
                <w:sz w:val="20"/>
                <w:szCs w:val="20"/>
              </w:rPr>
              <w:t>519</w:t>
            </w:r>
          </w:p>
        </w:tc>
        <w:tc>
          <w:tcPr>
            <w:tcW w:w="1644" w:type="dxa"/>
            <w:tcBorders>
              <w:bottom w:val="single" w:sz="4" w:space="0" w:color="auto"/>
            </w:tcBorders>
          </w:tcPr>
          <w:p w:rsidR="00EC2515" w:rsidRPr="001577CE" w:rsidRDefault="006A0D92" w:rsidP="006A0D92">
            <w:pPr>
              <w:pStyle w:val="NoSpacing"/>
              <w:jc w:val="center"/>
              <w:rPr>
                <w:rFonts w:ascii="Times New Roman" w:hAnsi="Times New Roman"/>
                <w:sz w:val="20"/>
                <w:szCs w:val="20"/>
              </w:rPr>
            </w:pPr>
            <w:r>
              <w:rPr>
                <w:rFonts w:ascii="Times New Roman" w:hAnsi="Times New Roman"/>
                <w:sz w:val="20"/>
                <w:szCs w:val="20"/>
              </w:rPr>
              <w:t>1757</w:t>
            </w:r>
          </w:p>
        </w:tc>
        <w:tc>
          <w:tcPr>
            <w:tcW w:w="600" w:type="dxa"/>
            <w:tcBorders>
              <w:bottom w:val="single" w:sz="4" w:space="0" w:color="auto"/>
            </w:tcBorders>
          </w:tcPr>
          <w:p w:rsidR="00EC2515" w:rsidRPr="001577CE" w:rsidRDefault="00EC2515" w:rsidP="006A0D92">
            <w:pPr>
              <w:pStyle w:val="NoSpacing"/>
              <w:jc w:val="center"/>
              <w:rPr>
                <w:rFonts w:ascii="Times New Roman" w:hAnsi="Times New Roman"/>
                <w:sz w:val="20"/>
                <w:szCs w:val="20"/>
              </w:rPr>
            </w:pPr>
          </w:p>
        </w:tc>
        <w:tc>
          <w:tcPr>
            <w:tcW w:w="253" w:type="dxa"/>
            <w:tcBorders>
              <w:bottom w:val="single" w:sz="4" w:space="0" w:color="auto"/>
            </w:tcBorders>
          </w:tcPr>
          <w:p w:rsidR="00EC2515" w:rsidRPr="001577CE" w:rsidRDefault="00EC2515" w:rsidP="006A0D92">
            <w:pPr>
              <w:pStyle w:val="NoSpacing"/>
              <w:jc w:val="center"/>
              <w:rPr>
                <w:rFonts w:ascii="Times New Roman" w:hAnsi="Times New Roman"/>
                <w:sz w:val="20"/>
                <w:szCs w:val="20"/>
              </w:rPr>
            </w:pPr>
          </w:p>
        </w:tc>
        <w:tc>
          <w:tcPr>
            <w:tcW w:w="1359" w:type="dxa"/>
            <w:tcBorders>
              <w:bottom w:val="single" w:sz="4" w:space="0" w:color="auto"/>
            </w:tcBorders>
          </w:tcPr>
          <w:p w:rsidR="00EC2515" w:rsidRPr="001577CE" w:rsidRDefault="00967446" w:rsidP="006A0D92">
            <w:pPr>
              <w:pStyle w:val="NoSpacing"/>
              <w:jc w:val="center"/>
              <w:rPr>
                <w:rFonts w:ascii="Times New Roman" w:hAnsi="Times New Roman"/>
                <w:sz w:val="20"/>
                <w:szCs w:val="20"/>
              </w:rPr>
            </w:pPr>
            <w:r>
              <w:rPr>
                <w:rFonts w:ascii="Times New Roman" w:hAnsi="Times New Roman"/>
                <w:sz w:val="20"/>
                <w:szCs w:val="20"/>
              </w:rPr>
              <w:t>6928</w:t>
            </w:r>
          </w:p>
        </w:tc>
        <w:tc>
          <w:tcPr>
            <w:tcW w:w="1595" w:type="dxa"/>
            <w:tcBorders>
              <w:bottom w:val="single" w:sz="4" w:space="0" w:color="auto"/>
            </w:tcBorders>
          </w:tcPr>
          <w:p w:rsidR="00EC2515" w:rsidRPr="001577CE" w:rsidRDefault="00967446" w:rsidP="006A0D92">
            <w:pPr>
              <w:pStyle w:val="NoSpacing"/>
              <w:jc w:val="center"/>
              <w:rPr>
                <w:rFonts w:ascii="Times New Roman" w:hAnsi="Times New Roman"/>
                <w:sz w:val="20"/>
                <w:szCs w:val="20"/>
              </w:rPr>
            </w:pPr>
            <w:r>
              <w:rPr>
                <w:rFonts w:ascii="Times New Roman" w:hAnsi="Times New Roman"/>
                <w:sz w:val="20"/>
                <w:szCs w:val="20"/>
              </w:rPr>
              <w:t>7544</w:t>
            </w:r>
          </w:p>
        </w:tc>
        <w:tc>
          <w:tcPr>
            <w:tcW w:w="928" w:type="dxa"/>
            <w:tcBorders>
              <w:bottom w:val="single" w:sz="4" w:space="0" w:color="auto"/>
            </w:tcBorders>
          </w:tcPr>
          <w:p w:rsidR="00EC2515" w:rsidRPr="001577CE" w:rsidRDefault="00EC2515" w:rsidP="006A0D92">
            <w:pPr>
              <w:pStyle w:val="NoSpacing"/>
              <w:jc w:val="center"/>
              <w:rPr>
                <w:rFonts w:ascii="Times New Roman" w:hAnsi="Times New Roman"/>
                <w:sz w:val="20"/>
                <w:szCs w:val="20"/>
              </w:rPr>
            </w:pPr>
          </w:p>
        </w:tc>
      </w:tr>
    </w:tbl>
    <w:p w:rsidR="0049416D" w:rsidRDefault="0049416D" w:rsidP="0049416D">
      <w:pPr>
        <w:autoSpaceDE w:val="0"/>
        <w:autoSpaceDN w:val="0"/>
        <w:adjustRightInd w:val="0"/>
        <w:spacing w:line="480" w:lineRule="auto"/>
        <w:rPr>
          <w:rFonts w:ascii="Times New Roman" w:hAnsi="Times New Roman"/>
          <w:sz w:val="24"/>
          <w:szCs w:val="24"/>
        </w:rPr>
      </w:pPr>
    </w:p>
    <w:p w:rsidR="00592EAA" w:rsidRDefault="00592EAA" w:rsidP="00774DA2">
      <w:pPr>
        <w:autoSpaceDE w:val="0"/>
        <w:autoSpaceDN w:val="0"/>
        <w:adjustRightInd w:val="0"/>
        <w:spacing w:line="480" w:lineRule="auto"/>
        <w:rPr>
          <w:rFonts w:ascii="Times New Roman" w:hAnsi="Times New Roman"/>
          <w:sz w:val="24"/>
          <w:szCs w:val="24"/>
        </w:rPr>
      </w:pPr>
    </w:p>
    <w:sectPr w:rsidR="00592EAA" w:rsidSect="00C863F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A7D" w:rsidRDefault="00F11A7D" w:rsidP="00C46E73">
      <w:r>
        <w:separator/>
      </w:r>
    </w:p>
  </w:endnote>
  <w:endnote w:type="continuationSeparator" w:id="0">
    <w:p w:rsidR="00F11A7D" w:rsidRDefault="00F11A7D" w:rsidP="00C46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EhrhardtMT-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A7D" w:rsidRDefault="00F11A7D" w:rsidP="00C46E73">
      <w:r>
        <w:separator/>
      </w:r>
    </w:p>
  </w:footnote>
  <w:footnote w:type="continuationSeparator" w:id="0">
    <w:p w:rsidR="00F11A7D" w:rsidRDefault="00F11A7D" w:rsidP="00C46E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0602687"/>
      <w:docPartObj>
        <w:docPartGallery w:val="Page Numbers (Top of Page)"/>
        <w:docPartUnique/>
      </w:docPartObj>
    </w:sdtPr>
    <w:sdtEndPr>
      <w:rPr>
        <w:rFonts w:ascii="Times New Roman" w:hAnsi="Times New Roman"/>
        <w:sz w:val="24"/>
        <w:szCs w:val="24"/>
      </w:rPr>
    </w:sdtEndPr>
    <w:sdtContent>
      <w:p w:rsidR="00511598" w:rsidRPr="00C46E73" w:rsidRDefault="00DC2830">
        <w:pPr>
          <w:pStyle w:val="Header"/>
          <w:jc w:val="center"/>
          <w:rPr>
            <w:rFonts w:ascii="Times New Roman" w:hAnsi="Times New Roman"/>
            <w:sz w:val="24"/>
            <w:szCs w:val="24"/>
          </w:rPr>
        </w:pPr>
        <w:r w:rsidRPr="00C46E73">
          <w:rPr>
            <w:rFonts w:ascii="Times New Roman" w:hAnsi="Times New Roman"/>
            <w:sz w:val="24"/>
            <w:szCs w:val="24"/>
          </w:rPr>
          <w:fldChar w:fldCharType="begin"/>
        </w:r>
        <w:r w:rsidR="00511598" w:rsidRPr="00C46E73">
          <w:rPr>
            <w:rFonts w:ascii="Times New Roman" w:hAnsi="Times New Roman"/>
            <w:sz w:val="24"/>
            <w:szCs w:val="24"/>
          </w:rPr>
          <w:instrText xml:space="preserve"> PAGE   \* MERGEFORMAT </w:instrText>
        </w:r>
        <w:r w:rsidRPr="00C46E73">
          <w:rPr>
            <w:rFonts w:ascii="Times New Roman" w:hAnsi="Times New Roman"/>
            <w:sz w:val="24"/>
            <w:szCs w:val="24"/>
          </w:rPr>
          <w:fldChar w:fldCharType="separate"/>
        </w:r>
        <w:r w:rsidR="00CA3726">
          <w:rPr>
            <w:rFonts w:ascii="Times New Roman" w:hAnsi="Times New Roman"/>
            <w:noProof/>
            <w:sz w:val="24"/>
            <w:szCs w:val="24"/>
          </w:rPr>
          <w:t>1</w:t>
        </w:r>
        <w:r w:rsidRPr="00C46E73">
          <w:rPr>
            <w:rFonts w:ascii="Times New Roman" w:hAnsi="Times New Roman"/>
            <w:sz w:val="24"/>
            <w:szCs w:val="24"/>
          </w:rPr>
          <w:fldChar w:fldCharType="end"/>
        </w:r>
      </w:p>
    </w:sdtContent>
  </w:sdt>
  <w:p w:rsidR="00511598" w:rsidRPr="00C46E73" w:rsidRDefault="00511598">
    <w:pPr>
      <w:pStyle w:val="Header"/>
      <w:rPr>
        <w:rFonts w:ascii="Times New Roman" w:hAnsi="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7FF2"/>
    <w:multiLevelType w:val="hybridMultilevel"/>
    <w:tmpl w:val="EABCEF7A"/>
    <w:lvl w:ilvl="0" w:tplc="DFF66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A1924"/>
    <w:multiLevelType w:val="hybridMultilevel"/>
    <w:tmpl w:val="AC90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D6946"/>
    <w:multiLevelType w:val="hybridMultilevel"/>
    <w:tmpl w:val="EABCEF7A"/>
    <w:lvl w:ilvl="0" w:tplc="DFF66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6ACF"/>
    <w:rsid w:val="00005705"/>
    <w:rsid w:val="000071CA"/>
    <w:rsid w:val="00010A33"/>
    <w:rsid w:val="00011FB9"/>
    <w:rsid w:val="00013767"/>
    <w:rsid w:val="000140DB"/>
    <w:rsid w:val="0001767C"/>
    <w:rsid w:val="000213CF"/>
    <w:rsid w:val="00021A20"/>
    <w:rsid w:val="00021CF9"/>
    <w:rsid w:val="000251F6"/>
    <w:rsid w:val="000278CF"/>
    <w:rsid w:val="00027F9E"/>
    <w:rsid w:val="00032146"/>
    <w:rsid w:val="000364A9"/>
    <w:rsid w:val="0003791A"/>
    <w:rsid w:val="00045C6D"/>
    <w:rsid w:val="000478AF"/>
    <w:rsid w:val="0005031E"/>
    <w:rsid w:val="000503FE"/>
    <w:rsid w:val="00055A91"/>
    <w:rsid w:val="000602EF"/>
    <w:rsid w:val="000604BE"/>
    <w:rsid w:val="00065037"/>
    <w:rsid w:val="000716CE"/>
    <w:rsid w:val="0007473B"/>
    <w:rsid w:val="00077513"/>
    <w:rsid w:val="00077D6D"/>
    <w:rsid w:val="00077FC0"/>
    <w:rsid w:val="00092428"/>
    <w:rsid w:val="00093583"/>
    <w:rsid w:val="000A2FE9"/>
    <w:rsid w:val="000A4C38"/>
    <w:rsid w:val="000A6623"/>
    <w:rsid w:val="000A6C88"/>
    <w:rsid w:val="000B0EFD"/>
    <w:rsid w:val="000C045B"/>
    <w:rsid w:val="000C42D7"/>
    <w:rsid w:val="000C57FB"/>
    <w:rsid w:val="000D27BC"/>
    <w:rsid w:val="000D294C"/>
    <w:rsid w:val="000D55E4"/>
    <w:rsid w:val="000E00C3"/>
    <w:rsid w:val="000E1118"/>
    <w:rsid w:val="000E2BDF"/>
    <w:rsid w:val="000E2E7F"/>
    <w:rsid w:val="000F13C7"/>
    <w:rsid w:val="00105106"/>
    <w:rsid w:val="001055EE"/>
    <w:rsid w:val="00105795"/>
    <w:rsid w:val="00115DA1"/>
    <w:rsid w:val="00125607"/>
    <w:rsid w:val="00125AFD"/>
    <w:rsid w:val="00130811"/>
    <w:rsid w:val="00132E7D"/>
    <w:rsid w:val="0013574A"/>
    <w:rsid w:val="001379CF"/>
    <w:rsid w:val="001505F6"/>
    <w:rsid w:val="001546AE"/>
    <w:rsid w:val="001577CE"/>
    <w:rsid w:val="001617E4"/>
    <w:rsid w:val="00161FC8"/>
    <w:rsid w:val="001664CE"/>
    <w:rsid w:val="00166EBA"/>
    <w:rsid w:val="0017407F"/>
    <w:rsid w:val="00186EDC"/>
    <w:rsid w:val="001918F5"/>
    <w:rsid w:val="00191EE1"/>
    <w:rsid w:val="001B13E3"/>
    <w:rsid w:val="001B350F"/>
    <w:rsid w:val="001B441C"/>
    <w:rsid w:val="001B53D8"/>
    <w:rsid w:val="001B6D54"/>
    <w:rsid w:val="001D0CF0"/>
    <w:rsid w:val="001E7347"/>
    <w:rsid w:val="001F0A92"/>
    <w:rsid w:val="001F70B1"/>
    <w:rsid w:val="001F72F9"/>
    <w:rsid w:val="00202A5B"/>
    <w:rsid w:val="00210A3D"/>
    <w:rsid w:val="002115B7"/>
    <w:rsid w:val="00214EB5"/>
    <w:rsid w:val="00220FFC"/>
    <w:rsid w:val="00223D9A"/>
    <w:rsid w:val="0022509B"/>
    <w:rsid w:val="00226165"/>
    <w:rsid w:val="002306EC"/>
    <w:rsid w:val="00230A6A"/>
    <w:rsid w:val="00230FFF"/>
    <w:rsid w:val="00232B44"/>
    <w:rsid w:val="00235A3C"/>
    <w:rsid w:val="00237EFE"/>
    <w:rsid w:val="00241E90"/>
    <w:rsid w:val="00242A9C"/>
    <w:rsid w:val="00246AC8"/>
    <w:rsid w:val="002526FE"/>
    <w:rsid w:val="00254950"/>
    <w:rsid w:val="00254BBE"/>
    <w:rsid w:val="00262E8D"/>
    <w:rsid w:val="002707F0"/>
    <w:rsid w:val="00281D45"/>
    <w:rsid w:val="00282A52"/>
    <w:rsid w:val="00286E4C"/>
    <w:rsid w:val="00287C0B"/>
    <w:rsid w:val="002972FD"/>
    <w:rsid w:val="00297837"/>
    <w:rsid w:val="002A6194"/>
    <w:rsid w:val="002B104B"/>
    <w:rsid w:val="002B12E1"/>
    <w:rsid w:val="002B195F"/>
    <w:rsid w:val="002B4F43"/>
    <w:rsid w:val="002B707D"/>
    <w:rsid w:val="002C072F"/>
    <w:rsid w:val="002C18C7"/>
    <w:rsid w:val="002C3720"/>
    <w:rsid w:val="002C58D9"/>
    <w:rsid w:val="002C5D23"/>
    <w:rsid w:val="002D2F64"/>
    <w:rsid w:val="002D6A28"/>
    <w:rsid w:val="002D7F7F"/>
    <w:rsid w:val="002E43D0"/>
    <w:rsid w:val="002F1535"/>
    <w:rsid w:val="002F3375"/>
    <w:rsid w:val="002F6ACF"/>
    <w:rsid w:val="00300172"/>
    <w:rsid w:val="003005BA"/>
    <w:rsid w:val="00301125"/>
    <w:rsid w:val="00301972"/>
    <w:rsid w:val="0030316F"/>
    <w:rsid w:val="003050D2"/>
    <w:rsid w:val="0030583F"/>
    <w:rsid w:val="00313DCE"/>
    <w:rsid w:val="00313DE3"/>
    <w:rsid w:val="00316CD7"/>
    <w:rsid w:val="003204B4"/>
    <w:rsid w:val="003230D7"/>
    <w:rsid w:val="00331F46"/>
    <w:rsid w:val="00333D2A"/>
    <w:rsid w:val="00335B55"/>
    <w:rsid w:val="00335CC8"/>
    <w:rsid w:val="003439D7"/>
    <w:rsid w:val="00346CBB"/>
    <w:rsid w:val="003478F0"/>
    <w:rsid w:val="0036206C"/>
    <w:rsid w:val="003633D0"/>
    <w:rsid w:val="00374A07"/>
    <w:rsid w:val="00377CA5"/>
    <w:rsid w:val="00377E73"/>
    <w:rsid w:val="00380230"/>
    <w:rsid w:val="00386C61"/>
    <w:rsid w:val="00390EA5"/>
    <w:rsid w:val="0039110C"/>
    <w:rsid w:val="00391471"/>
    <w:rsid w:val="003941C4"/>
    <w:rsid w:val="0039626A"/>
    <w:rsid w:val="003A3D7E"/>
    <w:rsid w:val="003A4039"/>
    <w:rsid w:val="003B023E"/>
    <w:rsid w:val="003B100D"/>
    <w:rsid w:val="003B2FC7"/>
    <w:rsid w:val="003B3CF6"/>
    <w:rsid w:val="003B628B"/>
    <w:rsid w:val="003C322D"/>
    <w:rsid w:val="003C6CFA"/>
    <w:rsid w:val="003D3F08"/>
    <w:rsid w:val="003D689E"/>
    <w:rsid w:val="003E00BF"/>
    <w:rsid w:val="003E1D6B"/>
    <w:rsid w:val="003E2F2B"/>
    <w:rsid w:val="003E7F00"/>
    <w:rsid w:val="003F0E4C"/>
    <w:rsid w:val="003F3F26"/>
    <w:rsid w:val="003F69E3"/>
    <w:rsid w:val="004026C6"/>
    <w:rsid w:val="0041195A"/>
    <w:rsid w:val="004131A5"/>
    <w:rsid w:val="00414416"/>
    <w:rsid w:val="00435A9B"/>
    <w:rsid w:val="004407BB"/>
    <w:rsid w:val="004408E1"/>
    <w:rsid w:val="004427DA"/>
    <w:rsid w:val="00445FB1"/>
    <w:rsid w:val="004469FF"/>
    <w:rsid w:val="00447E4E"/>
    <w:rsid w:val="004526C9"/>
    <w:rsid w:val="00455251"/>
    <w:rsid w:val="004563B8"/>
    <w:rsid w:val="004568B9"/>
    <w:rsid w:val="004623BA"/>
    <w:rsid w:val="00465D35"/>
    <w:rsid w:val="004717B2"/>
    <w:rsid w:val="00475F96"/>
    <w:rsid w:val="00482971"/>
    <w:rsid w:val="00493A65"/>
    <w:rsid w:val="0049416D"/>
    <w:rsid w:val="00496AA8"/>
    <w:rsid w:val="00496D8C"/>
    <w:rsid w:val="004A7161"/>
    <w:rsid w:val="004B2829"/>
    <w:rsid w:val="004B2DD3"/>
    <w:rsid w:val="004B319D"/>
    <w:rsid w:val="004B34E8"/>
    <w:rsid w:val="004B605A"/>
    <w:rsid w:val="004C01B0"/>
    <w:rsid w:val="004C6DB9"/>
    <w:rsid w:val="004D41DA"/>
    <w:rsid w:val="004E5B30"/>
    <w:rsid w:val="004F5F61"/>
    <w:rsid w:val="004F624D"/>
    <w:rsid w:val="00503D8B"/>
    <w:rsid w:val="005054C1"/>
    <w:rsid w:val="00511598"/>
    <w:rsid w:val="00513A4A"/>
    <w:rsid w:val="00520D56"/>
    <w:rsid w:val="00532FBE"/>
    <w:rsid w:val="0053633C"/>
    <w:rsid w:val="00536AD6"/>
    <w:rsid w:val="00540AD3"/>
    <w:rsid w:val="005415BE"/>
    <w:rsid w:val="00542650"/>
    <w:rsid w:val="00544296"/>
    <w:rsid w:val="0055109B"/>
    <w:rsid w:val="00556E99"/>
    <w:rsid w:val="005647B3"/>
    <w:rsid w:val="00565A9D"/>
    <w:rsid w:val="0056614C"/>
    <w:rsid w:val="00566EC7"/>
    <w:rsid w:val="00574713"/>
    <w:rsid w:val="005764AD"/>
    <w:rsid w:val="0057794B"/>
    <w:rsid w:val="005835D6"/>
    <w:rsid w:val="005844C2"/>
    <w:rsid w:val="00585866"/>
    <w:rsid w:val="00586517"/>
    <w:rsid w:val="00592EAA"/>
    <w:rsid w:val="005A46F4"/>
    <w:rsid w:val="005A610D"/>
    <w:rsid w:val="005C1EB9"/>
    <w:rsid w:val="005C3008"/>
    <w:rsid w:val="005C5323"/>
    <w:rsid w:val="005C7111"/>
    <w:rsid w:val="005C7FE5"/>
    <w:rsid w:val="005D2F9F"/>
    <w:rsid w:val="005E128E"/>
    <w:rsid w:val="005E310A"/>
    <w:rsid w:val="005E4F0C"/>
    <w:rsid w:val="005F5C77"/>
    <w:rsid w:val="00612991"/>
    <w:rsid w:val="00614406"/>
    <w:rsid w:val="00615975"/>
    <w:rsid w:val="00616342"/>
    <w:rsid w:val="00632E34"/>
    <w:rsid w:val="006404A4"/>
    <w:rsid w:val="0064122B"/>
    <w:rsid w:val="00641802"/>
    <w:rsid w:val="006445D6"/>
    <w:rsid w:val="0065073C"/>
    <w:rsid w:val="006507A1"/>
    <w:rsid w:val="00652F70"/>
    <w:rsid w:val="00657443"/>
    <w:rsid w:val="00661FE1"/>
    <w:rsid w:val="00664689"/>
    <w:rsid w:val="00665ACF"/>
    <w:rsid w:val="00672320"/>
    <w:rsid w:val="0067429F"/>
    <w:rsid w:val="00675693"/>
    <w:rsid w:val="00676BC3"/>
    <w:rsid w:val="00681288"/>
    <w:rsid w:val="0068266F"/>
    <w:rsid w:val="00686340"/>
    <w:rsid w:val="0068695E"/>
    <w:rsid w:val="0068726C"/>
    <w:rsid w:val="0069493B"/>
    <w:rsid w:val="006962CC"/>
    <w:rsid w:val="0069631D"/>
    <w:rsid w:val="006A0D92"/>
    <w:rsid w:val="006A1D31"/>
    <w:rsid w:val="006A483F"/>
    <w:rsid w:val="006A558A"/>
    <w:rsid w:val="006A7771"/>
    <w:rsid w:val="006B34BF"/>
    <w:rsid w:val="006B3B8D"/>
    <w:rsid w:val="006C1200"/>
    <w:rsid w:val="006C2D30"/>
    <w:rsid w:val="006C6869"/>
    <w:rsid w:val="006E4D24"/>
    <w:rsid w:val="006F4D86"/>
    <w:rsid w:val="0070165A"/>
    <w:rsid w:val="00703326"/>
    <w:rsid w:val="00707061"/>
    <w:rsid w:val="00714302"/>
    <w:rsid w:val="00715672"/>
    <w:rsid w:val="00722A4B"/>
    <w:rsid w:val="0072467A"/>
    <w:rsid w:val="00726C31"/>
    <w:rsid w:val="007607D4"/>
    <w:rsid w:val="00764686"/>
    <w:rsid w:val="00765532"/>
    <w:rsid w:val="007658AB"/>
    <w:rsid w:val="00765EE5"/>
    <w:rsid w:val="0076754E"/>
    <w:rsid w:val="00771DDD"/>
    <w:rsid w:val="00774DA2"/>
    <w:rsid w:val="00784AEB"/>
    <w:rsid w:val="00795C3D"/>
    <w:rsid w:val="00795C42"/>
    <w:rsid w:val="007A35E0"/>
    <w:rsid w:val="007A4B50"/>
    <w:rsid w:val="007A675B"/>
    <w:rsid w:val="007B4F4D"/>
    <w:rsid w:val="007B50BB"/>
    <w:rsid w:val="007C475D"/>
    <w:rsid w:val="007C4A6C"/>
    <w:rsid w:val="007D454E"/>
    <w:rsid w:val="007D75F7"/>
    <w:rsid w:val="007E74E8"/>
    <w:rsid w:val="007F21DF"/>
    <w:rsid w:val="007F775C"/>
    <w:rsid w:val="008032FE"/>
    <w:rsid w:val="008068D9"/>
    <w:rsid w:val="0080768F"/>
    <w:rsid w:val="008100B6"/>
    <w:rsid w:val="008117BE"/>
    <w:rsid w:val="00812315"/>
    <w:rsid w:val="00816FE5"/>
    <w:rsid w:val="0082524A"/>
    <w:rsid w:val="008320E1"/>
    <w:rsid w:val="00832120"/>
    <w:rsid w:val="0083312B"/>
    <w:rsid w:val="008377E6"/>
    <w:rsid w:val="00837AA4"/>
    <w:rsid w:val="00840155"/>
    <w:rsid w:val="00860C10"/>
    <w:rsid w:val="0087523A"/>
    <w:rsid w:val="00877CBA"/>
    <w:rsid w:val="0088271E"/>
    <w:rsid w:val="00883361"/>
    <w:rsid w:val="0088536A"/>
    <w:rsid w:val="008868A4"/>
    <w:rsid w:val="008A2947"/>
    <w:rsid w:val="008A416E"/>
    <w:rsid w:val="008A4D14"/>
    <w:rsid w:val="008A4FB7"/>
    <w:rsid w:val="008A746B"/>
    <w:rsid w:val="008B084D"/>
    <w:rsid w:val="008B3E0E"/>
    <w:rsid w:val="008C0A13"/>
    <w:rsid w:val="008C49D9"/>
    <w:rsid w:val="008D03C7"/>
    <w:rsid w:val="008D31DB"/>
    <w:rsid w:val="008D3228"/>
    <w:rsid w:val="008D398C"/>
    <w:rsid w:val="008D792E"/>
    <w:rsid w:val="008E0B43"/>
    <w:rsid w:val="008E4606"/>
    <w:rsid w:val="008E62E7"/>
    <w:rsid w:val="008F2227"/>
    <w:rsid w:val="008F279A"/>
    <w:rsid w:val="008F3336"/>
    <w:rsid w:val="008F5D20"/>
    <w:rsid w:val="008F711F"/>
    <w:rsid w:val="00907822"/>
    <w:rsid w:val="00920B47"/>
    <w:rsid w:val="009238E6"/>
    <w:rsid w:val="0092462C"/>
    <w:rsid w:val="00926984"/>
    <w:rsid w:val="009269C9"/>
    <w:rsid w:val="00926ACE"/>
    <w:rsid w:val="009307D5"/>
    <w:rsid w:val="00931BE5"/>
    <w:rsid w:val="0093215E"/>
    <w:rsid w:val="00934493"/>
    <w:rsid w:val="00935980"/>
    <w:rsid w:val="0095413E"/>
    <w:rsid w:val="00956836"/>
    <w:rsid w:val="00956DA8"/>
    <w:rsid w:val="00960596"/>
    <w:rsid w:val="00962175"/>
    <w:rsid w:val="009622AB"/>
    <w:rsid w:val="00967446"/>
    <w:rsid w:val="009763D7"/>
    <w:rsid w:val="00976DBB"/>
    <w:rsid w:val="00977958"/>
    <w:rsid w:val="0098054D"/>
    <w:rsid w:val="009902AB"/>
    <w:rsid w:val="00992832"/>
    <w:rsid w:val="009978AB"/>
    <w:rsid w:val="00997A57"/>
    <w:rsid w:val="009A6512"/>
    <w:rsid w:val="009A69FF"/>
    <w:rsid w:val="009A7CA0"/>
    <w:rsid w:val="009B6FE8"/>
    <w:rsid w:val="009C0C38"/>
    <w:rsid w:val="009C247C"/>
    <w:rsid w:val="009C3F77"/>
    <w:rsid w:val="009C6D4D"/>
    <w:rsid w:val="009D0879"/>
    <w:rsid w:val="009D5679"/>
    <w:rsid w:val="009E19FE"/>
    <w:rsid w:val="009E24C4"/>
    <w:rsid w:val="009E52CF"/>
    <w:rsid w:val="009F25EF"/>
    <w:rsid w:val="009F2A76"/>
    <w:rsid w:val="009F5306"/>
    <w:rsid w:val="009F5B50"/>
    <w:rsid w:val="00A00B27"/>
    <w:rsid w:val="00A02A17"/>
    <w:rsid w:val="00A045C9"/>
    <w:rsid w:val="00A0639B"/>
    <w:rsid w:val="00A159A8"/>
    <w:rsid w:val="00A203BD"/>
    <w:rsid w:val="00A21C06"/>
    <w:rsid w:val="00A23C25"/>
    <w:rsid w:val="00A26160"/>
    <w:rsid w:val="00A34F52"/>
    <w:rsid w:val="00A405CD"/>
    <w:rsid w:val="00A43A0C"/>
    <w:rsid w:val="00A46A5A"/>
    <w:rsid w:val="00A46C2F"/>
    <w:rsid w:val="00A50575"/>
    <w:rsid w:val="00A54340"/>
    <w:rsid w:val="00A578C7"/>
    <w:rsid w:val="00A62B0B"/>
    <w:rsid w:val="00A62D97"/>
    <w:rsid w:val="00A63C57"/>
    <w:rsid w:val="00A73761"/>
    <w:rsid w:val="00A77611"/>
    <w:rsid w:val="00A919AA"/>
    <w:rsid w:val="00A94E7E"/>
    <w:rsid w:val="00A957C0"/>
    <w:rsid w:val="00A969A0"/>
    <w:rsid w:val="00AA0A10"/>
    <w:rsid w:val="00AB07A0"/>
    <w:rsid w:val="00AB310C"/>
    <w:rsid w:val="00AB494E"/>
    <w:rsid w:val="00AB4ADB"/>
    <w:rsid w:val="00AB7233"/>
    <w:rsid w:val="00AC69F5"/>
    <w:rsid w:val="00AE2E7B"/>
    <w:rsid w:val="00AF4751"/>
    <w:rsid w:val="00AF6A0E"/>
    <w:rsid w:val="00B00E35"/>
    <w:rsid w:val="00B022C6"/>
    <w:rsid w:val="00B046A4"/>
    <w:rsid w:val="00B04BF5"/>
    <w:rsid w:val="00B06BEF"/>
    <w:rsid w:val="00B1238F"/>
    <w:rsid w:val="00B12F2F"/>
    <w:rsid w:val="00B13F29"/>
    <w:rsid w:val="00B232A1"/>
    <w:rsid w:val="00B342E0"/>
    <w:rsid w:val="00B3477C"/>
    <w:rsid w:val="00B35F22"/>
    <w:rsid w:val="00B369D5"/>
    <w:rsid w:val="00B41221"/>
    <w:rsid w:val="00B4786F"/>
    <w:rsid w:val="00B579AB"/>
    <w:rsid w:val="00B62235"/>
    <w:rsid w:val="00B635E0"/>
    <w:rsid w:val="00B63BA1"/>
    <w:rsid w:val="00B63CBA"/>
    <w:rsid w:val="00B63F51"/>
    <w:rsid w:val="00B755EE"/>
    <w:rsid w:val="00B83FAE"/>
    <w:rsid w:val="00B861BC"/>
    <w:rsid w:val="00B9030E"/>
    <w:rsid w:val="00B90CBD"/>
    <w:rsid w:val="00B9738B"/>
    <w:rsid w:val="00B9796A"/>
    <w:rsid w:val="00BA209E"/>
    <w:rsid w:val="00BA2435"/>
    <w:rsid w:val="00BA2722"/>
    <w:rsid w:val="00BA54D8"/>
    <w:rsid w:val="00BC6CD4"/>
    <w:rsid w:val="00BD4536"/>
    <w:rsid w:val="00BD4FB8"/>
    <w:rsid w:val="00BE7D8C"/>
    <w:rsid w:val="00BF1CA7"/>
    <w:rsid w:val="00BF6829"/>
    <w:rsid w:val="00BF7557"/>
    <w:rsid w:val="00C01D42"/>
    <w:rsid w:val="00C0298D"/>
    <w:rsid w:val="00C0299E"/>
    <w:rsid w:val="00C11A74"/>
    <w:rsid w:val="00C20161"/>
    <w:rsid w:val="00C2385E"/>
    <w:rsid w:val="00C247AE"/>
    <w:rsid w:val="00C270BE"/>
    <w:rsid w:val="00C32C2A"/>
    <w:rsid w:val="00C37022"/>
    <w:rsid w:val="00C4258D"/>
    <w:rsid w:val="00C46E73"/>
    <w:rsid w:val="00C51138"/>
    <w:rsid w:val="00C51C59"/>
    <w:rsid w:val="00C5210A"/>
    <w:rsid w:val="00C535CD"/>
    <w:rsid w:val="00C560D4"/>
    <w:rsid w:val="00C646B2"/>
    <w:rsid w:val="00C65858"/>
    <w:rsid w:val="00C6722D"/>
    <w:rsid w:val="00C733CC"/>
    <w:rsid w:val="00C75E70"/>
    <w:rsid w:val="00C863F3"/>
    <w:rsid w:val="00C9458C"/>
    <w:rsid w:val="00CA0ADB"/>
    <w:rsid w:val="00CA29D0"/>
    <w:rsid w:val="00CA3726"/>
    <w:rsid w:val="00CA3F17"/>
    <w:rsid w:val="00CA4543"/>
    <w:rsid w:val="00CB52EC"/>
    <w:rsid w:val="00CD0E3A"/>
    <w:rsid w:val="00CD3EF9"/>
    <w:rsid w:val="00CF6C7E"/>
    <w:rsid w:val="00D07B3B"/>
    <w:rsid w:val="00D12A4E"/>
    <w:rsid w:val="00D15C58"/>
    <w:rsid w:val="00D16DBA"/>
    <w:rsid w:val="00D31D9C"/>
    <w:rsid w:val="00D32DE7"/>
    <w:rsid w:val="00D331BB"/>
    <w:rsid w:val="00D35C81"/>
    <w:rsid w:val="00D5171F"/>
    <w:rsid w:val="00D52E56"/>
    <w:rsid w:val="00D56685"/>
    <w:rsid w:val="00D839C3"/>
    <w:rsid w:val="00D8571B"/>
    <w:rsid w:val="00D87BD4"/>
    <w:rsid w:val="00D90AC3"/>
    <w:rsid w:val="00D9427C"/>
    <w:rsid w:val="00D97948"/>
    <w:rsid w:val="00DA0FCA"/>
    <w:rsid w:val="00DA11FE"/>
    <w:rsid w:val="00DA2C8B"/>
    <w:rsid w:val="00DA6D5A"/>
    <w:rsid w:val="00DA7E06"/>
    <w:rsid w:val="00DB2BCB"/>
    <w:rsid w:val="00DB7080"/>
    <w:rsid w:val="00DC05F2"/>
    <w:rsid w:val="00DC0D01"/>
    <w:rsid w:val="00DC2830"/>
    <w:rsid w:val="00DC4DEC"/>
    <w:rsid w:val="00DC6BD9"/>
    <w:rsid w:val="00DC7FA4"/>
    <w:rsid w:val="00DE01AA"/>
    <w:rsid w:val="00DF6B92"/>
    <w:rsid w:val="00DF7A3D"/>
    <w:rsid w:val="00E14126"/>
    <w:rsid w:val="00E16CAA"/>
    <w:rsid w:val="00E203F7"/>
    <w:rsid w:val="00E20BB9"/>
    <w:rsid w:val="00E222E0"/>
    <w:rsid w:val="00E26399"/>
    <w:rsid w:val="00E27D00"/>
    <w:rsid w:val="00E30D5F"/>
    <w:rsid w:val="00E35798"/>
    <w:rsid w:val="00E364BE"/>
    <w:rsid w:val="00E42DEB"/>
    <w:rsid w:val="00E4507A"/>
    <w:rsid w:val="00E510BF"/>
    <w:rsid w:val="00E8319F"/>
    <w:rsid w:val="00E85D99"/>
    <w:rsid w:val="00E90259"/>
    <w:rsid w:val="00E90988"/>
    <w:rsid w:val="00E90C6B"/>
    <w:rsid w:val="00EA119A"/>
    <w:rsid w:val="00EB024F"/>
    <w:rsid w:val="00EB18CD"/>
    <w:rsid w:val="00EB1C0A"/>
    <w:rsid w:val="00EB6710"/>
    <w:rsid w:val="00EC2515"/>
    <w:rsid w:val="00EC5724"/>
    <w:rsid w:val="00ED4AB8"/>
    <w:rsid w:val="00ED530F"/>
    <w:rsid w:val="00ED6CA5"/>
    <w:rsid w:val="00EE0567"/>
    <w:rsid w:val="00EE54DD"/>
    <w:rsid w:val="00EE7EA9"/>
    <w:rsid w:val="00EF664A"/>
    <w:rsid w:val="00F007FB"/>
    <w:rsid w:val="00F04545"/>
    <w:rsid w:val="00F04FB0"/>
    <w:rsid w:val="00F066FF"/>
    <w:rsid w:val="00F11A7D"/>
    <w:rsid w:val="00F165EE"/>
    <w:rsid w:val="00F1753C"/>
    <w:rsid w:val="00F22623"/>
    <w:rsid w:val="00F308C2"/>
    <w:rsid w:val="00F324FB"/>
    <w:rsid w:val="00F41177"/>
    <w:rsid w:val="00F417C9"/>
    <w:rsid w:val="00F4246E"/>
    <w:rsid w:val="00F44DA2"/>
    <w:rsid w:val="00F46797"/>
    <w:rsid w:val="00F55160"/>
    <w:rsid w:val="00F568BD"/>
    <w:rsid w:val="00F652A5"/>
    <w:rsid w:val="00F7759D"/>
    <w:rsid w:val="00F814B9"/>
    <w:rsid w:val="00F8323E"/>
    <w:rsid w:val="00F83738"/>
    <w:rsid w:val="00F865B1"/>
    <w:rsid w:val="00F90141"/>
    <w:rsid w:val="00F97768"/>
    <w:rsid w:val="00FA2F98"/>
    <w:rsid w:val="00FB1B74"/>
    <w:rsid w:val="00FB6450"/>
    <w:rsid w:val="00FC144E"/>
    <w:rsid w:val="00FC6171"/>
    <w:rsid w:val="00FD216E"/>
    <w:rsid w:val="00FD2D8E"/>
    <w:rsid w:val="00FD411F"/>
    <w:rsid w:val="00FE3F47"/>
    <w:rsid w:val="00FF0836"/>
    <w:rsid w:val="00FF0AF6"/>
    <w:rsid w:val="00FF2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0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E73"/>
    <w:pPr>
      <w:tabs>
        <w:tab w:val="center" w:pos="4680"/>
        <w:tab w:val="right" w:pos="9360"/>
      </w:tabs>
    </w:pPr>
  </w:style>
  <w:style w:type="character" w:customStyle="1" w:styleId="HeaderChar">
    <w:name w:val="Header Char"/>
    <w:basedOn w:val="DefaultParagraphFont"/>
    <w:link w:val="Header"/>
    <w:uiPriority w:val="99"/>
    <w:rsid w:val="00C46E73"/>
    <w:rPr>
      <w:rFonts w:ascii="Calibri" w:hAnsi="Calibri" w:cs="Times New Roman"/>
    </w:rPr>
  </w:style>
  <w:style w:type="paragraph" w:styleId="Footer">
    <w:name w:val="footer"/>
    <w:basedOn w:val="Normal"/>
    <w:link w:val="FooterChar"/>
    <w:uiPriority w:val="99"/>
    <w:semiHidden/>
    <w:unhideWhenUsed/>
    <w:rsid w:val="00C46E73"/>
    <w:pPr>
      <w:tabs>
        <w:tab w:val="center" w:pos="4680"/>
        <w:tab w:val="right" w:pos="9360"/>
      </w:tabs>
    </w:pPr>
  </w:style>
  <w:style w:type="character" w:customStyle="1" w:styleId="FooterChar">
    <w:name w:val="Footer Char"/>
    <w:basedOn w:val="DefaultParagraphFont"/>
    <w:link w:val="Footer"/>
    <w:uiPriority w:val="99"/>
    <w:semiHidden/>
    <w:rsid w:val="00C46E73"/>
    <w:rPr>
      <w:rFonts w:ascii="Calibri" w:hAnsi="Calibri" w:cs="Times New Roman"/>
    </w:rPr>
  </w:style>
  <w:style w:type="paragraph" w:styleId="FootnoteText">
    <w:name w:val="footnote text"/>
    <w:basedOn w:val="Normal"/>
    <w:link w:val="FootnoteTextChar"/>
    <w:uiPriority w:val="99"/>
    <w:semiHidden/>
    <w:unhideWhenUsed/>
    <w:rsid w:val="00301125"/>
    <w:rPr>
      <w:sz w:val="20"/>
      <w:szCs w:val="20"/>
    </w:rPr>
  </w:style>
  <w:style w:type="character" w:customStyle="1" w:styleId="FootnoteTextChar">
    <w:name w:val="Footnote Text Char"/>
    <w:basedOn w:val="DefaultParagraphFont"/>
    <w:link w:val="FootnoteText"/>
    <w:uiPriority w:val="99"/>
    <w:semiHidden/>
    <w:rsid w:val="00301125"/>
    <w:rPr>
      <w:rFonts w:ascii="Calibri" w:hAnsi="Calibri" w:cs="Times New Roman"/>
      <w:sz w:val="20"/>
      <w:szCs w:val="20"/>
    </w:rPr>
  </w:style>
  <w:style w:type="character" w:styleId="FootnoteReference">
    <w:name w:val="footnote reference"/>
    <w:basedOn w:val="DefaultParagraphFont"/>
    <w:uiPriority w:val="99"/>
    <w:semiHidden/>
    <w:unhideWhenUsed/>
    <w:rsid w:val="00301125"/>
    <w:rPr>
      <w:vertAlign w:val="superscript"/>
    </w:rPr>
  </w:style>
  <w:style w:type="table" w:styleId="TableGrid">
    <w:name w:val="Table Grid"/>
    <w:basedOn w:val="TableNormal"/>
    <w:uiPriority w:val="59"/>
    <w:rsid w:val="00390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25EF"/>
    <w:pPr>
      <w:spacing w:after="0" w:line="240" w:lineRule="auto"/>
    </w:pPr>
    <w:rPr>
      <w:rFonts w:ascii="Calibri" w:hAnsi="Calibri" w:cs="Times New Roman"/>
    </w:rPr>
  </w:style>
  <w:style w:type="paragraph" w:styleId="ListParagraph">
    <w:name w:val="List Paragraph"/>
    <w:basedOn w:val="Normal"/>
    <w:uiPriority w:val="34"/>
    <w:qFormat/>
    <w:rsid w:val="005E4F0C"/>
    <w:pPr>
      <w:ind w:left="720"/>
      <w:contextualSpacing/>
    </w:pPr>
  </w:style>
</w:styles>
</file>

<file path=word/webSettings.xml><?xml version="1.0" encoding="utf-8"?>
<w:webSettings xmlns:r="http://schemas.openxmlformats.org/officeDocument/2006/relationships" xmlns:w="http://schemas.openxmlformats.org/wordprocessingml/2006/main">
  <w:divs>
    <w:div w:id="10906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54305-CEBA-49B7-822F-3FE7B7C8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11926</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603</cp:revision>
  <dcterms:created xsi:type="dcterms:W3CDTF">2011-09-28T18:44:00Z</dcterms:created>
  <dcterms:modified xsi:type="dcterms:W3CDTF">2011-10-08T01:06:00Z</dcterms:modified>
</cp:coreProperties>
</file>