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BFF31" w14:textId="481C023D" w:rsidR="00DB75AB" w:rsidRDefault="00DB75AB" w:rsidP="00DB75A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 wp14:anchorId="5248E668" wp14:editId="746B0141">
            <wp:extent cx="5943600" cy="384111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9C4EF" w14:textId="5BC1D2A8" w:rsidR="007C65A7" w:rsidRDefault="007C65A7"/>
    <w:p w14:paraId="35BB63AE" w14:textId="70EBCC38" w:rsidR="00DB75AB" w:rsidRDefault="00DB75AB"/>
    <w:p w14:paraId="11A3AADA" w14:textId="3903CB94" w:rsidR="00DB75AB" w:rsidRPr="002C7BDC" w:rsidRDefault="00DB75AB" w:rsidP="00DB75AB">
      <w:pPr>
        <w:spacing w:line="276" w:lineRule="auto"/>
      </w:pPr>
      <w:r>
        <w:t xml:space="preserve">This region of interest </w:t>
      </w:r>
      <w:r>
        <w:t>shows</w:t>
      </w:r>
      <w:r>
        <w:t xml:space="preserve"> an area of non-coding open chromatin in the genome. This is displayed by the presence of both open chromatin regions </w:t>
      </w:r>
      <w:r>
        <w:t>in light blue</w:t>
      </w:r>
      <w:r>
        <w:t xml:space="preserve"> and noncoding open chromatin regions (in green). </w:t>
      </w:r>
      <w:r>
        <w:t>This area of interest also shows gene expression in the annotation row in the color dark blue.</w:t>
      </w:r>
    </w:p>
    <w:p w14:paraId="21068186" w14:textId="77777777" w:rsidR="00DB75AB" w:rsidRDefault="00DB75AB"/>
    <w:sectPr w:rsidR="00DB75AB" w:rsidSect="00115C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AB"/>
    <w:rsid w:val="0043091E"/>
    <w:rsid w:val="007C65A7"/>
    <w:rsid w:val="00DB75AB"/>
    <w:rsid w:val="00EC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05603"/>
  <w15:chartTrackingRefBased/>
  <w15:docId w15:val="{F31D2371-1AE8-CF48-91BB-335384A1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G Martin</dc:creator>
  <cp:keywords/>
  <dc:description/>
  <cp:lastModifiedBy>Rob G Martin</cp:lastModifiedBy>
  <cp:revision>1</cp:revision>
  <dcterms:created xsi:type="dcterms:W3CDTF">2023-04-17T01:38:00Z</dcterms:created>
  <dcterms:modified xsi:type="dcterms:W3CDTF">2023-04-17T01:48:00Z</dcterms:modified>
</cp:coreProperties>
</file>