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4500"/>
        <w:gridCol w:w="2267"/>
      </w:tblGrid>
      <w:tr w:rsidR="003D6E8F" w:rsidRPr="00782B31" w14:paraId="50683811" w14:textId="77777777" w:rsidTr="003D6E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3ACD6" w14:textId="77777777" w:rsidR="003D6E8F" w:rsidRPr="00782B31" w:rsidRDefault="003D6E8F" w:rsidP="003D6E8F">
            <w:pPr>
              <w:rPr>
                <w:rFonts w:ascii="Calibri" w:hAnsi="Calibri" w:cs="Calibri"/>
                <w:b/>
                <w:bCs/>
              </w:rPr>
            </w:pPr>
            <w:r w:rsidRPr="00782B31">
              <w:rPr>
                <w:rFonts w:ascii="Calibri" w:hAnsi="Calibri" w:cs="Calibri"/>
                <w:b/>
                <w:bCs/>
              </w:rPr>
              <w:t>Word and Type</w:t>
            </w:r>
          </w:p>
        </w:tc>
        <w:tc>
          <w:tcPr>
            <w:tcW w:w="0" w:type="auto"/>
            <w:vAlign w:val="center"/>
            <w:hideMark/>
          </w:tcPr>
          <w:p w14:paraId="497A4AA9" w14:textId="77777777" w:rsidR="003D6E8F" w:rsidRPr="00782B31" w:rsidRDefault="003D6E8F" w:rsidP="003D6E8F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782B31">
              <w:rPr>
                <w:rFonts w:ascii="Calibri" w:hAnsi="Calibri" w:cs="Calibri"/>
                <w:b/>
                <w:bCs/>
              </w:rPr>
              <w:t>Explanation</w:t>
            </w:r>
            <w:proofErr w:type="spellEnd"/>
            <w:r w:rsidRPr="00782B31">
              <w:rPr>
                <w:rFonts w:ascii="Calibri" w:hAnsi="Calibri" w:cs="Calibri"/>
                <w:b/>
                <w:bCs/>
              </w:rPr>
              <w:t>/Definition</w:t>
            </w:r>
          </w:p>
        </w:tc>
        <w:tc>
          <w:tcPr>
            <w:tcW w:w="0" w:type="auto"/>
            <w:vAlign w:val="center"/>
            <w:hideMark/>
          </w:tcPr>
          <w:p w14:paraId="738F02B8" w14:textId="77777777" w:rsidR="003D6E8F" w:rsidRPr="00782B31" w:rsidRDefault="003D6E8F" w:rsidP="003D6E8F">
            <w:pPr>
              <w:rPr>
                <w:rFonts w:ascii="Calibri" w:hAnsi="Calibri" w:cs="Calibri"/>
                <w:b/>
                <w:bCs/>
              </w:rPr>
            </w:pPr>
            <w:r w:rsidRPr="00782B31">
              <w:rPr>
                <w:rFonts w:ascii="Calibri" w:hAnsi="Calibri" w:cs="Calibri"/>
                <w:b/>
                <w:bCs/>
              </w:rPr>
              <w:t xml:space="preserve">Dutch </w:t>
            </w:r>
            <w:proofErr w:type="spellStart"/>
            <w:r w:rsidRPr="00782B31">
              <w:rPr>
                <w:rFonts w:ascii="Calibri" w:hAnsi="Calibri" w:cs="Calibri"/>
                <w:b/>
                <w:bCs/>
              </w:rPr>
              <w:t>Translation</w:t>
            </w:r>
            <w:proofErr w:type="spellEnd"/>
          </w:p>
        </w:tc>
      </w:tr>
      <w:tr w:rsidR="003D6E8F" w:rsidRPr="00782B31" w14:paraId="475BCA61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BB51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  <w:b/>
                <w:bCs/>
              </w:rPr>
              <w:t>a trolley</w:t>
            </w:r>
            <w:r w:rsidRPr="00782B31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38DF5C9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A wheeled cart or vehicle, often used in public transport</w:t>
            </w:r>
          </w:p>
        </w:tc>
        <w:tc>
          <w:tcPr>
            <w:tcW w:w="0" w:type="auto"/>
            <w:vAlign w:val="center"/>
            <w:hideMark/>
          </w:tcPr>
          <w:p w14:paraId="481ACDF3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een tram</w:t>
            </w:r>
          </w:p>
        </w:tc>
      </w:tr>
      <w:tr w:rsidR="003D6E8F" w:rsidRPr="00782B31" w14:paraId="6345AE80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C2AE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b/>
                <w:bCs/>
                <w:lang w:val="en-GB"/>
              </w:rPr>
              <w:t>to barrel down something</w:t>
            </w:r>
            <w:r w:rsidRPr="00782B31">
              <w:rPr>
                <w:rFonts w:ascii="Calibri" w:hAnsi="Calibri" w:cs="Calibri"/>
                <w:lang w:val="en-GB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058C6614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To move very quickly and forcefully down a path</w:t>
            </w:r>
          </w:p>
        </w:tc>
        <w:tc>
          <w:tcPr>
            <w:tcW w:w="0" w:type="auto"/>
            <w:vAlign w:val="center"/>
            <w:hideMark/>
          </w:tcPr>
          <w:p w14:paraId="7634D113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ergens snel op afstormen</w:t>
            </w:r>
          </w:p>
        </w:tc>
      </w:tr>
      <w:tr w:rsidR="003D6E8F" w:rsidRPr="00782B31" w14:paraId="6FF6FD82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5439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proofErr w:type="spellStart"/>
            <w:r w:rsidRPr="00782B31">
              <w:rPr>
                <w:rFonts w:ascii="Calibri" w:hAnsi="Calibri" w:cs="Calibri"/>
                <w:b/>
                <w:bCs/>
              </w:rPr>
              <w:t>runaway</w:t>
            </w:r>
            <w:proofErr w:type="spellEnd"/>
            <w:r w:rsidRPr="00782B31">
              <w:rPr>
                <w:rFonts w:ascii="Calibri" w:hAnsi="Calibri" w:cs="Calibri"/>
              </w:rPr>
              <w:t xml:space="preserve"> (</w:t>
            </w:r>
            <w:proofErr w:type="spellStart"/>
            <w:r w:rsidRPr="00782B31">
              <w:rPr>
                <w:rFonts w:ascii="Calibri" w:hAnsi="Calibri" w:cs="Calibri"/>
              </w:rPr>
              <w:t>adj</w:t>
            </w:r>
            <w:proofErr w:type="spellEnd"/>
            <w:r w:rsidRPr="00782B31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5FBB83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Out of control or moving without guidance</w:t>
            </w:r>
          </w:p>
        </w:tc>
        <w:tc>
          <w:tcPr>
            <w:tcW w:w="0" w:type="auto"/>
            <w:vAlign w:val="center"/>
            <w:hideMark/>
          </w:tcPr>
          <w:p w14:paraId="46A98242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op hol geslagen</w:t>
            </w:r>
          </w:p>
        </w:tc>
      </w:tr>
      <w:tr w:rsidR="003D6E8F" w:rsidRPr="00782B31" w14:paraId="35995B06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54C4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proofErr w:type="spellStart"/>
            <w:r w:rsidRPr="00782B31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782B31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782B31">
              <w:rPr>
                <w:rFonts w:ascii="Calibri" w:hAnsi="Calibri" w:cs="Calibri"/>
                <w:b/>
                <w:bCs/>
              </w:rPr>
              <w:t>divert</w:t>
            </w:r>
            <w:proofErr w:type="spellEnd"/>
            <w:r w:rsidRPr="00782B31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4A88DCD0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To change direction or redirect</w:t>
            </w:r>
          </w:p>
        </w:tc>
        <w:tc>
          <w:tcPr>
            <w:tcW w:w="0" w:type="auto"/>
            <w:vAlign w:val="center"/>
            <w:hideMark/>
          </w:tcPr>
          <w:p w14:paraId="7F8BE9E8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omleiden</w:t>
            </w:r>
          </w:p>
        </w:tc>
      </w:tr>
      <w:tr w:rsidR="003D6E8F" w:rsidRPr="00782B31" w14:paraId="30DA931F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C4D4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proofErr w:type="spellStart"/>
            <w:r w:rsidRPr="00782B31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782B31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782B31">
              <w:rPr>
                <w:rFonts w:ascii="Calibri" w:hAnsi="Calibri" w:cs="Calibri"/>
                <w:b/>
                <w:bCs/>
              </w:rPr>
              <w:t>devise</w:t>
            </w:r>
            <w:proofErr w:type="spellEnd"/>
            <w:r w:rsidRPr="00782B31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2A9CD614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To plan or invent a complex procedure or system</w:t>
            </w:r>
          </w:p>
        </w:tc>
        <w:tc>
          <w:tcPr>
            <w:tcW w:w="0" w:type="auto"/>
            <w:vAlign w:val="center"/>
            <w:hideMark/>
          </w:tcPr>
          <w:p w14:paraId="5DCD87AB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bedenken</w:t>
            </w:r>
          </w:p>
        </w:tc>
      </w:tr>
      <w:tr w:rsidR="003D6E8F" w:rsidRPr="00782B31" w14:paraId="7CB8D658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EA99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proofErr w:type="spellStart"/>
            <w:r w:rsidRPr="00782B31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782B31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782B31">
              <w:rPr>
                <w:rFonts w:ascii="Calibri" w:hAnsi="Calibri" w:cs="Calibri"/>
                <w:b/>
                <w:bCs/>
              </w:rPr>
              <w:t>prohibit</w:t>
            </w:r>
            <w:proofErr w:type="spellEnd"/>
            <w:r w:rsidRPr="00782B31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7116BD5B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To formally forbid something by law or authority</w:t>
            </w:r>
          </w:p>
        </w:tc>
        <w:tc>
          <w:tcPr>
            <w:tcW w:w="0" w:type="auto"/>
            <w:vAlign w:val="center"/>
            <w:hideMark/>
          </w:tcPr>
          <w:p w14:paraId="106B3ABB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verbieden</w:t>
            </w:r>
          </w:p>
        </w:tc>
      </w:tr>
      <w:tr w:rsidR="003D6E8F" w:rsidRPr="00782B31" w14:paraId="0E64724C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F9EF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  <w:b/>
                <w:bCs/>
              </w:rPr>
              <w:t>a respondent</w:t>
            </w:r>
            <w:r w:rsidRPr="00782B31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5982B5A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A person who answers a survey or participates in research</w:t>
            </w:r>
          </w:p>
        </w:tc>
        <w:tc>
          <w:tcPr>
            <w:tcW w:w="0" w:type="auto"/>
            <w:vAlign w:val="center"/>
            <w:hideMark/>
          </w:tcPr>
          <w:p w14:paraId="19C3FA42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een respondent</w:t>
            </w:r>
          </w:p>
        </w:tc>
      </w:tr>
      <w:tr w:rsidR="003D6E8F" w:rsidRPr="00782B31" w14:paraId="1D5F57F2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898D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b/>
                <w:bCs/>
                <w:lang w:val="en-GB"/>
              </w:rPr>
              <w:t>to flick a switch</w:t>
            </w:r>
            <w:r w:rsidRPr="00782B31">
              <w:rPr>
                <w:rFonts w:ascii="Calibri" w:hAnsi="Calibri" w:cs="Calibri"/>
                <w:lang w:val="en-GB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0A86CC0E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To quickly turn a switch on or off</w:t>
            </w:r>
          </w:p>
        </w:tc>
        <w:tc>
          <w:tcPr>
            <w:tcW w:w="0" w:type="auto"/>
            <w:vAlign w:val="center"/>
            <w:hideMark/>
          </w:tcPr>
          <w:p w14:paraId="704EE2CA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een schakelaar omzetten</w:t>
            </w:r>
          </w:p>
        </w:tc>
      </w:tr>
      <w:tr w:rsidR="003D6E8F" w:rsidRPr="00782B31" w14:paraId="279D32BA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9C6D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b/>
                <w:bCs/>
                <w:lang w:val="en-GB"/>
              </w:rPr>
              <w:t>to argue a point</w:t>
            </w:r>
            <w:r w:rsidRPr="00782B31">
              <w:rPr>
                <w:rFonts w:ascii="Calibri" w:hAnsi="Calibri" w:cs="Calibri"/>
                <w:lang w:val="en-GB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1E2706AC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To present reasons to support or oppose an idea</w:t>
            </w:r>
          </w:p>
        </w:tc>
        <w:tc>
          <w:tcPr>
            <w:tcW w:w="0" w:type="auto"/>
            <w:vAlign w:val="center"/>
            <w:hideMark/>
          </w:tcPr>
          <w:p w14:paraId="5A37BEBD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een standpunt verdedigen</w:t>
            </w:r>
          </w:p>
        </w:tc>
      </w:tr>
      <w:tr w:rsidR="003D6E8F" w:rsidRPr="00782B31" w14:paraId="5ADE8F61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C9C8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proofErr w:type="spellStart"/>
            <w:r w:rsidRPr="00782B31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782B31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782B31">
              <w:rPr>
                <w:rFonts w:ascii="Calibri" w:hAnsi="Calibri" w:cs="Calibri"/>
                <w:b/>
                <w:bCs/>
              </w:rPr>
              <w:t>outweigh</w:t>
            </w:r>
            <w:proofErr w:type="spellEnd"/>
            <w:r w:rsidRPr="00782B31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76DCF10B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To be more significant or valuable than something else</w:t>
            </w:r>
          </w:p>
        </w:tc>
        <w:tc>
          <w:tcPr>
            <w:tcW w:w="0" w:type="auto"/>
            <w:vAlign w:val="center"/>
            <w:hideMark/>
          </w:tcPr>
          <w:p w14:paraId="151828B6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zwaarder wegen dan</w:t>
            </w:r>
          </w:p>
        </w:tc>
      </w:tr>
      <w:tr w:rsidR="003D6E8F" w:rsidRPr="00782B31" w14:paraId="58BB0FB0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5E19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proofErr w:type="spellStart"/>
            <w:r w:rsidRPr="00782B31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782B31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782B31">
              <w:rPr>
                <w:rFonts w:ascii="Calibri" w:hAnsi="Calibri" w:cs="Calibri"/>
                <w:b/>
                <w:bCs/>
              </w:rPr>
              <w:t>condemn</w:t>
            </w:r>
            <w:proofErr w:type="spellEnd"/>
            <w:r w:rsidRPr="00782B31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5F39A119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proofErr w:type="spellStart"/>
            <w:r w:rsidRPr="00782B31">
              <w:rPr>
                <w:rFonts w:ascii="Calibri" w:hAnsi="Calibri" w:cs="Calibri"/>
              </w:rPr>
              <w:t>To</w:t>
            </w:r>
            <w:proofErr w:type="spellEnd"/>
            <w:r w:rsidRPr="00782B31">
              <w:rPr>
                <w:rFonts w:ascii="Calibri" w:hAnsi="Calibri" w:cs="Calibri"/>
              </w:rPr>
              <w:t xml:space="preserve"> </w:t>
            </w:r>
            <w:proofErr w:type="spellStart"/>
            <w:r w:rsidRPr="00782B31">
              <w:rPr>
                <w:rFonts w:ascii="Calibri" w:hAnsi="Calibri" w:cs="Calibri"/>
              </w:rPr>
              <w:t>express</w:t>
            </w:r>
            <w:proofErr w:type="spellEnd"/>
            <w:r w:rsidRPr="00782B31">
              <w:rPr>
                <w:rFonts w:ascii="Calibri" w:hAnsi="Calibri" w:cs="Calibri"/>
              </w:rPr>
              <w:t xml:space="preserve"> strong </w:t>
            </w:r>
            <w:proofErr w:type="spellStart"/>
            <w:r w:rsidRPr="00782B31">
              <w:rPr>
                <w:rFonts w:ascii="Calibri" w:hAnsi="Calibri" w:cs="Calibri"/>
              </w:rPr>
              <w:t>disapproval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628E1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veroordelen</w:t>
            </w:r>
          </w:p>
        </w:tc>
      </w:tr>
      <w:tr w:rsidR="003D6E8F" w:rsidRPr="00782B31" w14:paraId="49EFAFD1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A583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b/>
                <w:bCs/>
                <w:lang w:val="en-GB"/>
              </w:rPr>
              <w:t>to take the ... view</w:t>
            </w:r>
            <w:r w:rsidRPr="00782B31">
              <w:rPr>
                <w:rFonts w:ascii="Calibri" w:hAnsi="Calibri" w:cs="Calibri"/>
                <w:lang w:val="en-GB"/>
              </w:rPr>
              <w:t xml:space="preserve"> (phrase)</w:t>
            </w:r>
          </w:p>
        </w:tc>
        <w:tc>
          <w:tcPr>
            <w:tcW w:w="0" w:type="auto"/>
            <w:vAlign w:val="center"/>
            <w:hideMark/>
          </w:tcPr>
          <w:p w14:paraId="3FBB4C82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To adopt a particular stance or opinion</w:t>
            </w:r>
          </w:p>
        </w:tc>
        <w:tc>
          <w:tcPr>
            <w:tcW w:w="0" w:type="auto"/>
            <w:vAlign w:val="center"/>
            <w:hideMark/>
          </w:tcPr>
          <w:p w14:paraId="0F7300BB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de ... mening innemen</w:t>
            </w:r>
          </w:p>
        </w:tc>
      </w:tr>
      <w:tr w:rsidR="003D6E8F" w:rsidRPr="00782B31" w14:paraId="59D83D30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8D360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proofErr w:type="spellStart"/>
            <w:r w:rsidRPr="00782B31">
              <w:rPr>
                <w:rFonts w:ascii="Calibri" w:hAnsi="Calibri" w:cs="Calibri"/>
                <w:b/>
                <w:bCs/>
              </w:rPr>
              <w:t>collateral</w:t>
            </w:r>
            <w:proofErr w:type="spellEnd"/>
            <w:r w:rsidRPr="00782B31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782B31">
              <w:rPr>
                <w:rFonts w:ascii="Calibri" w:hAnsi="Calibri" w:cs="Calibri"/>
                <w:b/>
                <w:bCs/>
              </w:rPr>
              <w:t>damage</w:t>
            </w:r>
            <w:proofErr w:type="spellEnd"/>
            <w:r w:rsidRPr="00782B31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E11B350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Unintended damage or casualties in an operation</w:t>
            </w:r>
          </w:p>
        </w:tc>
        <w:tc>
          <w:tcPr>
            <w:tcW w:w="0" w:type="auto"/>
            <w:vAlign w:val="center"/>
            <w:hideMark/>
          </w:tcPr>
          <w:p w14:paraId="2818C8B3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nevenschade</w:t>
            </w:r>
          </w:p>
        </w:tc>
      </w:tr>
      <w:tr w:rsidR="003D6E8F" w:rsidRPr="00782B31" w14:paraId="304D1157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4330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proofErr w:type="spellStart"/>
            <w:r w:rsidRPr="00782B31">
              <w:rPr>
                <w:rFonts w:ascii="Calibri" w:hAnsi="Calibri" w:cs="Calibri"/>
                <w:b/>
                <w:bCs/>
              </w:rPr>
              <w:t>an</w:t>
            </w:r>
            <w:proofErr w:type="spellEnd"/>
            <w:r w:rsidRPr="00782B31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782B31">
              <w:rPr>
                <w:rFonts w:ascii="Calibri" w:hAnsi="Calibri" w:cs="Calibri"/>
                <w:b/>
                <w:bCs/>
              </w:rPr>
              <w:t>intersection</w:t>
            </w:r>
            <w:proofErr w:type="spellEnd"/>
            <w:r w:rsidRPr="00782B31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200E5FBB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A point where two or more paths cross</w:t>
            </w:r>
          </w:p>
        </w:tc>
        <w:tc>
          <w:tcPr>
            <w:tcW w:w="0" w:type="auto"/>
            <w:vAlign w:val="center"/>
            <w:hideMark/>
          </w:tcPr>
          <w:p w14:paraId="627B53DC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een kruispunt</w:t>
            </w:r>
          </w:p>
        </w:tc>
      </w:tr>
      <w:tr w:rsidR="003D6E8F" w:rsidRPr="00782B31" w14:paraId="4735CBED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F818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proofErr w:type="spellStart"/>
            <w:r w:rsidRPr="00782B31">
              <w:rPr>
                <w:rFonts w:ascii="Calibri" w:hAnsi="Calibri" w:cs="Calibri"/>
                <w:b/>
                <w:bCs/>
              </w:rPr>
              <w:t>an</w:t>
            </w:r>
            <w:proofErr w:type="spellEnd"/>
            <w:r w:rsidRPr="00782B31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782B31">
              <w:rPr>
                <w:rFonts w:ascii="Calibri" w:hAnsi="Calibri" w:cs="Calibri"/>
                <w:b/>
                <w:bCs/>
              </w:rPr>
              <w:t>aversion</w:t>
            </w:r>
            <w:proofErr w:type="spellEnd"/>
            <w:r w:rsidRPr="00782B31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48A0811E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A strong dislike or disinclination</w:t>
            </w:r>
          </w:p>
        </w:tc>
        <w:tc>
          <w:tcPr>
            <w:tcW w:w="0" w:type="auto"/>
            <w:vAlign w:val="center"/>
            <w:hideMark/>
          </w:tcPr>
          <w:p w14:paraId="508631EA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een afkeer</w:t>
            </w:r>
          </w:p>
        </w:tc>
      </w:tr>
      <w:tr w:rsidR="003D6E8F" w:rsidRPr="00782B31" w14:paraId="102C0C9F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2ED7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proofErr w:type="spellStart"/>
            <w:r w:rsidRPr="00782B31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782B31">
              <w:rPr>
                <w:rFonts w:ascii="Calibri" w:hAnsi="Calibri" w:cs="Calibri"/>
                <w:b/>
                <w:bCs/>
              </w:rPr>
              <w:t xml:space="preserve"> feel </w:t>
            </w:r>
            <w:proofErr w:type="spellStart"/>
            <w:r w:rsidRPr="00782B31">
              <w:rPr>
                <w:rFonts w:ascii="Calibri" w:hAnsi="Calibri" w:cs="Calibri"/>
                <w:b/>
                <w:bCs/>
              </w:rPr>
              <w:t>conflicted</w:t>
            </w:r>
            <w:proofErr w:type="spellEnd"/>
            <w:r w:rsidRPr="00782B31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415AF5F3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To experience opposing feelings or thoughts</w:t>
            </w:r>
          </w:p>
        </w:tc>
        <w:tc>
          <w:tcPr>
            <w:tcW w:w="0" w:type="auto"/>
            <w:vAlign w:val="center"/>
            <w:hideMark/>
          </w:tcPr>
          <w:p w14:paraId="599A5141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zich innerlijk verdeeld voelen</w:t>
            </w:r>
          </w:p>
        </w:tc>
      </w:tr>
      <w:tr w:rsidR="003D6E8F" w:rsidRPr="00782B31" w14:paraId="050A50A0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F9B8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  <w:b/>
                <w:bCs/>
              </w:rPr>
              <w:t xml:space="preserve">a </w:t>
            </w:r>
            <w:proofErr w:type="spellStart"/>
            <w:r w:rsidRPr="00782B31">
              <w:rPr>
                <w:rFonts w:ascii="Calibri" w:hAnsi="Calibri" w:cs="Calibri"/>
                <w:b/>
                <w:bCs/>
              </w:rPr>
              <w:t>premise</w:t>
            </w:r>
            <w:proofErr w:type="spellEnd"/>
            <w:r w:rsidRPr="00782B31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234C60A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A statement or idea that serves as the basis for an argument</w:t>
            </w:r>
          </w:p>
        </w:tc>
        <w:tc>
          <w:tcPr>
            <w:tcW w:w="0" w:type="auto"/>
            <w:vAlign w:val="center"/>
            <w:hideMark/>
          </w:tcPr>
          <w:p w14:paraId="0D9E17F9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een premisse</w:t>
            </w:r>
          </w:p>
        </w:tc>
      </w:tr>
      <w:tr w:rsidR="003D6E8F" w:rsidRPr="00782B31" w14:paraId="35630915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C132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  <w:b/>
                <w:bCs/>
              </w:rPr>
              <w:t>a participant</w:t>
            </w:r>
            <w:r w:rsidRPr="00782B31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2BD78869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A person who takes part in an activity or study</w:t>
            </w:r>
          </w:p>
        </w:tc>
        <w:tc>
          <w:tcPr>
            <w:tcW w:w="0" w:type="auto"/>
            <w:vAlign w:val="center"/>
            <w:hideMark/>
          </w:tcPr>
          <w:p w14:paraId="0698F7B2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een deelnemer</w:t>
            </w:r>
          </w:p>
        </w:tc>
      </w:tr>
      <w:tr w:rsidR="003D6E8F" w:rsidRPr="00782B31" w14:paraId="2F3E3329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44EB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proofErr w:type="spellStart"/>
            <w:r w:rsidRPr="00782B31">
              <w:rPr>
                <w:rFonts w:ascii="Calibri" w:hAnsi="Calibri" w:cs="Calibri"/>
                <w:b/>
                <w:bCs/>
              </w:rPr>
              <w:t>autonomous</w:t>
            </w:r>
            <w:proofErr w:type="spellEnd"/>
            <w:r w:rsidRPr="00782B31">
              <w:rPr>
                <w:rFonts w:ascii="Calibri" w:hAnsi="Calibri" w:cs="Calibri"/>
              </w:rPr>
              <w:t xml:space="preserve"> (</w:t>
            </w:r>
            <w:proofErr w:type="spellStart"/>
            <w:r w:rsidRPr="00782B31">
              <w:rPr>
                <w:rFonts w:ascii="Calibri" w:hAnsi="Calibri" w:cs="Calibri"/>
              </w:rPr>
              <w:t>adj</w:t>
            </w:r>
            <w:proofErr w:type="spellEnd"/>
            <w:r w:rsidRPr="00782B31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40C07E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proofErr w:type="spellStart"/>
            <w:r w:rsidRPr="00782B31">
              <w:rPr>
                <w:rFonts w:ascii="Calibri" w:hAnsi="Calibri" w:cs="Calibri"/>
              </w:rPr>
              <w:t>Self-governing</w:t>
            </w:r>
            <w:proofErr w:type="spellEnd"/>
            <w:r w:rsidRPr="00782B31">
              <w:rPr>
                <w:rFonts w:ascii="Calibri" w:hAnsi="Calibri" w:cs="Calibri"/>
              </w:rPr>
              <w:t xml:space="preserve">; </w:t>
            </w:r>
            <w:proofErr w:type="spellStart"/>
            <w:r w:rsidRPr="00782B31">
              <w:rPr>
                <w:rFonts w:ascii="Calibri" w:hAnsi="Calibri" w:cs="Calibri"/>
              </w:rPr>
              <w:t>functioning</w:t>
            </w:r>
            <w:proofErr w:type="spellEnd"/>
            <w:r w:rsidRPr="00782B31">
              <w:rPr>
                <w:rFonts w:ascii="Calibri" w:hAnsi="Calibri" w:cs="Calibri"/>
              </w:rPr>
              <w:t xml:space="preserve"> </w:t>
            </w:r>
            <w:proofErr w:type="spellStart"/>
            <w:r w:rsidRPr="00782B31">
              <w:rPr>
                <w:rFonts w:ascii="Calibri" w:hAnsi="Calibri" w:cs="Calibri"/>
              </w:rPr>
              <w:t>independently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56270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autonoom</w:t>
            </w:r>
          </w:p>
        </w:tc>
      </w:tr>
      <w:tr w:rsidR="003D6E8F" w:rsidRPr="00782B31" w14:paraId="7C54EF2C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88E2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  <w:b/>
                <w:bCs/>
              </w:rPr>
              <w:t xml:space="preserve">a </w:t>
            </w:r>
            <w:proofErr w:type="spellStart"/>
            <w:r w:rsidRPr="00782B31">
              <w:rPr>
                <w:rFonts w:ascii="Calibri" w:hAnsi="Calibri" w:cs="Calibri"/>
                <w:b/>
                <w:bCs/>
              </w:rPr>
              <w:t>casualty</w:t>
            </w:r>
            <w:proofErr w:type="spellEnd"/>
            <w:r w:rsidRPr="00782B31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53B90989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A person harmed or killed in an accident or conflict</w:t>
            </w:r>
          </w:p>
        </w:tc>
        <w:tc>
          <w:tcPr>
            <w:tcW w:w="0" w:type="auto"/>
            <w:vAlign w:val="center"/>
            <w:hideMark/>
          </w:tcPr>
          <w:p w14:paraId="7CAFB8E4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een slachtoffer</w:t>
            </w:r>
          </w:p>
        </w:tc>
      </w:tr>
      <w:tr w:rsidR="003D6E8F" w:rsidRPr="00782B31" w14:paraId="135419E5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5DFF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proofErr w:type="spellStart"/>
            <w:r w:rsidRPr="00782B31">
              <w:rPr>
                <w:rFonts w:ascii="Calibri" w:hAnsi="Calibri" w:cs="Calibri"/>
                <w:b/>
                <w:bCs/>
              </w:rPr>
              <w:lastRenderedPageBreak/>
              <w:t>to</w:t>
            </w:r>
            <w:proofErr w:type="spellEnd"/>
            <w:r w:rsidRPr="00782B31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782B31">
              <w:rPr>
                <w:rFonts w:ascii="Calibri" w:hAnsi="Calibri" w:cs="Calibri"/>
                <w:b/>
                <w:bCs/>
              </w:rPr>
              <w:t>address</w:t>
            </w:r>
            <w:proofErr w:type="spellEnd"/>
            <w:r w:rsidRPr="00782B31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7BEAF8F1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To deal with or give attention to a problem or issue</w:t>
            </w:r>
          </w:p>
        </w:tc>
        <w:tc>
          <w:tcPr>
            <w:tcW w:w="0" w:type="auto"/>
            <w:vAlign w:val="center"/>
            <w:hideMark/>
          </w:tcPr>
          <w:p w14:paraId="005D38AE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aanpakken</w:t>
            </w:r>
          </w:p>
        </w:tc>
      </w:tr>
      <w:tr w:rsidR="003D6E8F" w:rsidRPr="00782B31" w14:paraId="5F62DD45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1FE4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  <w:b/>
                <w:bCs/>
              </w:rPr>
              <w:t xml:space="preserve">a </w:t>
            </w:r>
            <w:proofErr w:type="spellStart"/>
            <w:r w:rsidRPr="00782B31">
              <w:rPr>
                <w:rFonts w:ascii="Calibri" w:hAnsi="Calibri" w:cs="Calibri"/>
                <w:b/>
                <w:bCs/>
              </w:rPr>
              <w:t>collision</w:t>
            </w:r>
            <w:proofErr w:type="spellEnd"/>
            <w:r w:rsidRPr="00782B31">
              <w:rPr>
                <w:rFonts w:ascii="Calibri" w:hAnsi="Calibri" w:cs="Calibri"/>
                <w:b/>
                <w:bCs/>
              </w:rPr>
              <w:t xml:space="preserve"> course</w:t>
            </w:r>
            <w:r w:rsidRPr="00782B31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13E2A6D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A path or action likely to lead to conflict or disaster</w:t>
            </w:r>
          </w:p>
        </w:tc>
        <w:tc>
          <w:tcPr>
            <w:tcW w:w="0" w:type="auto"/>
            <w:vAlign w:val="center"/>
            <w:hideMark/>
          </w:tcPr>
          <w:p w14:paraId="28EE7748" w14:textId="3C1D6913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een ramkoers</w:t>
            </w:r>
          </w:p>
        </w:tc>
      </w:tr>
      <w:tr w:rsidR="003D6E8F" w:rsidRPr="00782B31" w14:paraId="76B75C22" w14:textId="77777777" w:rsidTr="003D6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9148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proofErr w:type="spellStart"/>
            <w:r w:rsidRPr="00782B31">
              <w:rPr>
                <w:rFonts w:ascii="Calibri" w:hAnsi="Calibri" w:cs="Calibri"/>
                <w:b/>
                <w:bCs/>
              </w:rPr>
              <w:t>hypothetical</w:t>
            </w:r>
            <w:proofErr w:type="spellEnd"/>
            <w:r w:rsidRPr="00782B31">
              <w:rPr>
                <w:rFonts w:ascii="Calibri" w:hAnsi="Calibri" w:cs="Calibri"/>
              </w:rPr>
              <w:t xml:space="preserve"> (</w:t>
            </w:r>
            <w:proofErr w:type="spellStart"/>
            <w:r w:rsidRPr="00782B31">
              <w:rPr>
                <w:rFonts w:ascii="Calibri" w:hAnsi="Calibri" w:cs="Calibri"/>
              </w:rPr>
              <w:t>adj</w:t>
            </w:r>
            <w:proofErr w:type="spellEnd"/>
            <w:r w:rsidRPr="00782B31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05629B" w14:textId="77777777" w:rsidR="003D6E8F" w:rsidRPr="00782B31" w:rsidRDefault="003D6E8F" w:rsidP="003D6E8F">
            <w:pPr>
              <w:rPr>
                <w:rFonts w:ascii="Calibri" w:hAnsi="Calibri" w:cs="Calibri"/>
                <w:lang w:val="en-GB"/>
              </w:rPr>
            </w:pPr>
            <w:r w:rsidRPr="00782B31">
              <w:rPr>
                <w:rFonts w:ascii="Calibri" w:hAnsi="Calibri" w:cs="Calibri"/>
                <w:lang w:val="en-GB"/>
              </w:rPr>
              <w:t>Based on a supposed or imagined situation</w:t>
            </w:r>
          </w:p>
        </w:tc>
        <w:tc>
          <w:tcPr>
            <w:tcW w:w="0" w:type="auto"/>
            <w:vAlign w:val="center"/>
            <w:hideMark/>
          </w:tcPr>
          <w:p w14:paraId="65A49A11" w14:textId="77777777" w:rsidR="003D6E8F" w:rsidRPr="00782B31" w:rsidRDefault="003D6E8F" w:rsidP="003D6E8F">
            <w:pPr>
              <w:rPr>
                <w:rFonts w:ascii="Calibri" w:hAnsi="Calibri" w:cs="Calibri"/>
              </w:rPr>
            </w:pPr>
            <w:r w:rsidRPr="00782B31">
              <w:rPr>
                <w:rFonts w:ascii="Calibri" w:hAnsi="Calibri" w:cs="Calibri"/>
              </w:rPr>
              <w:t>hypothetisch</w:t>
            </w:r>
          </w:p>
        </w:tc>
      </w:tr>
    </w:tbl>
    <w:p w14:paraId="463B90AB" w14:textId="77777777" w:rsidR="009A77C6" w:rsidRPr="00782B31" w:rsidRDefault="009A77C6">
      <w:pPr>
        <w:rPr>
          <w:rFonts w:ascii="Calibri" w:hAnsi="Calibri" w:cs="Calibri"/>
        </w:rPr>
      </w:pPr>
    </w:p>
    <w:sectPr w:rsidR="009A77C6" w:rsidRPr="00782B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8F"/>
    <w:rsid w:val="003D6E8F"/>
    <w:rsid w:val="00782B31"/>
    <w:rsid w:val="008E2002"/>
    <w:rsid w:val="008F22AE"/>
    <w:rsid w:val="009A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1F280"/>
  <w15:chartTrackingRefBased/>
  <w15:docId w15:val="{404E8FC1-ECFA-42CC-9BDE-1C86048F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D6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D6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D6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D6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D6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D6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D6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D6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D6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D6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D6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D6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D6E8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D6E8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D6E8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D6E8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D6E8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D6E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D6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D6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D6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D6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D6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D6E8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D6E8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D6E8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D6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D6E8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D6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32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295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Sleurs</dc:creator>
  <cp:keywords/>
  <dc:description/>
  <cp:lastModifiedBy>Kim Sleurs</cp:lastModifiedBy>
  <cp:revision>2</cp:revision>
  <dcterms:created xsi:type="dcterms:W3CDTF">2024-10-28T12:17:00Z</dcterms:created>
  <dcterms:modified xsi:type="dcterms:W3CDTF">2024-11-07T09:05:00Z</dcterms:modified>
</cp:coreProperties>
</file>