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EC0C2" w14:textId="07D27F99" w:rsidR="00E213A6" w:rsidRPr="00E213A6" w:rsidRDefault="00E213A6">
      <w:pPr>
        <w:rPr>
          <w:b/>
          <w:bCs/>
          <w:color w:val="FF0000"/>
        </w:rPr>
      </w:pPr>
      <w:r w:rsidRPr="00E213A6">
        <w:rPr>
          <w:b/>
          <w:bCs/>
          <w:color w:val="FF0000"/>
        </w:rPr>
        <w:t>To do:</w:t>
      </w:r>
    </w:p>
    <w:p w14:paraId="3175CF00" w14:textId="2ECADAC6" w:rsidR="00E213A6" w:rsidRPr="00E213A6" w:rsidRDefault="00E213A6" w:rsidP="00E213A6">
      <w:pPr>
        <w:pStyle w:val="ListParagraph"/>
        <w:numPr>
          <w:ilvl w:val="0"/>
          <w:numId w:val="4"/>
        </w:numPr>
        <w:rPr>
          <w:b/>
          <w:bCs/>
          <w:color w:val="FF0000"/>
        </w:rPr>
      </w:pPr>
      <w:r w:rsidRPr="00E213A6">
        <w:rPr>
          <w:b/>
          <w:bCs/>
          <w:color w:val="FF0000"/>
        </w:rPr>
        <w:t>Idea of preference as constructed at the choice</w:t>
      </w:r>
    </w:p>
    <w:p w14:paraId="68B005D2" w14:textId="05C4887E" w:rsidR="00E213A6" w:rsidRPr="00E213A6" w:rsidRDefault="00E213A6">
      <w:pPr>
        <w:rPr>
          <w:b/>
          <w:bCs/>
          <w:color w:val="FF0000"/>
        </w:rPr>
      </w:pPr>
      <w:hyperlink r:id="rId8" w:history="1">
        <w:r w:rsidRPr="00E213A6">
          <w:rPr>
            <w:rStyle w:val="Hyperlink"/>
            <w:b/>
            <w:bCs/>
            <w:color w:val="FF0000"/>
          </w:rPr>
          <w:t>http://bear.warrington.ufl.edu/brenner/mar7588/Papers/slovic-ampsy1995.pdf</w:t>
        </w:r>
      </w:hyperlink>
    </w:p>
    <w:p w14:paraId="1347FACE" w14:textId="6E1C2161" w:rsidR="00E213A6" w:rsidRPr="00E213A6" w:rsidRDefault="00E213A6">
      <w:pPr>
        <w:rPr>
          <w:b/>
          <w:bCs/>
          <w:color w:val="FF0000"/>
        </w:rPr>
      </w:pPr>
      <w:proofErr w:type="spellStart"/>
      <w:r w:rsidRPr="00E213A6">
        <w:rPr>
          <w:b/>
          <w:bCs/>
          <w:color w:val="FF0000"/>
        </w:rPr>
        <w:t>slovic</w:t>
      </w:r>
      <w:proofErr w:type="spellEnd"/>
      <w:r w:rsidRPr="00E213A6">
        <w:rPr>
          <w:b/>
          <w:bCs/>
          <w:color w:val="FF0000"/>
        </w:rPr>
        <w:t xml:space="preserve"> 1995 – the construction of preference</w:t>
      </w:r>
    </w:p>
    <w:p w14:paraId="48396A44" w14:textId="05801F07" w:rsidR="00E213A6" w:rsidRPr="00E213A6" w:rsidRDefault="00E213A6" w:rsidP="00E213A6">
      <w:pPr>
        <w:pStyle w:val="ListParagraph"/>
        <w:numPr>
          <w:ilvl w:val="0"/>
          <w:numId w:val="4"/>
        </w:numPr>
        <w:rPr>
          <w:b/>
          <w:bCs/>
          <w:color w:val="FF0000"/>
        </w:rPr>
      </w:pPr>
      <w:r w:rsidRPr="00E213A6">
        <w:rPr>
          <w:b/>
          <w:bCs/>
          <w:color w:val="FF0000"/>
        </w:rPr>
        <w:t>Finish off ideas in the conclusion</w:t>
      </w:r>
    </w:p>
    <w:p w14:paraId="4D198748" w14:textId="21E96EAF" w:rsidR="000B6ACB" w:rsidRPr="009E5B17" w:rsidRDefault="000B6ACB">
      <w:pPr>
        <w:rPr>
          <w:b/>
          <w:bCs/>
        </w:rPr>
      </w:pPr>
      <w:r w:rsidRPr="009E5B17">
        <w:rPr>
          <w:b/>
          <w:bCs/>
        </w:rPr>
        <w:t xml:space="preserve">Appendix 1.2 – </w:t>
      </w:r>
      <w:r w:rsidR="00C525DD" w:rsidRPr="009E5B17">
        <w:rPr>
          <w:b/>
          <w:bCs/>
        </w:rPr>
        <w:t>Where does value come from?</w:t>
      </w:r>
    </w:p>
    <w:p w14:paraId="76F58BE4" w14:textId="52790079" w:rsidR="00927556" w:rsidRDefault="001F6F4D">
      <w:r>
        <w:t xml:space="preserve">We open this thesis with the idea that utility is to choices as reproductive fitness is to innate behaviour. As genes give rise to phenotypes to maximise their reproductive success, </w:t>
      </w:r>
      <w:r>
        <w:rPr>
          <w:i/>
          <w:iCs/>
        </w:rPr>
        <w:t>some</w:t>
      </w:r>
      <w:r w:rsidR="004B7513">
        <w:rPr>
          <w:i/>
          <w:iCs/>
        </w:rPr>
        <w:t xml:space="preserve"> process</w:t>
      </w:r>
      <w:r>
        <w:t xml:space="preserve"> in the brain is </w:t>
      </w:r>
      <w:r w:rsidR="000B6ACB">
        <w:t>generating some internal sense of value that guides the choices an organism makes and the sense of reward, and thus reinforcement, they accrue from it</w:t>
      </w:r>
      <w:r w:rsidR="00DE4B05">
        <w:rPr>
          <w:rStyle w:val="FootnoteReference"/>
        </w:rPr>
        <w:footnoteReference w:id="1"/>
      </w:r>
      <w:r w:rsidR="000B6ACB">
        <w:t>.</w:t>
      </w:r>
      <w:r w:rsidR="00927556">
        <w:t xml:space="preserve"> In the introduction to the thesis, we introduce the idea of utility, </w:t>
      </w:r>
      <w:r w:rsidR="003B15C3">
        <w:t xml:space="preserve">and the formalisation of </w:t>
      </w:r>
      <w:r w:rsidR="00715714">
        <w:t>E</w:t>
      </w:r>
      <w:r w:rsidR="003B15C3">
        <w:t xml:space="preserve">xpected </w:t>
      </w:r>
      <w:r w:rsidR="00715714">
        <w:t>U</w:t>
      </w:r>
      <w:r w:rsidR="003B15C3">
        <w:t xml:space="preserve">tility </w:t>
      </w:r>
      <w:r w:rsidR="00715714">
        <w:t>T</w:t>
      </w:r>
      <w:r w:rsidR="003B15C3">
        <w:t xml:space="preserve">heory by von Neumann and Morgenstern </w:t>
      </w:r>
      <w:r w:rsidR="003B15C3">
        <w:fldChar w:fldCharType="begin" w:fldLock="1"/>
      </w:r>
      <w:r w:rsidR="000E3D5F">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&amp; Morgenstern, 1944)"},"properties":{"noteIndex":0},"schema":"https://github.com/citation-style-language/schema/raw/master/csl-citation.json"}</w:instrText>
      </w:r>
      <w:r w:rsidR="003B15C3">
        <w:fldChar w:fldCharType="separate"/>
      </w:r>
      <w:r w:rsidR="003B15C3" w:rsidRPr="003B15C3">
        <w:rPr>
          <w:noProof/>
        </w:rPr>
        <w:t>(von Neumann &amp; Morgenstern, 1944)</w:t>
      </w:r>
      <w:r w:rsidR="003B15C3">
        <w:fldChar w:fldCharType="end"/>
      </w:r>
      <w:r w:rsidR="003B15C3">
        <w:t xml:space="preserve">. </w:t>
      </w:r>
    </w:p>
    <w:p w14:paraId="4034DFF2" w14:textId="30798490" w:rsidR="004B7513" w:rsidRDefault="00F71D6D">
      <w:r>
        <w:t xml:space="preserve">Though we think the results presented in this thesis have merit (and indeed merit the awarding of a doctorate) and show that the BDM mechanism can be used to glimpse the physiological substrate of utility, we are clearly only at the beginning of an arduous course of research to fully uncover the computations performed by organisms to make economic decisions; currently we only glimpse these through a </w:t>
      </w:r>
      <w:r w:rsidR="00D76B32">
        <w:t>scanner</w:t>
      </w:r>
      <w:r>
        <w:t>, darkly.</w:t>
      </w:r>
    </w:p>
    <w:p w14:paraId="1880E030" w14:textId="3D8C2DF3" w:rsidR="000E3D5F" w:rsidRDefault="000E3D5F">
      <w:r>
        <w:t xml:space="preserve">We use this thesis to place ideas and discussions we have had over the last three and a half years. These mostly boil down to the idea that if dopamine </w:t>
      </w:r>
      <w:r>
        <w:rPr>
          <w:i/>
          <w:iCs/>
        </w:rPr>
        <w:t>is</w:t>
      </w:r>
      <w:r>
        <w:t xml:space="preserve"> ‘a neural substrate of prediction and reward’ </w:t>
      </w:r>
      <w:r>
        <w:fldChar w:fldCharType="begin" w:fldLock="1"/>
      </w:r>
      <w:r w:rsidR="004002BF">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reward","type":"article-journal","volume":"275"},"uris":["http://www.mendeley.com/documents/?uuid=1c581e8e-daa8-4295-9ca2-036662199b91"]}],"mendeley":{"formattedCitation":"(Schultz et al., 1997)","plainTextFormattedCitation":"(Schultz et al., 1997)","previouslyFormattedCitation":"(Schultz et al., 1997)"},"properties":{"noteIndex":0},"schema":"https://github.com/citation-style-language/schema/raw/master/csl-citation.json"}</w:instrText>
      </w:r>
      <w:r>
        <w:fldChar w:fldCharType="separate"/>
      </w:r>
      <w:r w:rsidRPr="000E3D5F">
        <w:rPr>
          <w:noProof/>
        </w:rPr>
        <w:t>(Schultz et al., 1997)</w:t>
      </w:r>
      <w:r>
        <w:fldChar w:fldCharType="end"/>
      </w:r>
      <w:r>
        <w:t xml:space="preserve"> then what does that </w:t>
      </w:r>
      <w:r>
        <w:rPr>
          <w:i/>
          <w:iCs/>
        </w:rPr>
        <w:t>mean</w:t>
      </w:r>
      <w:r>
        <w:t>. Obviously th</w:t>
      </w:r>
      <w:r w:rsidR="004002BF">
        <w:t>ese questions are</w:t>
      </w:r>
      <w:r>
        <w:t xml:space="preserve"> not limited to dopaminergic neurons</w:t>
      </w:r>
      <w:r w:rsidR="004002BF">
        <w:t xml:space="preserve"> (see appendix 1.3), and indeed we spend </w:t>
      </w:r>
      <w:r w:rsidR="00715714">
        <w:t>the end</w:t>
      </w:r>
      <w:r w:rsidR="004002BF">
        <w:t xml:space="preserve"> of this appendix discussing a similarly formulated question that focuses on the prefrontal cortices; ‘where does value come from?’ </w:t>
      </w:r>
      <w:r w:rsidR="004002BF">
        <w:fldChar w:fldCharType="begin" w:fldLock="1"/>
      </w:r>
      <w:r w:rsidR="00F30E3A">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rsidR="004002BF">
        <w:fldChar w:fldCharType="separate"/>
      </w:r>
      <w:r w:rsidR="004002BF" w:rsidRPr="004002BF">
        <w:rPr>
          <w:noProof/>
        </w:rPr>
        <w:t>(Juechems &amp; Summerfield, 2019)</w:t>
      </w:r>
      <w:r w:rsidR="004002BF">
        <w:fldChar w:fldCharType="end"/>
      </w:r>
      <w:r w:rsidR="002A145F">
        <w:rPr>
          <w:rStyle w:val="FootnoteReference"/>
        </w:rPr>
        <w:footnoteReference w:id="2"/>
      </w:r>
      <w:r w:rsidR="004002BF">
        <w:t>.</w:t>
      </w:r>
    </w:p>
    <w:p w14:paraId="451FA24E" w14:textId="1221F8C4" w:rsidR="004002BF" w:rsidRDefault="00C06BDE">
      <w:pPr>
        <w:rPr>
          <w:b/>
          <w:bCs/>
        </w:rPr>
      </w:pPr>
      <w:r>
        <w:rPr>
          <w:b/>
          <w:bCs/>
        </w:rPr>
        <w:t>Where does the theory of value come from?</w:t>
      </w:r>
    </w:p>
    <w:p w14:paraId="1E0EDD6E" w14:textId="10D6C76D" w:rsidR="00F30E3A" w:rsidRDefault="00AB5118">
      <w:r>
        <w:t>For most people, considerations of value likely begin and end at the price of various consumer goods.</w:t>
      </w:r>
      <w:r w:rsidR="008F47D1">
        <w:t xml:space="preserve"> </w:t>
      </w:r>
      <w:r w:rsidR="00C06BDE">
        <w:t xml:space="preserve">Prices, and the willingness of consumers to pay them, </w:t>
      </w:r>
      <w:r w:rsidR="00F30E3A">
        <w:t>are the signal by which the majority of the world’s economy is arranged</w:t>
      </w:r>
      <w:r w:rsidR="008F47D1">
        <w:t>, however, to a consumer they can seem as if they are divinely ordained. Some higher power has decided that good X costs £Y</w:t>
      </w:r>
      <w:r w:rsidR="00B743F4">
        <w:t xml:space="preserve"> (give or take some small error between shops and over time). In order to explain how economies work, m</w:t>
      </w:r>
      <w:r w:rsidR="00F30E3A">
        <w:t xml:space="preserve">uch of the history of economic thought has sought to explain </w:t>
      </w:r>
      <w:r w:rsidR="00B743F4">
        <w:t xml:space="preserve">this key signal: </w:t>
      </w:r>
      <w:r w:rsidR="00F30E3A">
        <w:t>what leads an object to be labelled with a specific price</w:t>
      </w:r>
      <w:r w:rsidR="003B4EF8">
        <w:t>?</w:t>
      </w:r>
    </w:p>
    <w:p w14:paraId="3E2D28F7" w14:textId="7EC79428" w:rsidR="00AA0488" w:rsidRPr="00FE3E86" w:rsidRDefault="00712107">
      <w:r>
        <w:lastRenderedPageBreak/>
        <w:t xml:space="preserve">‘Classical’ economic approaches to this question initially settled on the idea that value was intrinsic to the good being sold. </w:t>
      </w:r>
      <w:r w:rsidR="00AA0488">
        <w:t xml:space="preserve">Adam Smith </w:t>
      </w:r>
      <w:r w:rsidR="00FE3E86">
        <w:t>originally formulate</w:t>
      </w:r>
      <w:r w:rsidR="001417DE">
        <w:t>d</w:t>
      </w:r>
      <w:r w:rsidR="00FE3E86">
        <w:t xml:space="preserve"> the idea that the </w:t>
      </w:r>
      <w:r w:rsidR="008A00EA">
        <w:t>cost of labour put into offering a good for exchange is</w:t>
      </w:r>
      <w:r w:rsidR="00FE3E86">
        <w:t xml:space="preserve"> </w:t>
      </w:r>
      <w:r w:rsidR="00FE3E86">
        <w:rPr>
          <w:i/>
          <w:iCs/>
        </w:rPr>
        <w:t>“ultimate standard by which the value of commodities… can be estimated and compared”</w:t>
      </w:r>
      <w:r w:rsidR="00FE3E86">
        <w:t xml:space="preserve">, later termed the ‘Labour Theory of Value’ </w:t>
      </w:r>
      <w:r w:rsidR="00FE3E86">
        <w:fldChar w:fldCharType="begin" w:fldLock="1"/>
      </w:r>
      <w:r w:rsidR="00173C6B">
        <w:instrText>ADDIN CSL_CITATION {"citationItems":[{"id":"ITEM-1","itemData":{"author":[{"dropping-particle":"","family":"Smith","given":"Adam","non-dropping-particle":"","parse-names":false,"suffix":""}],"id":"ITEM-1","issued":{"date-parts":[["1776"]]},"number-of-pages":"590","title":"An Inquiry into the Nature and Causes of the Wealth of Nations","type":"book"},"uris":["http://www.mendeley.com/documents/?uuid=0994f458-c83c-422f-a5aa-0c43dae5204a"]}],"mendeley":{"formattedCitation":"(A. Smith, 1776)","plainTextFormattedCitation":"(A. Smith, 1776)","previouslyFormattedCitation":"(A. Smith, 1776)"},"properties":{"noteIndex":0},"schema":"https://github.com/citation-style-language/schema/raw/master/csl-citation.json"}</w:instrText>
      </w:r>
      <w:r w:rsidR="00FE3E86">
        <w:fldChar w:fldCharType="separate"/>
      </w:r>
      <w:r w:rsidR="00173C6B" w:rsidRPr="00173C6B">
        <w:rPr>
          <w:noProof/>
        </w:rPr>
        <w:t>(A. Smith, 1776)</w:t>
      </w:r>
      <w:r w:rsidR="00FE3E86">
        <w:fldChar w:fldCharType="end"/>
      </w:r>
      <w:r w:rsidR="00FE3E86">
        <w:t xml:space="preserve">.  </w:t>
      </w:r>
      <w:r w:rsidR="008A00EA">
        <w:t xml:space="preserve">This was expounded upon by Ricardo who relaxed the theory stating that the price of a good is merely </w:t>
      </w:r>
      <w:r w:rsidR="008A00EA">
        <w:rPr>
          <w:i/>
          <w:iCs/>
        </w:rPr>
        <w:t>proportional</w:t>
      </w:r>
      <w:r w:rsidR="008A00EA">
        <w:t xml:space="preserve"> to labour</w:t>
      </w:r>
      <w:r w:rsidR="0008352D">
        <w:t xml:space="preserve"> </w:t>
      </w:r>
      <w:r w:rsidR="00DD76DF">
        <w:fldChar w:fldCharType="begin" w:fldLock="1"/>
      </w:r>
      <w:r w:rsidR="00212C25">
        <w:instrText>ADDIN CSL_CITATION {"citationItems":[{"id":"ITEM-1","itemData":{"author":[{"dropping-particle":"","family":"Stigler","given":"George J.","non-dropping-particle":"","parse-names":false,"suffix":""}],"container-title":"American Economic Review","id":"ITEM-1","issue":"3","issued":{"date-parts":[["1958"]]},"page":"357-367","title":"American Economic Association Ricardo and the 93 % Labor Theory of Value","type":"article-journal","volume":"48"},"uris":["http://www.mendeley.com/documents/?uuid=df421c8b-5c99-49f7-ab8e-ebdc590a1846"]}],"mendeley":{"formattedCitation":"(Stigler, 1958)","plainTextFormattedCitation":"(Stigler, 1958)","previouslyFormattedCitation":"(Stigler, 1958)"},"properties":{"noteIndex":0},"schema":"https://github.com/citation-style-language/schema/raw/master/csl-citation.json"}</w:instrText>
      </w:r>
      <w:r w:rsidR="00DD76DF">
        <w:fldChar w:fldCharType="separate"/>
      </w:r>
      <w:r w:rsidR="00DD76DF" w:rsidRPr="00DD76DF">
        <w:rPr>
          <w:noProof/>
        </w:rPr>
        <w:t>(Stigler, 1958)</w:t>
      </w:r>
      <w:r w:rsidR="00DD76DF">
        <w:fldChar w:fldCharType="end"/>
      </w:r>
      <w:r w:rsidR="00DD76DF">
        <w:t xml:space="preserve">. </w:t>
      </w:r>
      <w:r w:rsidR="00FD58D4">
        <w:t xml:space="preserve">This idea of the value of a good being embodied by the cumulative labour necessary to produce it is a fundamental property of Marxist economic thought, with the difference between the value (i.e. the labour supplied) and the price of a good representing </w:t>
      </w:r>
      <w:r w:rsidR="00341A89">
        <w:t>the surplus value (commonly termed S), i.e. the exploitation of labour</w:t>
      </w:r>
      <w:r w:rsidR="00212C25">
        <w:t xml:space="preserve"> </w:t>
      </w:r>
      <w:r w:rsidR="00212C25">
        <w:fldChar w:fldCharType="begin" w:fldLock="1"/>
      </w:r>
      <w:r w:rsidR="007667E6">
        <w:instrText>ADDIN CSL_CITATION {"citationItems":[{"id":"ITEM-1","itemData":{"author":[{"dropping-particle":"","family":"Marx","given":"Karl","non-dropping-particle":"","parse-names":false,"suffix":""}],"id":"ITEM-1","issued":{"date-parts":[["1867"]]},"title":"Capital: A Critique of Political Economy: Vol I (trans. Engels &amp; Untermann)","type":"book"},"uris":["http://www.mendeley.com/documents/?uuid=71f82317-ec72-437f-bf76-09ddda5db70f"]}],"mendeley":{"formattedCitation":"(Marx, 1867)","plainTextFormattedCitation":"(Marx, 1867)","previouslyFormattedCitation":"(Marx, 1867)"},"properties":{"noteIndex":0},"schema":"https://github.com/citation-style-language/schema/raw/master/csl-citation.json"}</w:instrText>
      </w:r>
      <w:r w:rsidR="00212C25">
        <w:fldChar w:fldCharType="separate"/>
      </w:r>
      <w:r w:rsidR="00212C25" w:rsidRPr="00212C25">
        <w:rPr>
          <w:noProof/>
        </w:rPr>
        <w:t>(Marx, 1867)</w:t>
      </w:r>
      <w:r w:rsidR="00212C25">
        <w:fldChar w:fldCharType="end"/>
      </w:r>
      <w:r w:rsidR="00341A89">
        <w:t>.</w:t>
      </w:r>
    </w:p>
    <w:p w14:paraId="50D157C2" w14:textId="02BFE034" w:rsidR="00972E2E" w:rsidRDefault="001C46DB">
      <w:r>
        <w:t xml:space="preserve">At the very beginning of this thesis, we skip </w:t>
      </w:r>
      <w:r w:rsidR="00135C02">
        <w:t>over this</w:t>
      </w:r>
      <w:r>
        <w:t xml:space="preserve"> century of economic thought between Bernoulli’s formulation of utility vs value, and its rise to prominence in ‘neoclassical’ economics</w:t>
      </w:r>
      <w:r w:rsidR="00F30E3A">
        <w:t xml:space="preserve">, among which is the idea that value is generated internally by a consumer. </w:t>
      </w:r>
      <w:r w:rsidR="00135C02">
        <w:t>Furthermore, we</w:t>
      </w:r>
      <w:r w:rsidR="00972E2E">
        <w:t xml:space="preserve"> only briefly</w:t>
      </w:r>
      <w:r w:rsidR="00F30E3A">
        <w:t xml:space="preserve"> </w:t>
      </w:r>
      <w:r w:rsidR="00135C02">
        <w:t xml:space="preserve">touch on the neoclassical economic thought to </w:t>
      </w:r>
      <w:r w:rsidR="00F30E3A">
        <w:t xml:space="preserve">discuss Edgeworth’s invention of indifference curves for choices </w:t>
      </w:r>
      <w:r w:rsidR="00F30E3A">
        <w:fldChar w:fldCharType="begin" w:fldLock="1"/>
      </w:r>
      <w:r w:rsidR="00F30E3A">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rsidR="00F30E3A">
        <w:fldChar w:fldCharType="separate"/>
      </w:r>
      <w:r w:rsidR="00F30E3A" w:rsidRPr="00F30E3A">
        <w:rPr>
          <w:noProof/>
        </w:rPr>
        <w:t>(Edgeworth, 1881)</w:t>
      </w:r>
      <w:r w:rsidR="00F30E3A">
        <w:fldChar w:fldCharType="end"/>
      </w:r>
      <w:r w:rsidR="00135C02">
        <w:t xml:space="preserve"> and do not consider the prices of goods in the market</w:t>
      </w:r>
      <w:r w:rsidR="00F30E3A">
        <w:t>.</w:t>
      </w:r>
    </w:p>
    <w:p w14:paraId="650625BA" w14:textId="49249E9B" w:rsidR="007C08A2" w:rsidRDefault="00F30E3A">
      <w:r>
        <w:t xml:space="preserve">Two other </w:t>
      </w:r>
      <w:r w:rsidR="00135C02">
        <w:t>proponents</w:t>
      </w:r>
      <w:r>
        <w:t xml:space="preserve"> of th</w:t>
      </w:r>
      <w:r w:rsidR="00135C02">
        <w:t>is school</w:t>
      </w:r>
      <w:r>
        <w:t xml:space="preserve"> were William Stanley Jevons, who in 1862 (published </w:t>
      </w:r>
      <w:r>
        <w:fldChar w:fldCharType="begin" w:fldLock="1"/>
      </w:r>
      <w:r w:rsidR="00993EE2">
        <w:instrText>ADDIN CSL_CITATION {"citationItems":[{"id":"ITEM-1","itemData":{"abstract":"1. The following paper briefly describes the nature of a Theory of Economy which will reduce the main problem of this science to a mathematical form. Economy, indeed, being concerned with quantities, has always of necessity been mathematical in its subject, but the strict and general statement, and the easy comprehension of its quantitative laws has been prevented by a neglect of those powerful methods of expression which have been applied to most other sciences with so much success. It is not to be supposed, however, that because economy becomes mathematical in form, it will, therefore, become a matter of rigorous calculation. Its mathematical principles may become formal and certain, while its individual data remain as inexact as ever. 2. A true theory of economy can only be attained by going back to the great springs of human action --the feelings of pleasure and pain. A large part of such feelings arise periodically from the ordinary wants and desires of body or mind, and from the painful exertion we are continually prompted to undergo that we may satisfy our wants. Economy investigates the relations of ordinary pleasures and pains thus arising, and it has a wide enough field of inquiry. But economy does not treat of all human motives. There are motives nearly always present with us, arising from conscience, compassion, or from some moral or religious source, which economy cannot and does not pretend to treat. These will remain to us as outstanding and disturbing forces; they must be treated, if at all, by other appropriate branches of knowledge. 3. We always treat feelings as being capable of more or less, and I now hold that they are quantities capable of scientific treatment. Our estimation of the comparative amounts of feeling is performed in the act of choice or volition. Our choice of one course out of two or more proves that, in our estimation, this course promises the greatest balance of pleasure. When there is a large overbalancing force on one side, indeed, the estimation of the amount of this balance is no doubt very rude; but all the critical points of the theory will depend on that nice estimation of the opposing motives which we make when these are nearly equal, and we hesitate between them.","author":[{"dropping-particle":"","family":"Jevons","given":"William Stanley","non-dropping-particle":"","parse-names":false,"suffix":""}],"container-title":"Journal of the Royal Statistical Society","id":"ITEM-1","issue":"June","issued":{"date-parts":[["1866"]]},"page":"282-287","title":"Brief Account of a General Mathematical Theory of Political Economy","type":"article-journal"},"uris":["http://www.mendeley.com/documents/?uuid=392855c5-af53-407c-96de-1d864aedd1cd"]}],"mendeley":{"formattedCitation":"(Jevons, 1866)","manualFormatting":"Jevons, 1866)","plainTextFormattedCitation":"(Jevons, 1866)","previouslyFormattedCitation":"(Jevons, 1866)"},"properties":{"noteIndex":0},"schema":"https://github.com/citation-style-language/schema/raw/master/csl-citation.json"}</w:instrText>
      </w:r>
      <w:r>
        <w:fldChar w:fldCharType="separate"/>
      </w:r>
      <w:r w:rsidRPr="00F30E3A">
        <w:rPr>
          <w:noProof/>
        </w:rPr>
        <w:t>Jevons, 1866)</w:t>
      </w:r>
      <w:r>
        <w:fldChar w:fldCharType="end"/>
      </w:r>
      <w:r>
        <w:t xml:space="preserve"> outlined the idea of marginal utility as the d</w:t>
      </w:r>
      <w:r w:rsidR="00550922">
        <w:t>riving force behind prices, and L</w:t>
      </w:r>
      <w:r w:rsidR="00993EE2">
        <w:rPr>
          <w:rFonts w:cstheme="minorHAnsi"/>
        </w:rPr>
        <w:t>é</w:t>
      </w:r>
      <w:r w:rsidR="00550922">
        <w:t xml:space="preserve">on Walras, who took this idea </w:t>
      </w:r>
      <w:r w:rsidR="00972E2E">
        <w:t>further</w:t>
      </w:r>
      <w:r w:rsidR="00B80239">
        <w:t xml:space="preserve"> with his idea of a ‘general equilibrium’ </w:t>
      </w:r>
      <w:r w:rsidR="00993EE2">
        <w:fldChar w:fldCharType="begin" w:fldLock="1"/>
      </w:r>
      <w:r w:rsidR="00972E2E">
        <w:instrText>ADDIN CSL_CITATION {"citationItems":[{"id":"ITEM-1","itemData":{"author":[{"dropping-particle":"","family":"Walras","given":"Léon","non-dropping-particle":"","parse-names":false,"suffix":""}],"id":"ITEM-1","issued":{"date-parts":[["1874"]]},"number-of-pages":"620","title":"Elements of Pure Economics","type":"book"},"uris":["http://www.mendeley.com/documents/?uuid=f965d9e3-e358-47b5-921f-38f81f74ed23"]}],"mendeley":{"formattedCitation":"(Walras, 1874)","plainTextFormattedCitation":"(Walras, 1874)","previouslyFormattedCitation":"(Walras, 1874)"},"properties":{"noteIndex":0},"schema":"https://github.com/citation-style-language/schema/raw/master/csl-citation.json"}</w:instrText>
      </w:r>
      <w:r w:rsidR="00993EE2">
        <w:fldChar w:fldCharType="separate"/>
      </w:r>
      <w:r w:rsidR="00993EE2" w:rsidRPr="00993EE2">
        <w:rPr>
          <w:noProof/>
        </w:rPr>
        <w:t>(Walras, 1874)</w:t>
      </w:r>
      <w:r w:rsidR="00993EE2">
        <w:fldChar w:fldCharType="end"/>
      </w:r>
      <w:r w:rsidR="00B80239">
        <w:t>. In such an equilibrium, each subject maximises their utility while ‘clearing’ a market (i.e. there is no leftover supply or demand in the economic environment). Such a toy equilibrium is shown for two monkeys trading bananas and apples in figure a2.1, extending Edgeworth’s portrayal of indifference curves illustrated in figure 1.</w:t>
      </w:r>
      <w:r w:rsidR="00972E2E">
        <w:t xml:space="preserve"> </w:t>
      </w:r>
      <w:r w:rsidR="007C08A2">
        <w:t>The marginal utility of each good, represented by the indifference point, is the key contributor to each monkey’s demand for the two fruits provided which along with the initial allocation (the supply) will give rise to prices.</w:t>
      </w:r>
      <w:r w:rsidR="00292126">
        <w:t xml:space="preserve"> This role of marginal utility in determining the demand for goods is key to solving Adam Smith’s ‘diamond paradox’. Though the first unit of water supplied to a dehydrated person is worth more than the first unit of diamonds, in general water is plentiful, so an additional unit of diamonds contains more marginal utility</w:t>
      </w:r>
    </w:p>
    <w:p w14:paraId="0BAF4C47" w14:textId="59B734FA" w:rsidR="001C46DB" w:rsidRDefault="007C08A2">
      <w:r>
        <w:t xml:space="preserve">The capstone of Walras’ theory of value were extensions by </w:t>
      </w:r>
      <w:r w:rsidR="00972E2E">
        <w:t>Ken Arrow and Gerard Debreu in their 1954 model of general equilibria in markets</w:t>
      </w:r>
      <w:r w:rsidR="00AB5118">
        <w:t>,</w:t>
      </w:r>
      <w:r w:rsidR="00972E2E">
        <w:t xml:space="preserve"> for which the former won the Nobel prize in economics in 1972 </w:t>
      </w:r>
      <w:r w:rsidR="00972E2E">
        <w:fldChar w:fldCharType="begin" w:fldLock="1"/>
      </w:r>
      <w:r w:rsidR="003536BB">
        <w:instrText>ADDIN CSL_CITATION {"citationItems":[{"id":"ITEM-1","itemData":{"ISBN":"0305624042000","author":[{"dropping-particle":"","family":"Arrow","given":"Ken","non-dropping-particle":"","parse-names":false,"suffix":""},{"dropping-particle":"","family":"Debreu","given":"Gerard","non-dropping-particle":"","parse-names":false,"suffix":""}],"container-title":"Econometrica","id":"ITEM-1","issue":"3","issued":{"date-parts":[["1954"]]},"page":"265-290","title":"Existence of an Equilibrium for a Competitive Economy","type":"article-journal","volume":"22"},"uris":["http://www.mendeley.com/documents/?uuid=a645bfcb-567c-4efd-988c-f8019a8aaafd"]}],"mendeley":{"formattedCitation":"(Arrow &amp; Debreu, 1954)","plainTextFormattedCitation":"(Arrow &amp; Debreu, 1954)","previouslyFormattedCitation":"(Arrow &amp; Debreu, 1954)"},"properties":{"noteIndex":0},"schema":"https://github.com/citation-style-language/schema/raw/master/csl-citation.json"}</w:instrText>
      </w:r>
      <w:r w:rsidR="00972E2E">
        <w:fldChar w:fldCharType="separate"/>
      </w:r>
      <w:r w:rsidR="00972E2E" w:rsidRPr="00972E2E">
        <w:rPr>
          <w:noProof/>
        </w:rPr>
        <w:t>(Arrow &amp; Debreu, 1954)</w:t>
      </w:r>
      <w:r w:rsidR="00972E2E">
        <w:fldChar w:fldCharType="end"/>
      </w:r>
      <w:r w:rsidR="00972E2E">
        <w:t>.</w:t>
      </w:r>
      <w:r w:rsidR="00AB5118">
        <w:t xml:space="preserve"> Arrow and Debreu showed that</w:t>
      </w:r>
      <w:r w:rsidR="00442943">
        <w:t>, with some assumptions</w:t>
      </w:r>
      <w:r w:rsidR="000A7876">
        <w:t xml:space="preserve">, </w:t>
      </w:r>
      <w:r w:rsidR="00AB5118">
        <w:t>a competitive market should arrive at prices which balance the supply and demand</w:t>
      </w:r>
      <w:r w:rsidR="00442943">
        <w:t xml:space="preserve"> (i.e. the utility)</w:t>
      </w:r>
      <w:r w:rsidR="00AB5118">
        <w:t xml:space="preserve"> of goods</w:t>
      </w:r>
      <w:r w:rsidR="00204B69">
        <w:t xml:space="preserve"> across the entire range of products</w:t>
      </w:r>
      <w:r w:rsidR="00AB5118">
        <w:t>.</w:t>
      </w:r>
    </w:p>
    <w:p w14:paraId="62438990" w14:textId="05B70015" w:rsidR="004D2CCE" w:rsidRDefault="004A7B88">
      <w:r>
        <w:t>Overall, the neoclassical school of economics and their ‘marginal revolution’ showed that goods do not have an intrinsic worth</w:t>
      </w:r>
      <w:r w:rsidR="004D2CCE">
        <w:t xml:space="preserve">. </w:t>
      </w:r>
      <w:r w:rsidR="00203D67">
        <w:t>As</w:t>
      </w:r>
      <w:r w:rsidR="004D2CCE">
        <w:t xml:space="preserve"> Carl Menger</w:t>
      </w:r>
      <w:r w:rsidR="00203D67">
        <w:t xml:space="preserve"> stated</w:t>
      </w:r>
      <w:r w:rsidR="003536BB">
        <w:t xml:space="preserve"> </w:t>
      </w:r>
      <w:r w:rsidR="003536BB">
        <w:fldChar w:fldCharType="begin" w:fldLock="1"/>
      </w:r>
      <w:r w:rsidR="003E37E6">
        <w:instrText>ADDIN CSL_CITATION {"citationItems":[{"id":"ITEM-1","itemData":{"author":[{"dropping-particle":"","family":"Menger","given":"Carl","non-dropping-particle":"","parse-names":false,"suffix":""}],"id":"ITEM-1","issued":{"date-parts":[["1950"]]},"number-of-pages":"330","title":"Principles of Economics (trans. Dingwall and Hoselitz)","type":"book"},"uris":["http://www.mendeley.com/documents/?uuid=4744e64a-689c-4c7d-a5f6-e2b327116a7f"]}],"mendeley":{"formattedCitation":"(Menger, 1950)","plainTextFormattedCitation":"(Menger, 1950)","previouslyFormattedCitation":"(Menger, 1950)"},"properties":{"noteIndex":0},"schema":"https://github.com/citation-style-language/schema/raw/master/csl-citation.json"}</w:instrText>
      </w:r>
      <w:r w:rsidR="003536BB">
        <w:fldChar w:fldCharType="separate"/>
      </w:r>
      <w:r w:rsidR="003536BB" w:rsidRPr="003536BB">
        <w:rPr>
          <w:noProof/>
        </w:rPr>
        <w:t>(Menger, 1950)</w:t>
      </w:r>
      <w:r w:rsidR="003536BB">
        <w:fldChar w:fldCharType="end"/>
      </w:r>
      <w:r w:rsidR="003536BB">
        <w:t>:</w:t>
      </w:r>
    </w:p>
    <w:p w14:paraId="0B44D259" w14:textId="4E9BD50E" w:rsidR="00531F83" w:rsidRPr="003E37E6" w:rsidRDefault="004D2CCE" w:rsidP="004D2CCE">
      <w:pPr>
        <w:spacing w:line="240" w:lineRule="auto"/>
        <w:rPr>
          <w:i/>
          <w:iCs/>
        </w:rPr>
      </w:pPr>
      <w:r w:rsidRPr="003E37E6">
        <w:rPr>
          <w:rFonts w:ascii="Times New Roman" w:eastAsia="Times New Roman" w:hAnsi="Times New Roman" w:cs="Times New Roman"/>
          <w:i/>
          <w:iCs/>
          <w:sz w:val="24"/>
          <w:szCs w:val="24"/>
          <w:lang w:eastAsia="en-GB"/>
        </w:rPr>
        <w:t>“</w:t>
      </w:r>
      <w:r w:rsidRPr="004D2CCE">
        <w:rPr>
          <w:rFonts w:ascii="Times New Roman" w:eastAsia="Times New Roman" w:hAnsi="Times New Roman" w:cs="Times New Roman"/>
          <w:i/>
          <w:iCs/>
          <w:sz w:val="24"/>
          <w:szCs w:val="24"/>
          <w:lang w:eastAsia="en-GB"/>
        </w:rPr>
        <w:t xml:space="preserve">Value is thus nothing inherent in goods, no property of them, nor an independent thing existing by itself. It is a judgment economizing men make about the importance of the </w:t>
      </w:r>
      <w:proofErr w:type="gramStart"/>
      <w:r w:rsidRPr="004D2CCE">
        <w:rPr>
          <w:rFonts w:ascii="Times New Roman" w:eastAsia="Times New Roman" w:hAnsi="Times New Roman" w:cs="Times New Roman"/>
          <w:i/>
          <w:iCs/>
          <w:sz w:val="24"/>
          <w:szCs w:val="24"/>
          <w:lang w:eastAsia="en-GB"/>
        </w:rPr>
        <w:t>goods</w:t>
      </w:r>
      <w:r w:rsidR="003E37E6" w:rsidRPr="003E37E6">
        <w:rPr>
          <w:rFonts w:ascii="Times New Roman" w:eastAsia="Times New Roman" w:hAnsi="Times New Roman" w:cs="Times New Roman"/>
          <w:i/>
          <w:iCs/>
          <w:sz w:val="24"/>
          <w:szCs w:val="24"/>
          <w:lang w:eastAsia="en-GB"/>
        </w:rPr>
        <w:t xml:space="preserve"> </w:t>
      </w:r>
      <w:r w:rsidR="003E37E6" w:rsidRPr="003E37E6">
        <w:rPr>
          <w:i/>
          <w:iCs/>
        </w:rPr>
        <w:t> at</w:t>
      </w:r>
      <w:proofErr w:type="gramEnd"/>
      <w:r w:rsidR="003E37E6" w:rsidRPr="003E37E6">
        <w:rPr>
          <w:i/>
          <w:iCs/>
        </w:rPr>
        <w:t xml:space="preserve"> their disposal for the maintenance of their lives and well-being.</w:t>
      </w:r>
      <w:r w:rsidRPr="004D2CCE">
        <w:rPr>
          <w:rFonts w:ascii="Times New Roman" w:eastAsia="Times New Roman" w:hAnsi="Times New Roman" w:cs="Times New Roman"/>
          <w:i/>
          <w:iCs/>
          <w:sz w:val="24"/>
          <w:szCs w:val="24"/>
          <w:lang w:eastAsia="en-GB"/>
        </w:rPr>
        <w:t xml:space="preserve"> Hence value does not exist outside the consciousness of men</w:t>
      </w:r>
      <w:r w:rsidRPr="003E37E6">
        <w:rPr>
          <w:rFonts w:ascii="Times New Roman" w:eastAsia="Times New Roman" w:hAnsi="Times New Roman" w:cs="Times New Roman"/>
          <w:i/>
          <w:iCs/>
          <w:sz w:val="24"/>
          <w:szCs w:val="24"/>
          <w:lang w:eastAsia="en-GB"/>
        </w:rPr>
        <w:t>”</w:t>
      </w:r>
      <w:r w:rsidRPr="003E37E6">
        <w:rPr>
          <w:rStyle w:val="FootnoteReference"/>
          <w:rFonts w:ascii="Times New Roman" w:eastAsia="Times New Roman" w:hAnsi="Times New Roman" w:cs="Times New Roman"/>
          <w:sz w:val="24"/>
          <w:szCs w:val="24"/>
          <w:lang w:eastAsia="en-GB"/>
        </w:rPr>
        <w:footnoteReference w:id="3"/>
      </w:r>
      <w:r w:rsidR="004A7B88" w:rsidRPr="003E37E6">
        <w:t xml:space="preserve"> </w:t>
      </w:r>
    </w:p>
    <w:p w14:paraId="621734E9" w14:textId="60368BBC" w:rsidR="004002BF" w:rsidRDefault="00394136">
      <w:pPr>
        <w:rPr>
          <w:b/>
          <w:bCs/>
        </w:rPr>
      </w:pPr>
      <w:r>
        <w:rPr>
          <w:b/>
          <w:bCs/>
        </w:rPr>
        <w:t xml:space="preserve">Do we </w:t>
      </w:r>
      <w:r w:rsidR="00D33DA2">
        <w:rPr>
          <w:b/>
          <w:bCs/>
        </w:rPr>
        <w:t>like value or do we want it?</w:t>
      </w:r>
    </w:p>
    <w:p w14:paraId="3AC6DDE0" w14:textId="14B4C519" w:rsidR="003E37E6" w:rsidRDefault="00C87F05">
      <w:r>
        <w:t xml:space="preserve">The idea of utility as something internal to an individual’s mind remains a key tenet to economic thought. However, it raises the question of where </w:t>
      </w:r>
      <w:r w:rsidR="00C509DF">
        <w:t>this</w:t>
      </w:r>
      <w:r>
        <w:t xml:space="preserve"> utility arises from.</w:t>
      </w:r>
      <w:r w:rsidR="00124429">
        <w:t xml:space="preserve"> Throughout the main body of this thesis we dodge this question, regarding </w:t>
      </w:r>
      <w:r w:rsidR="00562F23">
        <w:t xml:space="preserve">animals as ‘utility maximising’ computers who will </w:t>
      </w:r>
      <w:r w:rsidR="00562F23">
        <w:lastRenderedPageBreak/>
        <w:t>seek out the greatest reward (defined as anything which reinforces the behaviour to receive said reward).</w:t>
      </w:r>
      <w:r w:rsidR="0050640C">
        <w:t xml:space="preserve"> For the study of whether and how monkeys perform auction tasks and the correlates of dopaminergic neuron firing during these tasks, this is a satisfactory definition. </w:t>
      </w:r>
      <w:r w:rsidR="003E37E6">
        <w:t xml:space="preserve">For this reason, experiments of reward use objective dimensions of reward, in this case, the magnitude of juice offered, but also commonly, the probability or even the quantified nutritional content </w:t>
      </w:r>
      <w:r w:rsidR="003E37E6">
        <w:fldChar w:fldCharType="begin" w:fldLock="1"/>
      </w:r>
      <w:r w:rsidR="00745FD5">
        <w:instrText>ADDIN CSL_CITATION {"citationItems":[{"id":"ITEM-1","itemData":{"DOI":"10.1002/hbm.22346","ISSN":"10970193","PMID":"24038614","abstract":"How fat is sensed in the mouth and represented in the brain is important in relation to the pleasantness of food, appetite control, and the design of foods that reproduce the mouthfeel of fat yet have low energy content. We show that the human somatosensory cortex (SSC) is involved in oral fat processing via functional coupling to the orbitofrontal cortex (OFC), where the pleasantness of fat texture is represented. Using functional MRI, we found that activity in SSC was more strongly correlated with the OFC during the consumption of a high fat food with a pleasant (vanilla) flavor compared to a low fat food with the same flavor. This effect was not found in control analyses using high fat foods with a less pleasant flavor or pleasant-flavored low fat foods. SSC activity correlated with subjective ratings of fattiness, but not of texture pleasantness or flavor pleasantness, indicating a representation that is not involved in hedonic processing per se. Across subjects, the magnitude of OFC-SSC coupling explained inter-individual variation in texture pleasantness evaluations. These findings extend known SSC functions to a specific role in the processing of pleasant-flavored oral fat, and identify a neural mechanism potentially important in appetite, overeating, and obesity. © 2013 Wiley Periodicals, Inc.","author":[{"dropping-particle":"","family":"Grabenhorst","given":"Fabian","non-dropping-particle":"","parse-names":false,"suffix":""},{"dropping-particle":"","family":"Rolls","given":"Edmund T.","non-dropping-particle":"","parse-names":false,"suffix":""}],"container-title":"Human Brain Mapping","id":"ITEM-1","issue":"6","issued":{"date-parts":[["2014"]]},"page":"2521-2530","title":"The representation of oral fat texture in the human somatosensory cortex","type":"article-journal","volume":"35"},"uris":["http://www.mendeley.com/documents/?uuid=c86e80a0-24f0-4a09-858a-df7cb1f47152"]}],"mendeley":{"formattedCitation":"(Grabenhorst &amp; Rolls, 2014)","plainTextFormattedCitation":"(Grabenhorst &amp; Rolls, 2014)","previouslyFormattedCitation":"(Grabenhorst &amp; Rolls, 2014)"},"properties":{"noteIndex":0},"schema":"https://github.com/citation-style-language/schema/raw/master/csl-citation.json"}</w:instrText>
      </w:r>
      <w:r w:rsidR="003E37E6">
        <w:fldChar w:fldCharType="separate"/>
      </w:r>
      <w:r w:rsidR="003E37E6" w:rsidRPr="003E37E6">
        <w:rPr>
          <w:noProof/>
        </w:rPr>
        <w:t>(Grabenhorst &amp; Rolls, 2014)</w:t>
      </w:r>
      <w:r w:rsidR="003E37E6">
        <w:fldChar w:fldCharType="end"/>
      </w:r>
      <w:r w:rsidR="003E37E6">
        <w:t xml:space="preserve">. </w:t>
      </w:r>
      <w:r w:rsidR="0089623B">
        <w:t>More certain and larger rewards containing necessary nutrients are dominant</w:t>
      </w:r>
      <w:r w:rsidR="00E048A0">
        <w:t>ly rewarding</w:t>
      </w:r>
      <w:r w:rsidR="0089623B">
        <w:t xml:space="preserve"> over those that are less likely to be delivered, are smaller, or do less to satisfy basic physiological needs.</w:t>
      </w:r>
      <w:r w:rsidR="00745FD5">
        <w:t xml:space="preserve"> We ‘want’ to maximise the rewards we obtain in the same way that a computer program ‘wants’ a higher score on a video game </w:t>
      </w:r>
      <w:r w:rsidR="00745FD5">
        <w:fldChar w:fldCharType="begin" w:fldLock="1"/>
      </w:r>
      <w:r w:rsidR="00A3346B">
        <w:instrText>ADDIN CSL_CITATION {"citationItems":[{"id":"ITEM-1","itemData":{"abstract":"We present the first deep learning model to successfully learn control policies directly from high-dimensional sensory input using reinforcement learning. The model is a convolutional neural network, trained with a variant of Q-learning, whose input is raw pixels and whose output is a value function estimating future rewards. We apply our method to seven Atari 2600 games from the Arcade Learning Environment, with no adjustment of the architecture or learning algorithm. We find that it outperforms all previous approaches on six of the games and surpasses a human expert on three of them.","author":[{"dropping-particle":"","family":"Mnih","given":"Volodymyr","non-dropping-particle":"","parse-names":false,"suffix":""},{"dropping-particle":"","family":"Kavukcuoglu","given":"Koray","non-dropping-particle":"","parse-names":false,"suffix":""},{"dropping-particle":"","family":"Silver","given":"David","non-dropping-particle":"","parse-names":false,"suffix":""},{"dropping-particle":"","family":"Graves","given":"Alex","non-dropping-particle":"","parse-names":false,"suffix":""},{"dropping-particle":"","family":"Antonoglou","given":"Ioannis","non-dropping-particle":"","parse-names":false,"suffix":""},{"dropping-particle":"","family":"Wierstra","given":"Daan","non-dropping-particle":"","parse-names":false,"suffix":""},{"dropping-particle":"","family":"Riedmiller","given":"Martin","non-dropping-particle":"","parse-names":false,"suffix":""}],"container-title":"arXiv","id":"ITEM-1","issued":{"date-parts":[["2013"]]},"page":"1-9","title":"Playing Atari with Deep Reinforcement Learning","type":"article-journal"},"uris":["http://www.mendeley.com/documents/?uuid=a8f85df0-6558-4903-928b-5aff8fd2ba3d"]}],"mendeley":{"formattedCitation":"(Mnih et al., 2013)","plainTextFormattedCitation":"(Mnih et al., 2013)","previouslyFormattedCitation":"(Mnih et al., 2013)"},"properties":{"noteIndex":0},"schema":"https://github.com/citation-style-language/schema/raw/master/csl-citation.json"}</w:instrText>
      </w:r>
      <w:r w:rsidR="00745FD5">
        <w:fldChar w:fldCharType="separate"/>
      </w:r>
      <w:r w:rsidR="00745FD5" w:rsidRPr="00745FD5">
        <w:rPr>
          <w:noProof/>
        </w:rPr>
        <w:t>(Mnih et al., 2013)</w:t>
      </w:r>
      <w:r w:rsidR="00745FD5">
        <w:fldChar w:fldCharType="end"/>
      </w:r>
      <w:r w:rsidR="00745FD5">
        <w:t xml:space="preserve"> or to win a game of chess </w:t>
      </w:r>
      <w:r w:rsidR="00745FD5">
        <w:fldChar w:fldCharType="begin" w:fldLock="1"/>
      </w:r>
      <w:r w:rsidR="00745FD5">
        <w:instrText>ADDIN CSL_CITATION {"citationItems":[{"id":"ITEM-1","itemData":{"DOI":"10.1126/science.aar6404","ISSN":"10959203","PMID":"30523106","abstract":"The game of chess is the longest-studied domain in the history of artificial intelligence. The strongest programs are based on a combination of sophisticated search techniques, domain-specific adaptations, and handcrafted evaluation functions that have been refined by human experts over several decades. By contrast, the AlphaGo Zero program recently achieved superhuman performance in the game of Go by reinforcement learning from self-play. In this paper, we generalize this approach into a single AlphaZero algorithm that can achieve superhuman performance in many challenging games. Starting from random play and given no domain knowledge except the game rules, AlphaZero convincingly defeated a world champion program in the games of chess and shogi (Japanese chess), as well as Go.","author":[{"dropping-particle":"","family":"Silver","given":"David","non-dropping-particle":"","parse-names":false,"suffix":""},{"dropping-particle":"","family":"Hubert","given":"Thomas","non-dropping-particle":"","parse-names":false,"suffix":""},{"dropping-particle":"","family":"Schrittwieser","given":"Julian","non-dropping-particle":"","parse-names":false,"suffix":""},{"dropping-particle":"","family":"Antonoglou","given":"Ioannis","non-dropping-particle":"","parse-names":false,"suffix":""},{"dropping-particle":"","family":"Lai","given":"Matthew","non-dropping-particle":"","parse-names":false,"suffix":""},{"dropping-particle":"","family":"Guez","given":"Arthur","non-dropping-particle":"","parse-names":false,"suffix":""},{"dropping-particle":"","family":"Lanctot","given":"Marc","non-dropping-particle":"","parse-names":false,"suffix":""},{"dropping-particle":"","family":"Sifre","given":"Laurent","non-dropping-particle":"","parse-names":false,"suffix":""},{"dropping-particle":"","family":"Kumaran","given":"Dharshan","non-dropping-particle":"","parse-names":false,"suffix":""},{"dropping-particle":"","family":"Graepel","given":"Thore","non-dropping-particle":"","parse-names":false,"suffix":""},{"dropping-particle":"","family":"Lillicrap","given":"Timothy","non-dropping-particle":"","parse-names":false,"suffix":""},{"dropping-particle":"","family":"Simonyan","given":"Karen","non-dropping-particle":"","parse-names":false,"suffix":""},{"dropping-particle":"","family":"Hassabis","given":"Demis","non-dropping-particle":"","parse-names":false,"suffix":""}],"container-title":"Science","id":"ITEM-1","issue":"6419","issued":{"date-parts":[["2018"]]},"page":"1140-1144","title":"A general reinforcement learning algorithm that masters chess, shogi, and Go through self-play","type":"article-journal","volume":"362"},"uris":["http://www.mendeley.com/documents/?uuid=0f88f041-00b3-4478-8d2d-e82d31a0b2e5"]}],"mendeley":{"formattedCitation":"(Silver et al., 2018)","plainTextFormattedCitation":"(Silver et al., 2018)","previouslyFormattedCitation":"(Silver et al., 2018)"},"properties":{"noteIndex":0},"schema":"https://github.com/citation-style-language/schema/raw/master/csl-citation.json"}</w:instrText>
      </w:r>
      <w:r w:rsidR="00745FD5">
        <w:fldChar w:fldCharType="separate"/>
      </w:r>
      <w:r w:rsidR="00745FD5" w:rsidRPr="00745FD5">
        <w:rPr>
          <w:noProof/>
        </w:rPr>
        <w:t>(Silver et al., 2018)</w:t>
      </w:r>
      <w:r w:rsidR="00745FD5">
        <w:fldChar w:fldCharType="end"/>
      </w:r>
      <w:r w:rsidR="00745FD5">
        <w:t>.</w:t>
      </w:r>
    </w:p>
    <w:p w14:paraId="6A316C5A" w14:textId="67E60B3B" w:rsidR="00160C55" w:rsidRDefault="003E37E6">
      <w:r>
        <w:t xml:space="preserve">However, in practice humans and other animals do not </w:t>
      </w:r>
      <w:r w:rsidR="00160C55">
        <w:t>spend their entire lives chasing rewards.</w:t>
      </w:r>
      <w:r w:rsidR="008D0A3C">
        <w:t xml:space="preserve"> When possible, that is, when the organism has accumulated enough of these base desires, </w:t>
      </w:r>
      <w:r w:rsidR="003149AD">
        <w:t>organisms can expend the temporal, social, or indeed monetary capital</w:t>
      </w:r>
      <w:r w:rsidR="009F07F8">
        <w:t>.</w:t>
      </w:r>
      <w:r w:rsidR="00160C55">
        <w:t xml:space="preserve"> Indeed, in the colloquial usage of the word ‘reward’, many of the experiences people list as the most rewarding (such as travelling and time spent with partners and family) </w:t>
      </w:r>
      <w:r w:rsidR="008D0A3C">
        <w:t xml:space="preserve">revolve around </w:t>
      </w:r>
      <w:r w:rsidR="003149AD">
        <w:t>experienc</w:t>
      </w:r>
      <w:r w:rsidR="002514FB">
        <w:t>ing pleasure unrelated to physiological needs</w:t>
      </w:r>
      <w:r w:rsidR="001F16E0">
        <w:t>.</w:t>
      </w:r>
      <w:r w:rsidR="00100263">
        <w:t xml:space="preserve"> Even when these ‘wanting’ and ‘liking’ overlap in a single good it is relatively clear that they are not the same thing. For instance, when viewing films at a cinema, the author regularly takes along a large bag of sugary sweets. Though he is able to space the first few out across many minutes and enjoys the pleasurable sweet taste of them, invariably by the end of the first hour</w:t>
      </w:r>
      <w:r w:rsidR="00F45D6A">
        <w:t xml:space="preserve"> or so</w:t>
      </w:r>
      <w:r w:rsidR="00100263">
        <w:t xml:space="preserve"> this is replaced by a craving to continue eating even as the ‘liking’ response has been diminished or perhaps even reversed.</w:t>
      </w:r>
      <w:r w:rsidR="001F16E0">
        <w:t xml:space="preserve"> </w:t>
      </w:r>
    </w:p>
    <w:p w14:paraId="53F3DEE6" w14:textId="0505584B" w:rsidR="00160C55" w:rsidRDefault="000235F3">
      <w:r>
        <w:t xml:space="preserve">This idea of ‘wanting’ and ‘liking’ being dissociable concepts first arose in neuroscience to explain the lack of impact of 6-OHDA dopaminergic neurons on rat’s ability to taste </w:t>
      </w:r>
      <w:r>
        <w:fldChar w:fldCharType="begin" w:fldLock="1"/>
      </w:r>
      <w:r w:rsidR="00E91268">
        <w:instrText>ADDIN CSL_CITATION {"citationItems":[{"id":"ITEM-1","itemData":{"DOI":"10.1037/0735-7044.103.1.36","ISSN":"07357044","PMID":"2493791","abstract":"The deficits in feeding and drinking that result from 6-hydroxydopamine (6-OHDA) lesions of the mesostriatal dopamine system are often explained using either sensorimotor arousal or anhedonia hypotheses. Sensorimotor arousal hypotheses posit that dopamine systems facilitate the capacity of sensory stimuli to activate any motor output. The anhedonia hypothesis suggests that dopamine systems amplify the hedonic impact of positive reinforcers. Natural palatability-dependent ingestive and aversive actions, which are emitted by rats to tastes, provide a sensitive test that can discriminate between these hypotheses: A reduction of sensorimotor arousal should diminish the ability of tastes to elicit any actions, whereas anhedonia should shift the balance between positive and aversive actions. To directly compare these two hypotheses, taste reactivity was examined in rats made aphagic by intranigral 6-OHDA injections. The results did not support either of these predictions: Taste reactivity was essentially unchanged. The persistence of normal taste reactivity argues against both an anhedonia and a global sensorimotor arousal interpretation and provides further evidence that the capacity for hedonics can be neurologically dissociated from motivated appetitive behavior. An incentive attribution hypothesis that can account for the results is discussed, along with its implications for a wide range of phenomena associated with dopamine depletion.","author":[{"dropping-particle":"","family":"Berridge","given":"Kent C.","non-dropping-particle":"","parse-names":false,"suffix":""},{"dropping-particle":"","family":"Venier","given":"Isabel L.","non-dropping-particle":"","parse-names":false,"suffix":""},{"dropping-particle":"","family":"Robinson","given":"Terry E.","non-dropping-particle":"","parse-names":false,"suffix":""}],"container-title":"Behavioral Neuroscience","id":"ITEM-1","issue":"1","issued":{"date-parts":[["1989"]]},"page":"36-45","title":"Taste Reactivity Analysis of 6-Hydroxydopamine-Induced Aphagia: Implications for Arousal and Anhedonia Hypotheses of Dopamine Function","type":"article-journal","volume":"103"},"uris":["http://www.mendeley.com/documents/?uuid=3b8359a9-3934-4d9c-a38c-b84c3eb81acc"]}],"mendeley":{"formattedCitation":"(Berridge et al., 1989)","plainTextFormattedCitation":"(Berridge et al., 1989)","previouslyFormattedCitation":"(Berridge et al., 1989)"},"properties":{"noteIndex":0},"schema":"https://github.com/citation-style-language/schema/raw/master/csl-citation.json"}</w:instrText>
      </w:r>
      <w:r>
        <w:fldChar w:fldCharType="separate"/>
      </w:r>
      <w:r w:rsidRPr="000235F3">
        <w:rPr>
          <w:noProof/>
        </w:rPr>
        <w:t>(Berridge et al., 1989)</w:t>
      </w:r>
      <w:r>
        <w:fldChar w:fldCharType="end"/>
      </w:r>
      <w:r w:rsidR="00690B3D">
        <w:rPr>
          <w:rStyle w:val="FootnoteReference"/>
        </w:rPr>
        <w:footnoteReference w:id="4"/>
      </w:r>
      <w:r>
        <w:t xml:space="preserve">. Though the lesions led to deficits in rats’ drinking and eating behaviour, they were still able to differentiate between tastes and retained their palate. </w:t>
      </w:r>
      <w:r w:rsidR="00067B17">
        <w:t xml:space="preserve">I.e. the rats still ‘liked’ the taste of pleasurable food sources, but no longer ‘wanted’ them (in contrast the </w:t>
      </w:r>
      <w:r w:rsidR="00067B17" w:rsidRPr="00067B17">
        <w:t>gluttonous</w:t>
      </w:r>
      <w:r w:rsidR="00067B17">
        <w:t xml:space="preserve"> author in the cinema). </w:t>
      </w:r>
      <w:r w:rsidR="00553B22">
        <w:t>Similar findings have been reported in humans where catecholamine treatments</w:t>
      </w:r>
      <w:r w:rsidR="00E91268">
        <w:t xml:space="preserve"> </w:t>
      </w:r>
      <w:r w:rsidR="00E91268">
        <w:fldChar w:fldCharType="begin" w:fldLock="1"/>
      </w:r>
      <w:r w:rsidR="00E91268">
        <w:instrText>ADDIN CSL_CITATION {"citationItems":[{"id":"ITEM-1","itemData":{"DOI":"10.1037/0735-7044.119.6.1619","ISSN":"07357044","PMID":"16420164","abstract":"The authors used the acute phenylalanine-tyrosine depletion (APTD) method to test the effect of transient catecholamine precursor depletion on cocaine craving, euphoria, and self-administration. Eight nondependent, nontreatment-seeking cocaine users self-administered 3 doses of cocaine (0.6, 1.5, 3.0 mg/kg, taken intranasally) following ingestion of (a) a nutritionally balanced amino acid mixture, (b) APTD, and (c) APTD followed by L-dopa/carbidopa (2 X 100 mg/25 mg). APTD decreased both cue-and cocaine-induced drug craving but not euphoria or self-administration. APTD + L-dopa also decreased drug craving, possibly reflecting the ability of L-dopa to transiently decrease dopamine cell filing. Together, these preliminary results suggest that the craving elicited by cocaine and cocaine cues is related to changes in catecholamine neurotransmission. Euphoria and the self-administration of freely available drugs by regular users, in comparison, might be better accounted for by other mechanisms. Copyright 2005 by the American Psychological Association.","author":[{"dropping-particle":"","family":"Leyton","given":"Marco","non-dropping-particle":"","parse-names":false,"suffix":""},{"dropping-particle":"","family":"Casey","given":"Kevin F.","non-dropping-particle":"","parse-names":false,"suffix":""},{"dropping-particle":"","family":"Delaney","given":"J. Scott","non-dropping-particle":"","parse-names":false,"suffix":""},{"dropping-particle":"","family":"Kolivakis","given":"Theodore","non-dropping-particle":"","parse-names":false,"suffix":""},{"dropping-particle":"","family":"Benkelfat","given":"Chawki","non-dropping-particle":"","parse-names":false,"suffix":""}],"container-title":"Behavioral Neuroscience","id":"ITEM-1","issue":"6","issued":{"date-parts":[["2005"]]},"page":"1619-1627","title":"Cocaine craving, euphoria, and self-administration: A preliminary study of the effect of catecholamine precursor depletion","type":"article-journal","volume":"119"},"uris":["http://www.mendeley.com/documents/?uuid=75e2c3cd-8652-4913-9e1d-65a133148d78"]}],"mendeley":{"formattedCitation":"(Leyton et al., 2005)","plainTextFormattedCitation":"(Leyton et al., 2005)","previouslyFormattedCitation":"(Leyton et al., 2005)"},"properties":{"noteIndex":0},"schema":"https://github.com/citation-style-language/schema/raw/master/csl-citation.json"}</w:instrText>
      </w:r>
      <w:r w:rsidR="00E91268">
        <w:fldChar w:fldCharType="separate"/>
      </w:r>
      <w:r w:rsidR="00E91268" w:rsidRPr="00E91268">
        <w:rPr>
          <w:noProof/>
        </w:rPr>
        <w:t>(Leyton et al., 2005)</w:t>
      </w:r>
      <w:r w:rsidR="00E91268">
        <w:fldChar w:fldCharType="end"/>
      </w:r>
      <w:r w:rsidR="00553B22">
        <w:t xml:space="preserve"> and </w:t>
      </w:r>
      <w:r w:rsidR="00553B22" w:rsidRPr="00DA405F">
        <w:rPr>
          <w:rFonts w:ascii="Times New Roman" w:eastAsiaTheme="minorEastAsia" w:hAnsi="Times New Roman" w:cs="Times New Roman"/>
          <w:iCs/>
          <w:color w:val="242729"/>
          <w:sz w:val="24"/>
          <w:szCs w:val="24"/>
          <w:shd w:val="clear" w:color="auto" w:fill="FFFFFF"/>
        </w:rPr>
        <w:t>pimozide</w:t>
      </w:r>
      <w:r w:rsidR="00553B22">
        <w:t xml:space="preserve"> application</w:t>
      </w:r>
      <w:r w:rsidR="00E91268">
        <w:t xml:space="preserve"> </w:t>
      </w:r>
      <w:r w:rsidR="00E91268">
        <w:fldChar w:fldCharType="begin" w:fldLock="1"/>
      </w:r>
      <w:r w:rsidR="00690B3D">
        <w:instrText>ADDIN CSL_CITATION {"citationItems":[{"id":"ITEM-1","itemData":{"DOI":"10.1016/S0091-3057(96)00240-7","ISSN":"00913057","PMID":"9050084","abstract":"Studies with laboratory animals have shown that dopamine antagonists block the rewarding and interoceptive effects of amphetamine. However, studies using dopamine antagonists with humans have not consistently shown blockade of amphetamine-induced euphoria. The unexpected results in humans may relate to the low doses of dopamine antagonists tested. The purpose of this study was to evaluate the effects of a relatively high acute dose (8 mg) of the dopamine receptor antagonist, pimozide, on responses to d-amphetamine (10 and 20 mg) in normal volunteers. Male and female volunteers (N: 12) attended six sessions on which they received pimozide or placebo (7:30 am) followed by d-amphetamine or placebo (9:30 am). Subjective, physiological and behavioral measures were obtained at baseline (7:15 am) and hourly over a 5 h period. d-Amphetamine and pimozide, when administered alone, produced significant and opposite effects on ratings of Elation and Vigor, as well as on psychomotor performance and physiological measures. However, there were few significant interactions between pimozide and d-amphetamine. Thus, pimozide failed to consistently antagonize the effects of d-amphetamine, even at doses of pimozide that had behavioral and physiological effects when administered alone. Possible reasons for lack of robust dopamine antagonism of amphetamine-induced euphoria in humans are discussed.","author":[{"dropping-particle":"","family":"Brauer","given":"Lisa H.","non-dropping-particle":"","parse-names":false,"suffix":""},{"dropping-particle":"","family":"Wit","given":"Harriet","non-dropping-particle":"De","parse-names":false,"suffix":""}],"container-title":"Pharmacology Biochemistry and Behavior","id":"ITEM-1","issue":"2","issued":{"date-parts":[["1997"]]},"page":"265-272","title":"High dose pimozide does not block amphetamine-induced euphoria in normal volunteers","type":"article-journal","volume":"56"},"uris":["http://www.mendeley.com/documents/?uuid=afd0a0ca-3386-4600-abd9-eeebd6d8cdec"]}],"mendeley":{"formattedCitation":"(Brauer &amp; De Wit, 1997)","plainTextFormattedCitation":"(Brauer &amp; De Wit, 1997)","previouslyFormattedCitation":"(Brauer &amp; De Wit, 1997)"},"properties":{"noteIndex":0},"schema":"https://github.com/citation-style-language/schema/raw/master/csl-citation.json"}</w:instrText>
      </w:r>
      <w:r w:rsidR="00E91268">
        <w:fldChar w:fldCharType="separate"/>
      </w:r>
      <w:r w:rsidR="00E91268" w:rsidRPr="00E91268">
        <w:rPr>
          <w:noProof/>
        </w:rPr>
        <w:t>(Brauer &amp; De Wit, 1997)</w:t>
      </w:r>
      <w:r w:rsidR="00E91268">
        <w:fldChar w:fldCharType="end"/>
      </w:r>
      <w:r w:rsidR="00553B22">
        <w:t xml:space="preserve"> reduce the craving for drugs such as cocaine and ecstasy, but not the euphoric feeling elicited when the drugs are taken.</w:t>
      </w:r>
    </w:p>
    <w:p w14:paraId="3DCC98D8" w14:textId="6B3D2AAC" w:rsidR="00C509DF" w:rsidRDefault="00145891">
      <w:r>
        <w:t xml:space="preserve">If it seems as though midbrain dopaminergic systems mediate the ‘wanting’ of potential utility (see also chapter 1 and discussions of hypersexuality and gambling disorders in treated Parkinson’s patients), which brain areas are implicated in ‘liking’ experienced utility? </w:t>
      </w:r>
      <w:r w:rsidR="006808AC">
        <w:t>Studies measuring hedonic impact via conserved facial reactions to pleasurable, sweet stimuli</w:t>
      </w:r>
      <w:r w:rsidR="00173C6B">
        <w:t xml:space="preserve"> involve the injection of either a control liquid or mimic of endogenous neurotransmitters to see the effect drugs have on an animal’s reaction to a stimulus. These studies have implicated the medial shell of the nucleus </w:t>
      </w:r>
      <w:proofErr w:type="spellStart"/>
      <w:r w:rsidR="00173C6B">
        <w:t>accumbens</w:t>
      </w:r>
      <w:proofErr w:type="spellEnd"/>
      <w:r w:rsidR="00173C6B">
        <w:t xml:space="preserve"> </w:t>
      </w:r>
      <w:r w:rsidR="00173C6B">
        <w:fldChar w:fldCharType="begin" w:fldLock="1"/>
      </w:r>
      <w:r w:rsidR="00173C6B">
        <w:instrText>ADDIN CSL_CITATION {"citationItems":[{"id":"ITEM-1","itemData":{"DOI":"10.1523/JNEUROSCI.2329-05.2005","ISSN":"02706474","PMID":"16354936","abstract":"μ-Opioid systems in the medial shell of the nucleus accumbens contribute to hedonic impact (\"liking\") for sweetness, food, and drug rewards. But does the entire medial shell generate reward hedonic impact? Or is there a specific localized site for opioid enhancement of hedonic \"liking\" in the medial shell? And how does enhanced taste hedonic impact relate to opioid-stimulated increases in food intake? Here, we used a functional mapping procedure based on microinjection Fos plumes to localize opioid substrates in the medial shell of the nucleus accumbens that cause enhanced \"liking\" reactions to sweet pleasure and that stimulate food intake. We mapped changes in affective orofacial reactions of \"liking\"/\"disliking\" elicited by sucrose or quinine tastes after D-Ala2-N-Me-Phe 4-Glycol5-enkephalin (DAMGO) microinjections in rats and compared hedonic increases to food intake stimulated at the same sites. Our maps indicate that opioid-induced increases in sucrose hedonic impact are generated by a localized cubic millimeter site in a rostrodorsal region of the medial shell. In contrast, all regions of the medial shell generated DAMGO-induced robust increases in eating behavior and food intake. Thus, our results identify a locus for opioid amplification of hedonic impact and reveal a distinction between opioid mechanisms of food intake and hedonic impact. Opioid circuits for stimulating food intake are widely distributed, whereas hedonic \"liking\" circuits are more tightly localized in the rostromedial shell of the nucleus accumbens. Copyright © 2005 Society for Neuroscience.","author":[{"dropping-particle":"","family":"Peciña","given":"Susana","non-dropping-particle":"","parse-names":false,"suffix":""},{"dropping-particle":"","family":"Berridge","given":"Kent C.","non-dropping-particle":"","parse-names":false,"suffix":""}],"container-title":"Journal of Neuroscience","id":"ITEM-1","issue":"50","issued":{"date-parts":[["2005"]]},"page":"11777-11786","title":"Hedonic hot spot in nucleus accumbens shell: Where do μ-Opioids cause increased hedonic impact of sweetness?","type":"article-journal","volume":"25"},"uris":["http://www.mendeley.com/documents/?uuid=2abbeb5e-c9ea-4224-9ff7-a42e8488bcab"]}],"mendeley":{"formattedCitation":"(Peciña &amp; Berridge, 2005)","plainTextFormattedCitation":"(Peciña &amp; Berridge, 2005)","previouslyFormattedCitation":"(Peciña &amp; Berridge, 2005)"},"properties":{"noteIndex":0},"schema":"https://github.com/citation-style-language/schema/raw/master/csl-citation.json"}</w:instrText>
      </w:r>
      <w:r w:rsidR="00173C6B">
        <w:fldChar w:fldCharType="separate"/>
      </w:r>
      <w:r w:rsidR="00173C6B" w:rsidRPr="00173C6B">
        <w:rPr>
          <w:noProof/>
        </w:rPr>
        <w:t>(Peciña &amp; Berridge, 2005)</w:t>
      </w:r>
      <w:r w:rsidR="00173C6B">
        <w:fldChar w:fldCharType="end"/>
      </w:r>
      <w:r w:rsidR="00173C6B">
        <w:t xml:space="preserve">, and the ventral palladium </w:t>
      </w:r>
      <w:r w:rsidR="00173C6B">
        <w:fldChar w:fldCharType="begin" w:fldLock="1"/>
      </w:r>
      <w:r w:rsidR="00173C6B">
        <w:instrText>ADDIN CSL_CITATION {"citationItems":[{"id":"ITEM-1","itemData":{"DOI":"10.1523/JNEUROSCI.1902-05.2005","ISSN":"02706474","PMID":"16177031","abstract":"How are natural reward functions such as sucrose hedonic impact and the motivation to eat generated within the ventral pallidum (VP)? Here, we used a novel microinjection and functional mapping procedure to neuroanatomically localize and neurochemically characterize substrates in the VP that mediate increases in eating behavior and enhancements in taste hedonic \"liking\" reactions. The μ-opioid agonist D-Ala2-N-Me- Phe4-Glycol5-enkephalin (DAMGO) caused increased hedonic \"liking\" reactions to sucrose only in the posterior VP but conversely suppressed \"liking\" reactions in the anterior and central VP. DAMGO similarly stimulated eating behavior in the posterior and central VP and suppressed eating in the anterior VP. In contrast, the GABAA antagonist bicuculline increased eating behavior at all VP sites, yet completely failed to enhance sucrose \"liking\" reactions at any site. These results reveal that VP generation of increased food reward and increased eating behavior is related but dissociable. Hedonic \"liking\" and eating are systematically mapped in a neuroanatomically and neurochemically interactive manner in the VP. Copyright © 2005 Society for Neuroscience.","author":[{"dropping-particle":"","family":"Smith","given":"Kyle S.","non-dropping-particle":"","parse-names":false,"suffix":""},{"dropping-particle":"","family":"Berridge","given":"Kent C.","non-dropping-particle":"","parse-names":false,"suffix":""}],"container-title":"Journal of Neuroscience","id":"ITEM-1","issue":"38","issued":{"date-parts":[["2005"]]},"page":"8637-8649","title":"The ventral pallidum and hedonic reward: Neurochemical maps of sucrose \"liking\" and food intake","type":"article-journal","volume":"25"},"uris":["http://www.mendeley.com/documents/?uuid=4362c820-3327-491b-8359-dbab5a614908"]}],"mendeley":{"formattedCitation":"(K. S. Smith &amp; Berridge, 2005)","plainTextFormattedCitation":"(K. S. Smith &amp; Berridge, 2005)","previouslyFormattedCitation":"(K. S. Smith &amp; Berridge, 2005)"},"properties":{"noteIndex":0},"schema":"https://github.com/citation-style-language/schema/raw/master/csl-citation.json"}</w:instrText>
      </w:r>
      <w:r w:rsidR="00173C6B">
        <w:fldChar w:fldCharType="separate"/>
      </w:r>
      <w:r w:rsidR="00173C6B" w:rsidRPr="00173C6B">
        <w:rPr>
          <w:noProof/>
        </w:rPr>
        <w:t>(K. S. Smith &amp; Berridge, 2005)</w:t>
      </w:r>
      <w:r w:rsidR="00173C6B">
        <w:fldChar w:fldCharType="end"/>
      </w:r>
      <w:r w:rsidR="00173C6B">
        <w:t xml:space="preserve"> in the ‘liking’ component of utility. Human lesions of the ventral palladium have also been known to lead to apathy </w:t>
      </w:r>
      <w:r w:rsidR="00173C6B">
        <w:fldChar w:fldCharType="begin" w:fldLock="1"/>
      </w:r>
      <w:r w:rsidR="00173C6B">
        <w:instrText>ADDIN CSL_CITATION {"citationItems":[{"id":"ITEM-1","itemData":{"DOI":"10.1016/j.cortex.2012.04.013","ISSN":"00109452","PMID":"22721958","abstract":"Apathy is a complex, behavioural disorder associated with reduced spontaneous initiation of actions. Although present in mild forms in some healthy people, it is a pathological state in conditions such as Alzheimer's and Parkinson's disease where it can have profoundly devastating effects. Understanding the mechanisms underlying apathy is therefore of urgent concern but this has proven difficult because widespread brain changes in neurodegenerative diseases make interpretation difficult and there is no good animal model.Here we present a very rare case with profound apathy following bilateral, focal lesions of the basal ganglia, with globus pallidus regions that connect with orbitofrontal (OFC) and ventromedial prefrontal cortex (VMPFC) particularly affected. Using two measures of oculomotor decision-making we show that apathy in this individual was associated with reward insensitivity. However, reward sensitivity could be established partially with levodopa and more effectively with a dopamine receptor agonist. Concomitantly, there was an improvement in the patient's clinical state, with reduced apathy, greater motivation and increased social interactions. These findings provide a model system to study a key neuropsychiatric disorder. They demonstrate that reward insensitivity associated with basal ganglia dysfunction might be an important component of apathy that can be reversed by dopaminergic modulation. © 2012 Elsevier Ltd.","author":[{"dropping-particle":"","family":"Adam","given":"Robert","non-dropping-particle":"","parse-names":false,"suffix":""},{"dropping-particle":"","family":"Leff","given":"Alexander","non-dropping-particle":"","parse-names":false,"suffix":""},{"dropping-particle":"","family":"Sinha","given":"Nihal","non-dropping-particle":"","parse-names":false,"suffix":""},{"dropping-particle":"","family":"Turner","given":"Christopher","non-dropping-particle":"","parse-names":false,"suffix":""},{"dropping-particle":"","family":"Bays","given":"Paul","non-dropping-particle":"","parse-names":false,"suffix":""},{"dropping-particle":"","family":"Draganski","given":"Bogdan","non-dropping-particle":"","parse-names":false,"suffix":""},{"dropping-particle":"","family":"Husain","given":"Masud","non-dropping-particle":"","parse-names":false,"suffix":""}],"container-title":"Cortex","id":"ITEM-1","issue":"5","issued":{"date-parts":[["2013"]]},"page":"1292-1303","publisher":"Elsevier Ltd","title":"Dopamine reverses reward insensitivity in apathy following globus pallidus lesions","type":"article-journal","volume":"49"},"uris":["http://www.mendeley.com/documents/?uuid=6cc0429d-a7c1-42a1-bae2-816ddb0bca76"]}],"mendeley":{"formattedCitation":"(Adam et al., 2013)","plainTextFormattedCitation":"(Adam et al., 2013)","previouslyFormattedCitation":"(Adam et al., 2013)"},"properties":{"noteIndex":0},"schema":"https://github.com/citation-style-language/schema/raw/master/csl-citation.json"}</w:instrText>
      </w:r>
      <w:r w:rsidR="00173C6B">
        <w:fldChar w:fldCharType="separate"/>
      </w:r>
      <w:r w:rsidR="00173C6B" w:rsidRPr="00173C6B">
        <w:rPr>
          <w:noProof/>
        </w:rPr>
        <w:t>(Adam et al., 2013)</w:t>
      </w:r>
      <w:r w:rsidR="00173C6B">
        <w:fldChar w:fldCharType="end"/>
      </w:r>
      <w:r w:rsidR="00173C6B">
        <w:t xml:space="preserve"> and anhedonia </w:t>
      </w:r>
      <w:r w:rsidR="00173C6B">
        <w:fldChar w:fldCharType="begin" w:fldLock="1"/>
      </w:r>
      <w:r w:rsidR="00375D27">
        <w:instrText>ADDIN CSL_CITATION {"citationItems":[{"id":"ITEM-1","itemData":{"DOI":"10.1176/appi.ajp.163.5.786","ISSN":"0002-953X","abstract":"Reference ID : 280; Reference Type : Editorial","author":[{"dropping-particle":"","family":"Miller","given":"Jeffrey","non-dropping-particle":"","parse-names":false,"suffix":""}],"container-title":"American Journal of Psychiatry","id":"ITEM-1","issue":"5","issued":{"date-parts":[["2006"]]},"page":"786","title":"Anhedonia After a Selective Bilateral Lesion of the Globus Pallidus","type":"article-journal","volume":"163"},"uris":["http://www.mendeley.com/documents/?uuid=0289d4d5-b2d2-42b5-ae6f-8e992ef1ab77"]}],"mendeley":{"formattedCitation":"(Miller, 2006)","plainTextFormattedCitation":"(Miller, 2006)","previouslyFormattedCitation":"(Miller, 2006)"},"properties":{"noteIndex":0},"schema":"https://github.com/citation-style-language/schema/raw/master/csl-citation.json"}</w:instrText>
      </w:r>
      <w:r w:rsidR="00173C6B">
        <w:fldChar w:fldCharType="separate"/>
      </w:r>
      <w:r w:rsidR="00173C6B" w:rsidRPr="00173C6B">
        <w:rPr>
          <w:noProof/>
        </w:rPr>
        <w:t>(Miller, 2006)</w:t>
      </w:r>
      <w:r w:rsidR="00173C6B">
        <w:fldChar w:fldCharType="end"/>
      </w:r>
      <w:r w:rsidR="00173C6B">
        <w:t xml:space="preserve"> supporting these findings.</w:t>
      </w:r>
    </w:p>
    <w:p w14:paraId="720D797D" w14:textId="38E33CCA" w:rsidR="00375D27" w:rsidRDefault="006D422D">
      <w:r>
        <w:t xml:space="preserve">An intrinsic problem of trying to measure this experienced utility (even more so than for our simple </w:t>
      </w:r>
      <w:r w:rsidR="006A34B1">
        <w:t>definition</w:t>
      </w:r>
      <w:r>
        <w:t xml:space="preserve"> of utility </w:t>
      </w:r>
      <w:r w:rsidR="00EB3200">
        <w:t xml:space="preserve">used </w:t>
      </w:r>
      <w:r>
        <w:t>in the main body of this text!) is that</w:t>
      </w:r>
      <w:r w:rsidR="00375D27">
        <w:t>,</w:t>
      </w:r>
      <w:r>
        <w:t xml:space="preserve"> by its nature</w:t>
      </w:r>
      <w:r w:rsidR="00375D27">
        <w:t>,</w:t>
      </w:r>
      <w:r>
        <w:t xml:space="preserve"> these are highly </w:t>
      </w:r>
      <w:r w:rsidR="0094766D">
        <w:t xml:space="preserve">subjective feelings. A bag of sweets can be rationally said to have more utility than a single sweet to the author as he enters a cinema foyer, but exactly how pleasurable is the act of chewing each? fMRI studies have attempted to study this by presenting a </w:t>
      </w:r>
      <w:proofErr w:type="gramStart"/>
      <w:r w:rsidR="0094766D">
        <w:t>stimuli</w:t>
      </w:r>
      <w:proofErr w:type="gramEnd"/>
      <w:r w:rsidR="0094766D">
        <w:t xml:space="preserve"> and </w:t>
      </w:r>
      <w:r w:rsidR="0094766D">
        <w:rPr>
          <w:i/>
          <w:iCs/>
        </w:rPr>
        <w:t>then</w:t>
      </w:r>
      <w:r w:rsidR="0094766D">
        <w:t xml:space="preserve"> modulating the experience of </w:t>
      </w:r>
      <w:r w:rsidR="0094766D">
        <w:lastRenderedPageBreak/>
        <w:t>it. For instance by ‘revealing’ that an odour comes from either expensive cheese or an unwashed body</w:t>
      </w:r>
      <w:r w:rsidR="00375D27">
        <w:t xml:space="preserve"> </w:t>
      </w:r>
      <w:r w:rsidR="00375D27">
        <w:fldChar w:fldCharType="begin" w:fldLock="1"/>
      </w:r>
      <w:r w:rsidR="005A7B4F">
        <w:instrText>ADDIN CSL_CITATION {"citationItems":[{"id":"ITEM-1","itemData":{"DOI":"10.1016/j.neuron.2005.04.021","ISSN":"08966273","PMID":"15944134","abstract":"We showed how cognitive, semantic information modulates olfactory representations in the brain by providing a visual word descriptor, \"cheddar cheese\" or \"body odor,\" during the delivery of a test odor (isovaleric acid with cheddar cheese flavor) and also during the delivery of clean air. Clean air labeled \"air\" was used as a control. Subjects rated the affective value of the test odor as significantly more unpleasant when labeled \"body odor\" than when labeled \"cheddar cheese.\" In an event-related fMRI design, we showed that the rostral anterior cingulate cortex (ACC)/medial orbitofrontal cortex (OFC) was significantly more activated by the test stimulus and by clean air when labeled \"cheddar cheese\" than when labeled \"body odor,\" and the activations were correlated with the pleasantness ratings. This cognitive modulation was also found for the test odor (but not for the clean air) in the amygdala bilaterally. Copyright ©2005 by Elsevier Inc.","author":[{"dropping-particle":"","family":"Araujo","given":"Ivan E.","non-dropping-particle":"De","parse-names":false,"suffix":""},{"dropping-particle":"","family":"Rolls","given":"Edmund T.","non-dropping-particle":"","parse-names":false,"suffix":""},{"dropping-particle":"","family":"Velazco","given":"Maria Inés","non-dropping-particle":"","parse-names":false,"suffix":""},{"dropping-particle":"","family":"Margot","given":"Christian","non-dropping-particle":"","parse-names":false,"suffix":""},{"dropping-particle":"","family":"Cayeux","given":"Isabelle","non-dropping-particle":"","parse-names":false,"suffix":""}],"container-title":"Neuron","id":"ITEM-1","issue":"4","issued":{"date-parts":[["2005"]]},"page":"671-679","title":"Cognitive modulation of olfactory processing","type":"article-journal","volume":"46"},"uris":["http://www.mendeley.com/documents/?uuid=bc6a74f8-4cb4-4125-ae64-ed0ff5008ccf"]}],"mendeley":{"formattedCitation":"(De Araujo et al., 2005)","plainTextFormattedCitation":"(De Araujo et al., 2005)","previouslyFormattedCitation":"(De Araujo et al., 2005)"},"properties":{"noteIndex":0},"schema":"https://github.com/citation-style-language/schema/raw/master/csl-citation.json"}</w:instrText>
      </w:r>
      <w:r w:rsidR="00375D27">
        <w:fldChar w:fldCharType="separate"/>
      </w:r>
      <w:r w:rsidR="00375D27" w:rsidRPr="00375D27">
        <w:rPr>
          <w:noProof/>
        </w:rPr>
        <w:t>(De Araujo et al., 2005)</w:t>
      </w:r>
      <w:r w:rsidR="00375D27">
        <w:fldChar w:fldCharType="end"/>
      </w:r>
      <w:r w:rsidR="0094766D">
        <w:t xml:space="preserve">, or that a glass of wine </w:t>
      </w:r>
      <w:r w:rsidR="00375D27">
        <w:t>is</w:t>
      </w:r>
      <w:r w:rsidR="0094766D">
        <w:t xml:space="preserve"> from a cheaper or more expensive vintage</w:t>
      </w:r>
      <w:r w:rsidR="00375D27">
        <w:t xml:space="preserve"> </w:t>
      </w:r>
      <w:r w:rsidR="00375D27">
        <w:fldChar w:fldCharType="begin" w:fldLock="1"/>
      </w:r>
      <w:r w:rsidR="00375D27">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transactions","type":"article-journal","volume":"27"},"uris":["http://www.mendeley.com/documents/?uuid=42f30921-b7af-4640-a1cc-3388530fa748"]}],"mendeley":{"formattedCitation":"(Plassmann et al., 2007)","plainTextFormattedCitation":"(Plassmann et al., 2007)","previouslyFormattedCitation":"(Plassmann et al., 2007)"},"properties":{"noteIndex":0},"schema":"https://github.com/citation-style-language/schema/raw/master/csl-citation.json"}</w:instrText>
      </w:r>
      <w:r w:rsidR="00375D27">
        <w:fldChar w:fldCharType="separate"/>
      </w:r>
      <w:r w:rsidR="00375D27" w:rsidRPr="00375D27">
        <w:rPr>
          <w:noProof/>
        </w:rPr>
        <w:t>(Plassmann et al., 2007)</w:t>
      </w:r>
      <w:r w:rsidR="00375D27">
        <w:fldChar w:fldCharType="end"/>
      </w:r>
      <w:r w:rsidR="0094766D">
        <w:t xml:space="preserve">. </w:t>
      </w:r>
      <w:r w:rsidR="00375D27">
        <w:t>In such studies, changes in the subject</w:t>
      </w:r>
      <w:r w:rsidR="00D7509F">
        <w:t>’</w:t>
      </w:r>
      <w:r w:rsidR="00375D27">
        <w:t xml:space="preserve">s experience of the stimuli </w:t>
      </w:r>
      <w:proofErr w:type="gramStart"/>
      <w:r w:rsidR="00375D27">
        <w:t>is</w:t>
      </w:r>
      <w:proofErr w:type="gramEnd"/>
      <w:r w:rsidR="00375D27">
        <w:t xml:space="preserve"> correlated with BOLD activity in the orbitofrontal cortex, suggesting a role for this in the ‘liking’ component of utility.</w:t>
      </w:r>
    </w:p>
    <w:p w14:paraId="3A528295" w14:textId="3BCF36F9" w:rsidR="00EE2317" w:rsidRDefault="00A0514C">
      <w:pPr>
        <w:rPr>
          <w:b/>
          <w:bCs/>
        </w:rPr>
      </w:pPr>
      <w:r>
        <w:t xml:space="preserve">We feel as though currently the evidence of these two streams of utility is unconvincing and yet to provide a compelling causal link between an experimental manipulation and the dissociation of ‘liking’ versus ‘wanting’ behaviours. We are, however, sympathetic to the difficulty of such experiments (how can one get an accurate behavioural report of an animal’s pleasure in the moment?) and </w:t>
      </w:r>
      <w:r w:rsidR="003E13B4">
        <w:t xml:space="preserve">to </w:t>
      </w:r>
      <w:r>
        <w:t>the idea that predicted and experienced utility as different. For instance, in human Parkinson’s patients treated with deep brain stimulation</w:t>
      </w:r>
      <w:r w:rsidR="005A7B4F">
        <w:t xml:space="preserve"> </w:t>
      </w:r>
      <w:r w:rsidR="00ED7625">
        <w:t>to recover dopaminergic activity</w:t>
      </w:r>
      <w:r>
        <w:t xml:space="preserve">, </w:t>
      </w:r>
      <w:r w:rsidR="005A7B4F">
        <w:t xml:space="preserve">it seems as though self-stimulation relieves a </w:t>
      </w:r>
      <w:r w:rsidR="005A7B4F">
        <w:rPr>
          <w:i/>
          <w:iCs/>
        </w:rPr>
        <w:t xml:space="preserve">pre-hoc </w:t>
      </w:r>
      <w:r w:rsidR="005A7B4F">
        <w:t xml:space="preserve">craving, rather than providing a pleasurable </w:t>
      </w:r>
      <w:r w:rsidR="005A7B4F">
        <w:rPr>
          <w:i/>
          <w:iCs/>
        </w:rPr>
        <w:t>post-hoc</w:t>
      </w:r>
      <w:r w:rsidR="005A7B4F">
        <w:t xml:space="preserve"> experience </w:t>
      </w:r>
      <w:r w:rsidR="005A7B4F">
        <w:fldChar w:fldCharType="begin" w:fldLock="1"/>
      </w:r>
      <w:r w:rsidR="00957E9E">
        <w:instrText>ADDIN CSL_CITATION {"citationItems":[{"id":"ITEM-1","itemData":{"DOI":"10.1186/2211-1522-1-3","ISSN":"2211-1522","abstract":"BACKGROUND: How is happiness generated via brain function in lucky individuals who have the good fortune to be happy? Conceptually, well-being or happiness has long been viewed as requiring at least two crucial ingredients: positive affect or pleasure (hedonia) and a sense of meaningfulness or engagement in life (eudaimonia). Science has recently made progress in relating hedonic pleasure to brain function, and so here we survey new insights into how brains generate the hedonic ingredient of sustained or frequent pleasure. We also briefly discuss how brains might connect hedonia states of pleasure to eudaimonia assessments of meaningfulness, and so create balanced states of positive well-being. RESULTS: Notable progress has been made in understanding brain bases of hedonic processing, producing insights into that brain systems that cause and/or code sensory pleasures. Progress has been facilitated by the recognition that hedonic brain mechanisms are largely shared between humans and other mammals, allowing application of conclusions from animal studies to a better understanding of human pleasures. In the past few years, evidence has also grown to indicate that for humans, brain mechanisms of higher abstract pleasures strongly overlap with more basic sensory pleasures. This overlap may provide a window into underlying brain circuitry that generates all pleasures, including even the hedonic quality of pervasive well-being that detaches from any particular sensation to apply to daily life in a more sustained or frequent fashion. CONCLUSIONS: Hedonic insights are applied to understanding human well-being here. Our strategy combines new findings on brain mediators that generate the pleasure of sensations with evidence that human brains use many of the same hedonic circuits from sensory pleasures to create the higher pleasures. This in turn may be linked to how hedonic systems interact with other brain systems relevant to self-understanding and the meaning components of eudaimonic happiness. Finally, we speculate a bit about how brains that generate hedonia states might link to eudaimonia assessments to create properly balanced states of positive well-being that approach true happiness.","author":[{"dropping-particle":"","family":"Berridge","given":"Kent C","non-dropping-particle":"","parse-names":false,"suffix":""},{"dropping-particle":"","family":"Kringelbach","given":"Morten L","non-dropping-particle":"","parse-names":false,"suffix":""}],"container-title":"Psychology of Well-Being: Theory, Research and Practice","id":"ITEM-1","issue":"1","issued":{"date-parts":[["2011"]]},"page":"3","title":"Building a neuroscience of pleasure and well-being","type":"article-journal","volume":"1"},"uris":["http://www.mendeley.com/documents/?uuid=d27b000c-a639-4fe1-b4db-973c6df77a8f"]}],"mendeley":{"formattedCitation":"(Berridge &amp; Kringelbach, 2011)","plainTextFormattedCitation":"(Berridge &amp; Kringelbach, 2011)","previouslyFormattedCitation":"(Berridge &amp; Kringelbach, 2011)"},"properties":{"noteIndex":0},"schema":"https://github.com/citation-style-language/schema/raw/master/csl-citation.json"}</w:instrText>
      </w:r>
      <w:r w:rsidR="005A7B4F">
        <w:fldChar w:fldCharType="separate"/>
      </w:r>
      <w:r w:rsidR="005A7B4F" w:rsidRPr="005A7B4F">
        <w:rPr>
          <w:noProof/>
        </w:rPr>
        <w:t>(Berridge &amp; Kringelbach, 2011)</w:t>
      </w:r>
      <w:r w:rsidR="005A7B4F">
        <w:fldChar w:fldCharType="end"/>
      </w:r>
      <w:r w:rsidR="005A7B4F">
        <w:t>.</w:t>
      </w:r>
    </w:p>
    <w:p w14:paraId="75479A52" w14:textId="30C8A475" w:rsidR="00D33DA2" w:rsidRDefault="00D33DA2">
      <w:pPr>
        <w:rPr>
          <w:b/>
          <w:bCs/>
        </w:rPr>
      </w:pPr>
      <w:r>
        <w:rPr>
          <w:b/>
          <w:bCs/>
        </w:rPr>
        <w:t>Where does value come from?</w:t>
      </w:r>
    </w:p>
    <w:p w14:paraId="1C59FAD7" w14:textId="53EBF6F9" w:rsidR="00D97030" w:rsidRDefault="00B81ABC">
      <w:r w:rsidRPr="00F435DE">
        <w:rPr>
          <w:i/>
          <w:iCs/>
        </w:rPr>
        <w:t>If</w:t>
      </w:r>
      <w:r>
        <w:t xml:space="preserve"> wanting and liking are separable, do </w:t>
      </w:r>
      <w:r w:rsidR="00D97030">
        <w:t xml:space="preserve">we value goods because we like them, or because we want them? A recent perspective by Keno </w:t>
      </w:r>
      <w:proofErr w:type="spellStart"/>
      <w:r w:rsidR="00D97030">
        <w:t>Juechems</w:t>
      </w:r>
      <w:proofErr w:type="spellEnd"/>
      <w:r w:rsidR="00D97030">
        <w:t xml:space="preserve"> and Chris Summerfield tends towards the latter- that the utility of a good or choice to an organism reflects the distance it closes between the animal’s current state (hunger, thirst, boredo</w:t>
      </w:r>
      <w:r w:rsidR="003C5235">
        <w:t>m, etc.</w:t>
      </w:r>
      <w:r w:rsidR="00D97030">
        <w:t>) and some multidimensional goal state</w:t>
      </w:r>
      <w:r w:rsidR="00A3346B">
        <w:t xml:space="preserve"> </w:t>
      </w:r>
      <w:r w:rsidR="00A3346B">
        <w:fldChar w:fldCharType="begin" w:fldLock="1"/>
      </w:r>
      <w:r w:rsidR="000235F3">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rsidR="00A3346B">
        <w:fldChar w:fldCharType="separate"/>
      </w:r>
      <w:r w:rsidR="00A3346B" w:rsidRPr="00A3346B">
        <w:rPr>
          <w:noProof/>
        </w:rPr>
        <w:t>(Juechems &amp; Summerfield, 2019)</w:t>
      </w:r>
      <w:r w:rsidR="00A3346B">
        <w:fldChar w:fldCharType="end"/>
      </w:r>
      <w:r w:rsidR="00D97030">
        <w:t xml:space="preserve">. </w:t>
      </w:r>
      <w:r w:rsidR="00957E9E">
        <w:t xml:space="preserve">Such models are ‘homeostatic’ in that they incentivise organisms to choose options as if taking the shortest distance back to </w:t>
      </w:r>
      <w:r w:rsidR="00D4587B">
        <w:t>an</w:t>
      </w:r>
      <w:r w:rsidR="00957E9E">
        <w:t xml:space="preserve"> ideal set point where basic needs are met </w:t>
      </w:r>
      <w:r w:rsidR="00957E9E">
        <w:fldChar w:fldCharType="begin" w:fldLock="1"/>
      </w:r>
      <w:r w:rsidR="008E32A3">
        <w:instrText>ADDIN CSL_CITATION {"citationItems":[{"id":"ITEM-1","itemData":{"DOI":"10.7554/eLife.04811","ISSN":"2050084X","PMID":"25457346","abstract":"Efficient regulation of internal homeostasis and defending it against perturbations requires adaptive behavioral strategies. However, the computational principles mediating the interaction between homeostatic and associative learning processes remain undefined. Here we use a definition of primary rewards, as outcomes fulfilling physiological needs, to build a normative theory showing how learning motivated behaviors may be modulated by internal states. Within this framework, we mathematically prove that seeking rewards is equivalent to the fundamental objective of physiological stability, defining the notion of physiological rationality of behavior. We further suggest a formal basis for temporal discounting of rewards by showing that discounting motivates animals to follow the shortest path in the space of physiological variables toward the desired setpoint. We also explain how animals learn to act predictively to preclude prospective homeostatic challenges, and several other behavioral patterns. Finally, we suggest a computational role for interaction between hypothalamus and the brain reward system.","author":[{"dropping-particle":"","family":"Keramati","given":"Mehdi","non-dropping-particle":"","parse-names":false,"suffix":""},{"dropping-particle":"","family":"Gutkin","given":"Boris","non-dropping-particle":"","parse-names":false,"suffix":""}],"container-title":"eLife","id":"ITEM-1","issued":{"date-parts":[["2014"]]},"page":"1-26","title":"Homeostatic reinforcement learning for integrating reward collection and physiological stability","type":"article-journal","volume":"3"},"uris":["http://www.mendeley.com/documents/?uuid=54e919f8-784c-46d5-954b-e1d0082f430a"]},{"id":"ITEM-2","itemData":{"author":[{"dropping-particle":"","family":"O'Reilly","given":"Randall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-2","issued":{"date-parts":[["2014"]]},"title":"Goal-Driven Cognition in the Brain: A Computational Framework","type":"article-journal"},"uris":["http://www.mendeley.com/documents/?uuid=50d0b9f6-b93b-404c-8c4c-b8fc224ee760"]}],"mendeley":{"formattedCitation":"(Keramati &amp; Gutkin, 2014; O’Reilly et al., 2014)","plainTextFormattedCitation":"(Keramati &amp; Gutkin, 2014; O’Reilly et al., 2014)","previouslyFormattedCitation":"(Keramati &amp; Gutkin, 2014; O’Reilly et al., 2014)"},"properties":{"noteIndex":0},"schema":"https://github.com/citation-style-language/schema/raw/master/csl-citation.json"}</w:instrText>
      </w:r>
      <w:r w:rsidR="00957E9E">
        <w:fldChar w:fldCharType="separate"/>
      </w:r>
      <w:r w:rsidR="009F0C90" w:rsidRPr="009F0C90">
        <w:rPr>
          <w:noProof/>
        </w:rPr>
        <w:t>(Keramati &amp; Gutkin, 2014; O’Reilly et al., 2014)</w:t>
      </w:r>
      <w:r w:rsidR="00957E9E">
        <w:fldChar w:fldCharType="end"/>
      </w:r>
      <w:r w:rsidR="00957E9E">
        <w:t>.</w:t>
      </w:r>
    </w:p>
    <w:p w14:paraId="04DD26F4" w14:textId="5E76566F" w:rsidR="00303676" w:rsidRPr="00CF29DF" w:rsidRDefault="00303676">
      <w:r>
        <w:t xml:space="preserve">The authors argue </w:t>
      </w:r>
      <w:r w:rsidR="004A4019">
        <w:t xml:space="preserve">that their model is supported by recent data in which participants must balance the accumulation of assets along two distinct dimensions (filling a zoo with virtual lions and elephants; </w:t>
      </w:r>
      <w:r w:rsidR="00CF29DF">
        <w:fldChar w:fldCharType="begin" w:fldLock="1"/>
      </w:r>
      <w:r w:rsidR="009A5AA7">
        <w:instrText>ADDIN CSL_CITATION {"citationItems":[{"id":"ITEM-1","itemData":{"DOI":"10.1016/j.neuron.2018.12.029","author":[{"dropping-particle":"","family":"Juechems","given":"Keno","non-dropping-particle":"","parse-names":false,"suffix":""},{"dropping-particle":"","family":"Balaguer","given":"Jan","non-dropping-particle":"","parse-names":false,"suffix":""},{"dropping-particle":"","family":"Castanon","given":"Santiago Herce","non-dropping-particle":"","parse-names":false,"suffix":""},{"dropping-particle":"","family":"Ruz","given":"Maria","non-dropping-particle":"","parse-names":false,"suffix":""},{"dropping-particle":"","family":"O'Reilly","given":"Jill X","non-dropping-particle":"","parse-names":false,"suffix":""},{"dropping-particle":"","family":"Summerfield","given":"Christopher","non-dropping-particle":"","parse-names":false,"suffix":""}],"container-title":"Neuron","id":"ITEM-1","issued":{"date-parts":[["2019"]]},"page":"977-987","title":"A Network for Computing Value Equilibrium in the Human Medial Prefrontal Cortex Article A Network for Computing Value Equilibrium in the Human Medial Prefrontal Cortex","type":"article-journal","volume":"101"},"uris":["http://www.mendeley.com/documents/?uuid=6b5d1394-dcac-4313-a1b5-48eebd7ed4fb"]}],"mendeley":{"formattedCitation":"(Juechems et al., 2019)","manualFormatting":"Juechems et al., 2019)","plainTextFormattedCitation":"(Juechems et al., 2019)","previouslyFormattedCitation":"(Juechems et al., 2019)"},"properties":{"noteIndex":0},"schema":"https://github.com/citation-style-language/schema/raw/master/csl-citation.json"}</w:instrText>
      </w:r>
      <w:r w:rsidR="00CF29DF">
        <w:fldChar w:fldCharType="separate"/>
      </w:r>
      <w:r w:rsidR="00CF29DF" w:rsidRPr="00CF29DF">
        <w:rPr>
          <w:noProof/>
        </w:rPr>
        <w:t>Juechems et al., 2019)</w:t>
      </w:r>
      <w:r w:rsidR="00CF29DF">
        <w:fldChar w:fldCharType="end"/>
      </w:r>
      <w:r w:rsidR="00CF29DF">
        <w:t>. The ventromedial prefrontal cortex</w:t>
      </w:r>
      <w:r w:rsidR="008E32A3">
        <w:rPr>
          <w:rStyle w:val="FootnoteReference"/>
        </w:rPr>
        <w:footnoteReference w:id="5"/>
      </w:r>
      <w:r w:rsidR="00CF29DF">
        <w:t xml:space="preserve"> tracked the progress towards redressing the balance of animals rather than the quantity of goods (animals) received </w:t>
      </w:r>
      <w:r w:rsidR="00CF29DF">
        <w:rPr>
          <w:i/>
          <w:iCs/>
        </w:rPr>
        <w:t>per se</w:t>
      </w:r>
      <w:r w:rsidR="00CF29DF">
        <w:t>.</w:t>
      </w:r>
      <w:r w:rsidR="00FE581E">
        <w:t xml:space="preserve"> Crucially, this highlights a weakness </w:t>
      </w:r>
      <w:r w:rsidR="000A2D8C">
        <w:t xml:space="preserve">in many economic </w:t>
      </w:r>
      <w:r w:rsidR="0044162F">
        <w:t>decision-making</w:t>
      </w:r>
      <w:r w:rsidR="000A2D8C">
        <w:t xml:space="preserve"> paradigms </w:t>
      </w:r>
      <w:proofErr w:type="gramStart"/>
      <w:r w:rsidR="000A2D8C">
        <w:t>where</w:t>
      </w:r>
      <w:proofErr w:type="gramEnd"/>
      <w:r w:rsidR="000A2D8C">
        <w:t xml:space="preserve"> </w:t>
      </w:r>
    </w:p>
    <w:p w14:paraId="7811121C" w14:textId="04538D43" w:rsidR="00805745" w:rsidRDefault="00805745">
      <w:r>
        <w:t xml:space="preserve">When studying human economic behaviour, we have access to a </w:t>
      </w:r>
      <w:r w:rsidR="0044162F">
        <w:t>well-studied</w:t>
      </w:r>
      <w:r>
        <w:t xml:space="preserve"> and characterised signal of value- the price of a good. We spend a whole chapter defining the BDM auction task in this thesis partly to </w:t>
      </w:r>
      <w:r w:rsidR="005356FD">
        <w:t xml:space="preserve">explain and </w:t>
      </w:r>
      <w:r>
        <w:t xml:space="preserve">justify its use, but </w:t>
      </w:r>
      <w:r w:rsidR="005356FD">
        <w:t xml:space="preserve">to make it clear that we can experimentally access this continuous signal. Even though this project only deals with one animal and one manipulation (the volume of the good offered) of one kind of good (liquid rewards), there is no inherent reason to limit the paradigm this way. </w:t>
      </w:r>
      <w:r w:rsidR="005B4C5E">
        <w:t>Early</w:t>
      </w:r>
      <w:r w:rsidR="005356FD">
        <w:t xml:space="preserve"> marginal revolutionists </w:t>
      </w:r>
      <w:r w:rsidR="005B4C5E">
        <w:t>realised that these prices arise as a function of the fungibility of goods, for instance, with our hypothetical monkeys trading fruits in figure a2.1.</w:t>
      </w:r>
    </w:p>
    <w:p w14:paraId="24FE85B3" w14:textId="631A5230" w:rsidR="00957E9E" w:rsidRDefault="005B4C5E">
      <w:r>
        <w:t>However, we do not think of such homeostatic models of reward as the universal solution to value that they have sometimes been portrayed as. In order to provide a weak criticism of these papers, a</w:t>
      </w:r>
      <w:r w:rsidR="00957E9E">
        <w:t xml:space="preserve"> stronger version of </w:t>
      </w:r>
      <w:r>
        <w:t>the</w:t>
      </w:r>
      <w:r w:rsidR="00957E9E">
        <w:t xml:space="preserve"> argument</w:t>
      </w:r>
      <w:r>
        <w:t xml:space="preserve"> for such models</w:t>
      </w:r>
      <w:r w:rsidR="00957E9E">
        <w:t xml:space="preserve"> can be expressed as follows </w:t>
      </w:r>
      <w:r w:rsidR="00957E9E">
        <w:fldChar w:fldCharType="begin" w:fldLock="1"/>
      </w:r>
      <w:r w:rsidR="00CF29DF">
        <w:instrText>ADDIN CSL_CITATION {"citationItems":[{"id":"ITEM-1","itemData":{"author":[{"dropping-particle":"","family":"Damasio","given":"Antonio","non-dropping-particle":"","parse-names":false,"suffix":""}],"container-title":"Neuroeconomics: Decision Making and the Brain: First Edition","id":"ITEM-1","issued":{"date-parts":[["2009"]]},"page":"209-214","title":"Neuroscience and the Emergence of Neuroeconomics","type":"chapter"},"uris":["http://www.mendeley.com/documents/?uuid=4766e766-6c7c-4a5c-b604-30a01ec3cfbb"]}],"mendeley":{"formattedCitation":"(Damasio, 2009)","plainTextFormattedCitation":"(Damasio, 2009)","previouslyFormattedCitation":"(Damasio, 2009)"},"properties":{"noteIndex":0},"schema":"https://github.com/citation-style-language/schema/raw/master/csl-citation.json"}</w:instrText>
      </w:r>
      <w:r w:rsidR="00957E9E">
        <w:fldChar w:fldCharType="separate"/>
      </w:r>
      <w:r w:rsidR="00957E9E" w:rsidRPr="00957E9E">
        <w:rPr>
          <w:noProof/>
        </w:rPr>
        <w:t>(Damasio, 2009)</w:t>
      </w:r>
      <w:r w:rsidR="00957E9E">
        <w:fldChar w:fldCharType="end"/>
      </w:r>
      <w:r w:rsidR="00957E9E">
        <w:t xml:space="preserve">: </w:t>
      </w:r>
    </w:p>
    <w:p w14:paraId="5CAEC12C" w14:textId="6C7EA329" w:rsidR="00C16438" w:rsidRDefault="00C16438" w:rsidP="00C16438">
      <w:pPr>
        <w:pStyle w:val="ListParagraph"/>
        <w:numPr>
          <w:ilvl w:val="0"/>
          <w:numId w:val="3"/>
        </w:numPr>
      </w:pPr>
      <w:r>
        <w:t>Evolution guides systems towards those which will maximise the proliferation of the genes that produce a ‘beneficial’ phenotype. For an e</w:t>
      </w:r>
      <w:r w:rsidR="00882822">
        <w:t>xample from perceptual decision making, the statistics of natural visual scenes carry consistent and meaningful deviations from random noise. Evolution has left mammals</w:t>
      </w:r>
      <w:r w:rsidR="009A5AA7">
        <w:t xml:space="preserve"> with a primary visual cortex whose neurons show </w:t>
      </w:r>
      <w:r w:rsidR="009A5AA7">
        <w:lastRenderedPageBreak/>
        <w:t xml:space="preserve">response properties that allow for the efficient coding of such scenes </w:t>
      </w:r>
      <w:r w:rsidR="009A5AA7">
        <w:fldChar w:fldCharType="begin" w:fldLock="1"/>
      </w:r>
      <w:r w:rsidR="008F2AA4">
        <w:instrText>ADDIN CSL_CITATION {"citationItems":[{"id":"ITEM-1","itemData":{"author":[{"dropping-particle":"","family":"Olshausen","given":"Bruno A","non-dropping-particle":"","parse-names":false,"suffix":""},{"dropping-particle":"","family":"Field","given":"David J","non-dropping-particle":"","parse-names":false,"suffix":""}],"container-title":"Vision Research","id":"ITEM-1","issue":"23","issued":{"date-parts":[["1997"]]},"page":"3311-3325","title":"Sparse coding with an overcomplete basis set: A strategy employed by V1?","type":"article-journal","volume":"37"},"uris":["http://www.mendeley.com/documents/?uuid=22559817-15ac-43d0-9529-5c30e348f7b0"]}],"mendeley":{"formattedCitation":"(Olshausen &amp; Field, 1997)","plainTextFormattedCitation":"(Olshausen &amp; Field, 1997)","previouslyFormattedCitation":"(Olshausen &amp; Field, 1997)"},"properties":{"noteIndex":0},"schema":"https://github.com/citation-style-language/schema/raw/master/csl-citation.json"}</w:instrText>
      </w:r>
      <w:r w:rsidR="009A5AA7">
        <w:fldChar w:fldCharType="separate"/>
      </w:r>
      <w:r w:rsidR="009A5AA7" w:rsidRPr="009A5AA7">
        <w:rPr>
          <w:noProof/>
        </w:rPr>
        <w:t>(Olshausen &amp; Field, 1997)</w:t>
      </w:r>
      <w:r w:rsidR="009A5AA7">
        <w:fldChar w:fldCharType="end"/>
      </w:r>
      <w:r w:rsidR="009A5AA7">
        <w:t>, which aids the animal in deciphering the true visual state of the world</w:t>
      </w:r>
      <w:r w:rsidR="008F2AA4">
        <w:rPr>
          <w:rStyle w:val="FootnoteReference"/>
        </w:rPr>
        <w:footnoteReference w:id="6"/>
      </w:r>
      <w:r w:rsidR="009A5AA7">
        <w:t xml:space="preserve">. For economic decisions, evolution should also ‘guide’ neuronal processes to accurately quantify the decision variable, in this case value rather than light reflections. </w:t>
      </w:r>
    </w:p>
    <w:p w14:paraId="086EB9ED" w14:textId="6351A6BA" w:rsidR="00882822" w:rsidRDefault="00B90A59" w:rsidP="00C16438">
      <w:pPr>
        <w:pStyle w:val="ListParagraph"/>
        <w:numPr>
          <w:ilvl w:val="0"/>
          <w:numId w:val="3"/>
        </w:numPr>
      </w:pPr>
      <w:r>
        <w:t xml:space="preserve">As far as the proliferation of a gene is concerned, a maximally ‘healthy’ organism is one that survives intact to adulthood and has the greatest chance of producing offspring that share its genetic code. From the gene’s point of view, the value of an object is the extent to which it can maintain its </w:t>
      </w:r>
      <w:r w:rsidR="00C93E27">
        <w:t>carrier’s</w:t>
      </w:r>
      <w:r>
        <w:t xml:space="preserve"> life</w:t>
      </w:r>
      <w:r>
        <w:rPr>
          <w:rStyle w:val="FootnoteReference"/>
        </w:rPr>
        <w:footnoteReference w:id="7"/>
      </w:r>
      <w:r>
        <w:t>.</w:t>
      </w:r>
    </w:p>
    <w:p w14:paraId="70155C5B" w14:textId="1473251A" w:rsidR="003F1DAB" w:rsidRDefault="003F1DAB" w:rsidP="00C16438">
      <w:pPr>
        <w:pStyle w:val="ListParagraph"/>
        <w:numPr>
          <w:ilvl w:val="0"/>
          <w:numId w:val="3"/>
        </w:numPr>
      </w:pPr>
      <w:r>
        <w:t xml:space="preserve">The mechanism evolution has granted animals to maintain themselves on the organism level is via homeostasis. Therefore, from the </w:t>
      </w:r>
      <w:r w:rsidR="0099720A">
        <w:t>point of view</w:t>
      </w:r>
      <w:r w:rsidR="0099720A">
        <w:rPr>
          <w:rStyle w:val="FootnoteReference"/>
        </w:rPr>
        <w:footnoteReference w:id="8"/>
      </w:r>
      <w:r w:rsidR="0099720A">
        <w:t xml:space="preserve"> of the evolutionary systems which over many generations formed the neuronal mechanisms by which animals produce economic decisions, value is tantamount to homeostatic balance.</w:t>
      </w:r>
    </w:p>
    <w:p w14:paraId="73DA8434" w14:textId="319F92B2" w:rsidR="00FF0E73" w:rsidRDefault="00010634">
      <w:r>
        <w:t>There is of course merit</w:t>
      </w:r>
      <w:r w:rsidR="00FE581E">
        <w:t xml:space="preserve"> to the idea that </w:t>
      </w:r>
      <w:r w:rsidR="001005D4">
        <w:t>some aspects of the value of goods come from biological necessity; to use the example from earlier in this section, a bottle of water is worth more to a critically dehydrated person than a diamond.</w:t>
      </w:r>
      <w:r w:rsidR="00FF0E73">
        <w:t xml:space="preserve"> It seems a stretch though to claim that just because an </w:t>
      </w:r>
      <w:proofErr w:type="gramStart"/>
      <w:r w:rsidR="00FF0E73">
        <w:t>organisms</w:t>
      </w:r>
      <w:proofErr w:type="gramEnd"/>
      <w:r w:rsidR="00FF0E73">
        <w:t xml:space="preserve"> valuation mechanisms evolved, that they are slaves to that evolution. </w:t>
      </w:r>
      <w:r w:rsidR="00132774">
        <w:t xml:space="preserve">To use an example from </w:t>
      </w:r>
      <w:proofErr w:type="spellStart"/>
      <w:r w:rsidR="00132774">
        <w:t>Juechems</w:t>
      </w:r>
      <w:proofErr w:type="spellEnd"/>
      <w:r w:rsidR="00132774">
        <w:t xml:space="preserve"> &amp; Summerfield, it is tenuous to suggest that navigating networks was a crucial driver of how humans plan movement between two points, but millions of people successfully take the London underground each year </w:t>
      </w:r>
      <w:r w:rsidR="003D2EFA">
        <w:t xml:space="preserve">using a nervous system that evolved over millions of year (c.f. the roughly 100 years the underground has been open; </w:t>
      </w:r>
      <w:r w:rsidR="003D2EFA">
        <w:fldChar w:fldCharType="begin" w:fldLock="1"/>
      </w:r>
      <w:r w:rsidR="00EC4585">
        <w:instrText>ADDIN CSL_CITATION {"citationItems":[{"id":"ITEM-1","itemData":{"DOI":"10.1016/j.neuron.2016.03.037","ISSN":"0896-6273","author":[{"dropping-particle":"","family":"Balaguer","given":"Jan","non-dropping-particle":"","parse-names":false,"suffix":""},{"dropping-particle":"","family":"Spiers","given":"Hugo","non-dropping-particle":"","parse-names":false,"suffix":""},{"dropping-particle":"","family":"Hassabis","given":"Demis","non-dropping-particle":"","parse-names":false,"suffix":""},{"dropping-particle":"","family":"Summerfield","given":"Christopher","non-dropping-particle":"","parse-names":false,"suffix":""}],"container-title":"Neuron","id":"ITEM-1","issue":"4","issued":{"date-parts":[["2016"]]},"page":"893-903","publisher":"The Authors","title":"Neural Mechanisms of Hierarchical Planning in a Virtual Subway Network","type":"article-journal","volume":"90"},"uris":["http://www.mendeley.com/documents/?uuid=187bb7c2-3493-46c9-9bf5-de6a1be34a3b"]}],"mendeley":{"formattedCitation":"(Balaguer et al., 2016)","manualFormatting":"Balaguer et al., 2016)","plainTextFormattedCitation":"(Balaguer et al., 2016)","previouslyFormattedCitation":"(Balaguer et al., 2016)"},"properties":{"noteIndex":0},"schema":"https://github.com/citation-style-language/schema/raw/master/csl-citation.json"}</w:instrText>
      </w:r>
      <w:r w:rsidR="003D2EFA">
        <w:fldChar w:fldCharType="separate"/>
      </w:r>
      <w:r w:rsidR="003D2EFA" w:rsidRPr="003D2EFA">
        <w:rPr>
          <w:noProof/>
        </w:rPr>
        <w:t>Balaguer et al., 2016)</w:t>
      </w:r>
      <w:r w:rsidR="003D2EFA">
        <w:fldChar w:fldCharType="end"/>
      </w:r>
      <w:r w:rsidR="003D2EFA">
        <w:rPr>
          <w:rStyle w:val="FootnoteReference"/>
        </w:rPr>
        <w:footnoteReference w:id="9"/>
      </w:r>
      <w:r w:rsidR="003D2EFA">
        <w:t xml:space="preserve">. </w:t>
      </w:r>
    </w:p>
    <w:p w14:paraId="68690512" w14:textId="2ACFB07D" w:rsidR="00F65FA5" w:rsidRPr="00EC4585" w:rsidRDefault="00FF0E73">
      <w:r>
        <w:t>S</w:t>
      </w:r>
      <w:r w:rsidR="001005D4">
        <w:t xml:space="preserve">uch caloric theories </w:t>
      </w:r>
      <w:r w:rsidR="00010634">
        <w:t xml:space="preserve">of </w:t>
      </w:r>
      <w:r w:rsidR="001005D4">
        <w:t>value</w:t>
      </w:r>
      <w:r>
        <w:t xml:space="preserve"> also</w:t>
      </w:r>
      <w:r w:rsidR="001005D4">
        <w:t xml:space="preserve"> </w:t>
      </w:r>
      <w:r w:rsidR="00010634">
        <w:t xml:space="preserve">preclude the idea of ‘liking’ aspect of choice we have discussed in the previous chapter. As earlier stated, we are not convinced that the ‘wanting’ vs. ‘liking’ paradigm is borne out by current evidence, but </w:t>
      </w:r>
      <w:r w:rsidR="00F65FA5">
        <w:fldChar w:fldCharType="begin" w:fldLock="1"/>
      </w:r>
      <w:r w:rsidR="003D2EFA">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2019)","manualFormatting":"Juechems &amp; Summerfield","plainTextFormattedCitation":"(Juechems &amp; Summerfield, 2019)","previouslyFormattedCitation":"(Juechems &amp; Summerfield, 2019)"},"properties":{"noteIndex":0},"schema":"https://github.com/citation-style-language/schema/raw/master/csl-citation.json"}</w:instrText>
      </w:r>
      <w:r w:rsidR="00F65FA5">
        <w:fldChar w:fldCharType="separate"/>
      </w:r>
      <w:r w:rsidR="00F65FA5" w:rsidRPr="00F65FA5">
        <w:rPr>
          <w:noProof/>
        </w:rPr>
        <w:t>Juechems &amp; Summerfield</w:t>
      </w:r>
      <w:r w:rsidR="00F65FA5">
        <w:fldChar w:fldCharType="end"/>
      </w:r>
      <w:r w:rsidR="00F65FA5">
        <w:t xml:space="preserve"> recognise that </w:t>
      </w:r>
      <w:r w:rsidR="00F65FA5">
        <w:rPr>
          <w:i/>
          <w:iCs/>
        </w:rPr>
        <w:t>“some behaviours are driven by ‘liking’ alone”</w:t>
      </w:r>
      <w:r w:rsidR="00F65FA5">
        <w:t>.</w:t>
      </w:r>
      <w:r w:rsidR="007A3292">
        <w:t xml:space="preserve"> </w:t>
      </w:r>
      <w:r>
        <w:t xml:space="preserve">Anecdotally, </w:t>
      </w:r>
      <w:r w:rsidR="00F94FD0">
        <w:t xml:space="preserve">the author has hobbies which contribute precisely zero balance to his homeostatic balance or reproductive fitness. As mentioned, the literature on purely hedonic activity is sparse, but see for instance that video game players will frequently miss meals (a surely lower physiological drive; </w:t>
      </w:r>
      <w:r w:rsidR="00D137B0">
        <w:fldChar w:fldCharType="begin" w:fldLock="1"/>
      </w:r>
      <w:r w:rsidR="00D137B0">
        <w:instrText>ADDIN CSL_CITATION {"citationItems":[{"id":"ITEM-1","itemData":{"DOI":"10.1016/j.addbeh.2018.02.031","ISSN":"0306-4603","author":[{"dropping-particle":"","family":"Deleuze","given":"Jory","non-dropping-particle":"","parse-names":false,"suffix":""},{"dropping-particle":"","family":"Long","given":"Jiang","non-dropping-particle":"","parse-names":false,"suffix":""},{"dropping-particle":"","family":"Liu","given":"Tie-qiao","non-dropping-particle":"","parse-names":false,"suffix":""},{"dropping-particle":"","family":"Maurage","given":"Pierre","non-dropping-particle":"","parse-names":false,"suffix":""},{"dropping-particle":"","family":"Billieux","given":"Joël","non-dropping-particle":"","parse-names":false,"suffix":""}],"container-title":"Addictive Behaviors","id":"ITEM-1","issue":"February","issued":{"date-parts":[["2018"]]},"page":"114-121","publisher":"Elsevier","title":"Addictive Behaviors Passion or addiction? Correlates of healthy versus problematic use of videogames in a sample of French-speaking regular players","type":"article-journal","volume":"82"},"uris":["http://www.mendeley.com/documents/?uuid=e2580bb4-118d-4ddb-9953-05673ceeacb2"]}],"mendeley":{"formattedCitation":"(Deleuze et al., 2018)","manualFormatting":"Deleuze et al., 2018)","plainTextFormattedCitation":"(Deleuze et al., 2018)","previouslyFormattedCitation":"(Deleuze et al., 2018)"},"properties":{"noteIndex":0},"schema":"https://github.com/citation-style-language/schema/raw/master/csl-citation.json"}</w:instrText>
      </w:r>
      <w:r w:rsidR="00D137B0">
        <w:fldChar w:fldCharType="separate"/>
      </w:r>
      <w:r w:rsidR="00D137B0" w:rsidRPr="00D137B0">
        <w:rPr>
          <w:noProof/>
        </w:rPr>
        <w:t>Deleuze et al., 2018)</w:t>
      </w:r>
      <w:r w:rsidR="00D137B0">
        <w:fldChar w:fldCharType="end"/>
      </w:r>
      <w:r w:rsidR="00F94FD0">
        <w:t xml:space="preserve"> and that participants will give themselves electric shocks</w:t>
      </w:r>
      <w:r w:rsidR="003B111B">
        <w:t xml:space="preserve">, which they had previously declared a disutility for in dollar amounts, when left alone with nothing else to do </w:t>
      </w:r>
      <w:r w:rsidR="00D137B0">
        <w:fldChar w:fldCharType="begin" w:fldLock="1"/>
      </w:r>
      <w:r w:rsidR="00600AAF">
        <w:instrText>ADDIN CSL_CITATION {"citationItems":[{"id":"ITEM-1","itemData":{"author":[{"dropping-particle":"","family":"Wilson","given":"Timothy D","non-dropping-particle":"","parse-names":false,"suffix":""},{"dropping-particle":"","family":"Reinhard","given":"David A","non-dropping-particle":"","parse-names":false,"suffix":""},{"dropping-particle":"","family":"Westgate","given":"Erin C","non-dropping-particle":"","parse-names":false,"suffix":""},{"dropping-particle":"","family":"Gilbert","given":"Daniel T","non-dropping-particle":"","parse-names":false,"suffix":""},{"dropping-particle":"","family":"Ellerbeck","given":"Nicole","non-dropping-particle":"","parse-names":false,"suffix":""},{"dropping-particle":"","family":"Hahn","given":"Cheryl","non-dropping-particle":"","parse-names":false,"suffix":""},{"dropping-particle":"","family":"Brown","given":"Casey L","non-dropping-particle":"","parse-names":false,"suffix":""},{"dropping-particle":"","family":"Shaked","given":"Adi","non-dropping-particle":"","parse-names":false,"suffix":""}],"container-title":"Science","id":"ITEM-1","issue":"6192","issued":{"date-parts":[["2014"]]},"page":"75-78","title":"Just think: The Challenges of the Disengaged Mind","type":"article-journal","volume":"345"},"uris":["http://www.mendeley.com/documents/?uuid=ddbab814-012e-4d9d-86b8-886108aeca49"]}],"mendeley":{"formattedCitation":"(Wilson et al., 2014)","plainTextFormattedCitation":"(Wilson et al., 2014)","previouslyFormattedCitation":"(Wilson et al., 2014)"},"properties":{"noteIndex":0},"schema":"https://github.com/citation-style-language/schema/raw/master/csl-citation.json"}</w:instrText>
      </w:r>
      <w:r w:rsidR="00D137B0">
        <w:fldChar w:fldCharType="separate"/>
      </w:r>
      <w:r w:rsidR="00D137B0" w:rsidRPr="00D137B0">
        <w:rPr>
          <w:noProof/>
        </w:rPr>
        <w:t>(Wilson et al., 2014)</w:t>
      </w:r>
      <w:r w:rsidR="00D137B0">
        <w:fldChar w:fldCharType="end"/>
      </w:r>
      <w:r w:rsidR="003B111B">
        <w:t>. These findings can of course be interpreted as ‘goal-directed’ (such video game players are usually classified as addicted; relieving boredom might be a basic physiological need for any conscious animal)</w:t>
      </w:r>
      <w:r w:rsidR="00EC4585">
        <w:t xml:space="preserve"> though </w:t>
      </w:r>
      <w:r w:rsidR="00600BFF">
        <w:t xml:space="preserve">in turn neuroscience should take care not to fully reverse the </w:t>
      </w:r>
      <w:r w:rsidR="00600BFF">
        <w:rPr>
          <w:i/>
          <w:iCs/>
        </w:rPr>
        <w:t>“reverse fundamental attribution error”</w:t>
      </w:r>
      <w:r w:rsidR="00600BFF">
        <w:t xml:space="preserve"> </w:t>
      </w:r>
      <w:r w:rsidR="00EC4585">
        <w:fldChar w:fldCharType="begin" w:fldLock="1"/>
      </w:r>
      <w:r w:rsidR="00D137B0">
        <w:instrText>ADDIN CSL_CITATION {"citationItems":[{"id":"ITEM-1","itemData":{"author":[{"dropping-particle":"","family":"O'Reilly","given":"Randall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-1","issued":{"date-parts":[["2014"]]},"title":"Goal-Driven Cognition in the Brain: A Computational Framework","type":"article-journal"},"uris":["http://www.mendeley.com/documents/?uuid=50d0b9f6-b93b-404c-8c4c-b8fc224ee760"]}],"mendeley":{"formattedCitation":"(O’Reilly et al., 2014)","plainTextFormattedCitation":"(O’Reilly et al., 2014)","previouslyFormattedCitation":"(O’Reilly et al., 2014)"},"properties":{"noteIndex":0},"schema":"https://github.com/citation-style-language/schema/raw/master/csl-citation.json"}</w:instrText>
      </w:r>
      <w:r w:rsidR="00EC4585">
        <w:fldChar w:fldCharType="separate"/>
      </w:r>
      <w:r w:rsidR="00D137B0" w:rsidRPr="00D137B0">
        <w:rPr>
          <w:noProof/>
        </w:rPr>
        <w:t>(O’Reilly et al., 2014)</w:t>
      </w:r>
      <w:r w:rsidR="00EC4585">
        <w:fldChar w:fldCharType="end"/>
      </w:r>
      <w:r w:rsidR="00EC4585">
        <w:t xml:space="preserve"> </w:t>
      </w:r>
      <w:r w:rsidR="00600BFF">
        <w:t>ant attribute</w:t>
      </w:r>
      <w:r w:rsidR="00EC4585">
        <w:t xml:space="preserve"> </w:t>
      </w:r>
      <w:r w:rsidR="00EC4585">
        <w:rPr>
          <w:i/>
          <w:iCs/>
        </w:rPr>
        <w:t xml:space="preserve">every </w:t>
      </w:r>
      <w:r w:rsidR="00EC4585">
        <w:t>behaviour to progress towards an organism’s goal.</w:t>
      </w:r>
    </w:p>
    <w:p w14:paraId="581496DC" w14:textId="547F370A" w:rsidR="005A1A1E" w:rsidRDefault="005A1A1E">
      <w:pPr>
        <w:rPr>
          <w:b/>
          <w:bCs/>
        </w:rPr>
      </w:pPr>
      <w:r>
        <w:rPr>
          <w:b/>
          <w:bCs/>
        </w:rPr>
        <w:t>Wh</w:t>
      </w:r>
      <w:r w:rsidR="00D23CD7">
        <w:rPr>
          <w:b/>
          <w:bCs/>
        </w:rPr>
        <w:t>y</w:t>
      </w:r>
      <w:r>
        <w:rPr>
          <w:b/>
          <w:bCs/>
        </w:rPr>
        <w:t xml:space="preserve"> do we study value?</w:t>
      </w:r>
    </w:p>
    <w:p w14:paraId="2BBE6254" w14:textId="3E278F91" w:rsidR="00D23CD7" w:rsidRDefault="00D23CD7">
      <w:r>
        <w:t>Our aim in this appendix is not to unduly criticise this ‘top down’ approach to identifying how and why animals are able to make economic decisions. On the contrary, as the field further characterises the responses of neurons and brain areas to evermore complex economic tasks, such papers which can tie together disparate findings will be crucial.</w:t>
      </w:r>
      <w:r w:rsidR="00805745">
        <w:t xml:space="preserve"> Indeed, while accurate characterisation of the cellular processes and computations which underlie valuation behaviour are and will be the bedrock </w:t>
      </w:r>
      <w:r w:rsidR="00805745">
        <w:lastRenderedPageBreak/>
        <w:t xml:space="preserve">of ‘neuroeconomics’, it seems unlikely to us that scientists go into the field </w:t>
      </w:r>
      <w:r w:rsidR="00882822">
        <w:t xml:space="preserve">purely for the technical challenge in untangling </w:t>
      </w:r>
      <w:r w:rsidR="008F171E">
        <w:t>cellular</w:t>
      </w:r>
      <w:r w:rsidR="00882822">
        <w:t xml:space="preserve"> signals.</w:t>
      </w:r>
    </w:p>
    <w:p w14:paraId="0EBB88DE" w14:textId="04E21E5B" w:rsidR="0061685A" w:rsidRDefault="001A1D18">
      <w:r>
        <w:t>A major appeal of ‘neuroeconomic’ research is that the</w:t>
      </w:r>
      <w:r w:rsidR="001A3F67">
        <w:t xml:space="preserve"> role of the dopaminergic system in operant conditioning is perhaps </w:t>
      </w:r>
      <w:r w:rsidR="003800F0">
        <w:t>the best understood example of abstract (i.e. not perceptual) processing in the brain</w:t>
      </w:r>
      <w:r w:rsidR="00C04A78">
        <w:rPr>
          <w:rStyle w:val="FootnoteReference"/>
        </w:rPr>
        <w:footnoteReference w:id="10"/>
      </w:r>
      <w:r w:rsidR="003800F0">
        <w:t xml:space="preserve">. As </w:t>
      </w:r>
      <w:r w:rsidR="003800F0">
        <w:rPr>
          <w:i/>
          <w:iCs/>
        </w:rPr>
        <w:t xml:space="preserve">“the poster child for Marr’s three levels of scientific enquiry” </w:t>
      </w:r>
      <w:r w:rsidR="003800F0">
        <w:rPr>
          <w:i/>
          <w:iCs/>
        </w:rPr>
        <w:fldChar w:fldCharType="begin" w:fldLock="1"/>
      </w:r>
      <w:r w:rsidR="00C04A78">
        <w:rPr>
          <w:i/>
          <w:iCs/>
        </w:rPr>
        <w:instrText>ADDIN CSL_CITATION {"citationItems":[{"id":"ITEM-1","itemData":{"DOI":"10.1016/j.cobeha.2016.04.005","ISSN":"2352-1546","author":[{"dropping-particle":"","family":"Niv","given":"Yael","non-dropping-particle":"","parse-names":false,"suffix":""},{"dropping-particle":"","family":"Langdon","given":"Angela","non-dropping-particle":"","parse-names":false,"suffix":""}],"container-title":"Current Opinion in Behavioral Sciences","id":"ITEM-1","issued":{"date-parts":[["2016"]]},"page":"67-73","publisher":"Elsevier Ltd","title":"Reinforcement learning with Marr","type":"article-journal","volume":"11"},"uris":["http://www.mendeley.com/documents/?uuid=1940ee3b-23e8-481b-ac35-3fab8e67745f"]}],"mendeley":{"formattedCitation":"(Niv &amp; Langdon, 2016)","plainTextFormattedCitation":"(Niv &amp; Langdon, 2016)","previouslyFormattedCitation":"(Niv &amp; Langdon, 2016)"},"properties":{"noteIndex":0},"schema":"https://github.com/citation-style-language/schema/raw/master/csl-citation.json"}</w:instrText>
      </w:r>
      <w:r w:rsidR="003800F0">
        <w:rPr>
          <w:i/>
          <w:iCs/>
        </w:rPr>
        <w:fldChar w:fldCharType="separate"/>
      </w:r>
      <w:r w:rsidR="003800F0" w:rsidRPr="003800F0">
        <w:rPr>
          <w:iCs/>
          <w:noProof/>
        </w:rPr>
        <w:t>(Niv &amp; Langdon, 2016)</w:t>
      </w:r>
      <w:r w:rsidR="003800F0">
        <w:rPr>
          <w:i/>
          <w:iCs/>
        </w:rPr>
        <w:fldChar w:fldCharType="end"/>
      </w:r>
      <w:r w:rsidR="00BD6D7F">
        <w:t xml:space="preserve">, </w:t>
      </w:r>
      <w:r w:rsidR="00D854BB">
        <w:t xml:space="preserve">we have a </w:t>
      </w:r>
      <w:proofErr w:type="spellStart"/>
      <w:r w:rsidR="00BD6D7F">
        <w:t>well defined</w:t>
      </w:r>
      <w:proofErr w:type="spellEnd"/>
      <w:r w:rsidR="00BD6D7F">
        <w:t xml:space="preserve"> algorithmic (see equations 1.7 and 1.8)</w:t>
      </w:r>
      <w:r w:rsidR="00D854BB">
        <w:t xml:space="preserve"> </w:t>
      </w:r>
      <w:r w:rsidR="009625F7">
        <w:t>description</w:t>
      </w:r>
      <w:r w:rsidR="00D854BB">
        <w:t xml:space="preserve"> of how a biological agent should update their beliefs about a rewarding (or aversive) stimuli with functions that are somewhat mirrored in the behaviour of midbrain dopaminergic neurons (the ‘implementational’ level).</w:t>
      </w:r>
      <w:r w:rsidR="00721CEE">
        <w:t xml:space="preserve"> As progress continues along these levels in economics/computer science and neurobiology, articles which seek to define what the goal of such systems could or should be will be a vital companion.</w:t>
      </w:r>
    </w:p>
    <w:p w14:paraId="13A12EC9" w14:textId="172FFEA5" w:rsidR="001A1D18" w:rsidRDefault="001A1D18">
      <w:r>
        <w:t xml:space="preserve">We also feel that when making this progress, the field could </w:t>
      </w:r>
    </w:p>
    <w:p w14:paraId="7029947A" w14:textId="3387F7DA" w:rsidR="002077EA" w:rsidRPr="00E213A6" w:rsidRDefault="002077EA">
      <w:pPr>
        <w:rPr>
          <w:b/>
          <w:bCs/>
          <w:color w:val="FF0000"/>
        </w:rPr>
      </w:pPr>
      <w:r w:rsidRPr="00E213A6">
        <w:rPr>
          <w:b/>
          <w:bCs/>
          <w:color w:val="FF0000"/>
        </w:rPr>
        <w:t>[perceptual stuff]</w:t>
      </w:r>
    </w:p>
    <w:p w14:paraId="5CD3268B" w14:textId="4057B7F9" w:rsidR="002C4904" w:rsidRPr="00E213A6" w:rsidRDefault="002C4904" w:rsidP="002C4904">
      <w:pPr>
        <w:pStyle w:val="ListParagraph"/>
        <w:numPr>
          <w:ilvl w:val="0"/>
          <w:numId w:val="1"/>
        </w:numPr>
        <w:rPr>
          <w:b/>
          <w:bCs/>
          <w:color w:val="FF0000"/>
        </w:rPr>
      </w:pPr>
      <w:r w:rsidRPr="00E213A6">
        <w:rPr>
          <w:b/>
          <w:bCs/>
          <w:color w:val="FF0000"/>
        </w:rPr>
        <w:t xml:space="preserve">Vision studies of deep </w:t>
      </w:r>
      <w:proofErr w:type="spellStart"/>
      <w:r w:rsidRPr="00E213A6">
        <w:rPr>
          <w:b/>
          <w:bCs/>
          <w:color w:val="FF0000"/>
        </w:rPr>
        <w:t>rl</w:t>
      </w:r>
      <w:proofErr w:type="spellEnd"/>
      <w:r w:rsidRPr="00E213A6">
        <w:rPr>
          <w:b/>
          <w:bCs/>
          <w:color w:val="FF0000"/>
        </w:rPr>
        <w:t xml:space="preserve"> to maximally trigger visual cortex -&gt; can we do the same for dopamine? What about efficient coding? – Niv opinion piece 2015</w:t>
      </w:r>
    </w:p>
    <w:p w14:paraId="023C4296" w14:textId="77777777" w:rsidR="002C4904" w:rsidRDefault="002C4904"/>
    <w:p w14:paraId="721391DB" w14:textId="7CCF7B43" w:rsidR="002077EA" w:rsidRDefault="002077EA">
      <w:r>
        <w:t>In this appendix we have also explored the idea that the value and organism places upon a reward can be split into differentiable ‘wanting’ and ‘liking’ aspects. If this hypothesis is true, it raises the question of whether and how these two aspects are represented differently within the brain</w:t>
      </w:r>
      <w:r w:rsidR="00771FE6">
        <w:t>.</w:t>
      </w:r>
      <w:r>
        <w:t xml:space="preserve"> </w:t>
      </w:r>
      <w:r w:rsidR="00771FE6">
        <w:t>I</w:t>
      </w:r>
      <w:r>
        <w:t>n the context of this thesis,</w:t>
      </w:r>
      <w:r w:rsidR="00771FE6">
        <w:t xml:space="preserve"> do dopaminergic neurons encode both ‘wanting’ and ‘liking’ and if so, are they encoded within the same neurons, or a separate population?</w:t>
      </w:r>
      <w:r w:rsidR="002C4904">
        <w:t xml:space="preserve"> </w:t>
      </w:r>
    </w:p>
    <w:p w14:paraId="3EB8B499" w14:textId="0A919139" w:rsidR="00223477" w:rsidRPr="00E213A6" w:rsidRDefault="00223477">
      <w:pPr>
        <w:rPr>
          <w:b/>
          <w:bCs/>
          <w:color w:val="FF0000"/>
        </w:rPr>
      </w:pPr>
      <w:r w:rsidRPr="00E213A6">
        <w:rPr>
          <w:b/>
          <w:bCs/>
          <w:color w:val="FF0000"/>
        </w:rPr>
        <w:t>Topological maps and phasic liking vs tonic motivation?</w:t>
      </w:r>
    </w:p>
    <w:p w14:paraId="10098718" w14:textId="55CB6851" w:rsidR="00882822" w:rsidRPr="003D4EA8" w:rsidRDefault="00AA1A1D">
      <w:r>
        <w:t xml:space="preserve">Finally, if the multiple facets of subjective value we have posited in this chapter </w:t>
      </w:r>
      <w:r>
        <w:rPr>
          <w:i/>
          <w:iCs/>
        </w:rPr>
        <w:t>do</w:t>
      </w:r>
      <w:r>
        <w:t xml:space="preserve"> exist, there are interesting implications about how our understanding of the brain generating values can inform policies. </w:t>
      </w:r>
      <w:r w:rsidR="003D4EA8">
        <w:t xml:space="preserve">If we could accurately measure the </w:t>
      </w:r>
      <w:r w:rsidR="003D4EA8">
        <w:rPr>
          <w:i/>
          <w:iCs/>
        </w:rPr>
        <w:t xml:space="preserve">“wanting-liking gap” </w:t>
      </w:r>
      <w:r w:rsidR="003D4EA8">
        <w:rPr>
          <w:i/>
          <w:iCs/>
        </w:rPr>
        <w:fldChar w:fldCharType="begin" w:fldLock="1"/>
      </w:r>
      <w:r w:rsidR="003800F0">
        <w:rPr>
          <w:i/>
          <w:iCs/>
        </w:rPr>
        <w:instrText>ADDIN CSL_CITATION {"citationItems":[{"id":"ITEM-1","itemData":{"author":[{"dropping-particle":"","family":"Camerer","given":"Colin E","non-dropping-particle":"","parse-names":false,"suffix":""}],"container-title":"University of Chicago Law Review","id":"ITEM-1","issue":"1","issued":{"date-parts":[["2006"]]},"page":"87-110","title":"Wanting, Liking, and Learning: Neuroscience and Paternalism","type":"article-journal","volume":"73"},"uris":["http://www.mendeley.com/documents/?uuid=204a38fa-35a8-4927-a604-754ad54ea19b"]}],"mendeley":{"formattedCitation":"(Camerer, 2006)","plainTextFormattedCitation":"(Camerer, 2006)","previouslyFormattedCitation":"(Camerer, 2006)"},"properties":{"noteIndex":0},"schema":"https://github.com/citation-style-language/schema/raw/master/csl-citation.json"}</w:instrText>
      </w:r>
      <w:r w:rsidR="003D4EA8">
        <w:rPr>
          <w:i/>
          <w:iCs/>
        </w:rPr>
        <w:fldChar w:fldCharType="separate"/>
      </w:r>
      <w:r w:rsidR="003D4EA8" w:rsidRPr="003D4EA8">
        <w:rPr>
          <w:iCs/>
          <w:noProof/>
        </w:rPr>
        <w:t>(Camerer, 2006)</w:t>
      </w:r>
      <w:r w:rsidR="003D4EA8">
        <w:rPr>
          <w:i/>
          <w:iCs/>
        </w:rPr>
        <w:fldChar w:fldCharType="end"/>
      </w:r>
      <w:r w:rsidR="003D4EA8">
        <w:rPr>
          <w:i/>
          <w:iCs/>
        </w:rPr>
        <w:t xml:space="preserve"> </w:t>
      </w:r>
      <w:r w:rsidR="003D4EA8">
        <w:t xml:space="preserve">then should government ‘nudge’ their citizens towards what their citizens ‘like’ versus that which they ‘want’. For instance, the author enjoys being fit and doing exercise, but typically finds themselves at about midday wanting cheeseburgers for lunch. In reinforcement learning, agents are usually trained with the policy to maximise some quantitative measure (e.g. points on a video game). </w:t>
      </w:r>
    </w:p>
    <w:p w14:paraId="38A560F4" w14:textId="2016B6BB" w:rsidR="00155D81" w:rsidRPr="00E213A6" w:rsidRDefault="00E213A6" w:rsidP="00600AAF">
      <w:pPr>
        <w:rPr>
          <w:b/>
          <w:bCs/>
          <w:color w:val="FF0000"/>
        </w:rPr>
      </w:pPr>
      <w:r w:rsidRPr="00E213A6">
        <w:rPr>
          <w:b/>
          <w:bCs/>
          <w:color w:val="FF0000"/>
        </w:rPr>
        <w:t>Can value studies help build wanting vs. liking RL agents? – dayan paper 2001ish</w:t>
      </w:r>
    </w:p>
    <w:p w14:paraId="3963C732" w14:textId="42FFDF53" w:rsidR="00CC421B" w:rsidRDefault="00167746">
      <w:r>
        <w:rPr>
          <w:noProof/>
        </w:rPr>
        <w:lastRenderedPageBreak/>
        <mc:AlternateContent>
          <mc:Choice Requires="wps">
            <w:drawing>
              <wp:anchor distT="45720" distB="45720" distL="114300" distR="114300" simplePos="0" relativeHeight="251659264" behindDoc="0" locked="0" layoutInCell="1" allowOverlap="1" wp14:anchorId="367B7E6E" wp14:editId="28D82389">
                <wp:simplePos x="0" y="0"/>
                <wp:positionH relativeFrom="margin">
                  <wp:align>right</wp:align>
                </wp:positionH>
                <wp:positionV relativeFrom="paragraph">
                  <wp:posOffset>4434840</wp:posOffset>
                </wp:positionV>
                <wp:extent cx="5707380" cy="2377440"/>
                <wp:effectExtent l="0" t="0" r="2667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77440"/>
                        </a:xfrm>
                        <a:prstGeom prst="rect">
                          <a:avLst/>
                        </a:prstGeom>
                        <a:solidFill>
                          <a:srgbClr val="FFFFFF"/>
                        </a:solidFill>
                        <a:ln w="9525">
                          <a:solidFill>
                            <a:srgbClr val="000000"/>
                          </a:solidFill>
                          <a:miter lim="800000"/>
                          <a:headEnd/>
                          <a:tailEnd/>
                        </a:ln>
                      </wps:spPr>
                      <wps:txbx>
                        <w:txbxContent>
                          <w:p w14:paraId="73C4DA83" w14:textId="61CA8ECF" w:rsidR="005356FD" w:rsidRPr="00B76B1F" w:rsidRDefault="005356FD">
                            <w:r>
                              <w:rPr>
                                <w:b/>
                                <w:bCs/>
                              </w:rPr>
                              <w:t xml:space="preserve">Figure a2.1 Neoclassical theories of utility provide the framework for Walrasian equilibria. </w:t>
                            </w:r>
                            <w:r>
                              <w:t>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Walrasian equilibrium can be found where the monkeys trade the good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7B7E6E" id="_x0000_t202" coordsize="21600,21600" o:spt="202" path="m,l,21600r21600,l21600,xe">
                <v:stroke joinstyle="miter"/>
                <v:path gradientshapeok="t" o:connecttype="rect"/>
              </v:shapetype>
              <v:shape id="Text Box 2" o:spid="_x0000_s1026" type="#_x0000_t202" style="position:absolute;margin-left:398.2pt;margin-top:349.2pt;width:449.4pt;height:187.2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">
                <v:textbox>
                  <w:txbxContent>
                    <w:p w14:paraId="73C4DA83" w14:textId="61CA8ECF" w:rsidR="005356FD" w:rsidRPr="00B76B1F" w:rsidRDefault="005356FD">
                      <w:r>
                        <w:rPr>
                          <w:b/>
                          <w:bCs/>
                        </w:rPr>
                        <w:t xml:space="preserve">Figure a2.1 Neoclassical theories of utility provide the framework for </w:t>
                      </w:r>
                      <w:proofErr w:type="spellStart"/>
                      <w:r>
                        <w:rPr>
                          <w:b/>
                          <w:bCs/>
                        </w:rPr>
                        <w:t>Walrasian</w:t>
                      </w:r>
                      <w:proofErr w:type="spellEnd"/>
                      <w:r>
                        <w:rPr>
                          <w:b/>
                          <w:bCs/>
                        </w:rPr>
                        <w:t xml:space="preserve"> equilibria. </w:t>
                      </w:r>
                      <w:r>
                        <w:t xml:space="preserve">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t>
                      </w:r>
                      <w:proofErr w:type="spellStart"/>
                      <w:r>
                        <w:t>Walrasian</w:t>
                      </w:r>
                      <w:proofErr w:type="spellEnd"/>
                      <w:r>
                        <w:t xml:space="preserve"> equilibrium can be found where the monkeys trade the good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v:textbox>
                <w10:wrap type="square" anchorx="margin"/>
              </v:shape>
            </w:pict>
          </mc:Fallback>
        </mc:AlternateContent>
      </w:r>
      <w:r>
        <w:rPr>
          <w:noProof/>
        </w:rPr>
        <w:drawing>
          <wp:anchor distT="0" distB="0" distL="114300" distR="114300" simplePos="0" relativeHeight="251660288" behindDoc="1" locked="0" layoutInCell="1" allowOverlap="1" wp14:anchorId="08E399B9" wp14:editId="745CF999">
            <wp:simplePos x="0" y="0"/>
            <wp:positionH relativeFrom="margin">
              <wp:align>left</wp:align>
            </wp:positionH>
            <wp:positionV relativeFrom="paragraph">
              <wp:posOffset>0</wp:posOffset>
            </wp:positionV>
            <wp:extent cx="6069330" cy="4213860"/>
            <wp:effectExtent l="0" t="0" r="7620" b="0"/>
            <wp:wrapTight wrapText="bothSides">
              <wp:wrapPolygon edited="0">
                <wp:start x="0" y="0"/>
                <wp:lineTo x="0" y="21483"/>
                <wp:lineTo x="21559" y="21483"/>
                <wp:lineTo x="21559" y="0"/>
                <wp:lineTo x="0" y="0"/>
              </wp:wrapPolygon>
            </wp:wrapTight>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069330" cy="4213860"/>
                    </a:xfrm>
                    <a:prstGeom prst="rect">
                      <a:avLst/>
                    </a:prstGeom>
                  </pic:spPr>
                </pic:pic>
              </a:graphicData>
            </a:graphic>
          </wp:anchor>
        </w:drawing>
      </w:r>
    </w:p>
    <w:p w14:paraId="4D06839C" w14:textId="0DF3D5B6" w:rsidR="0038664F" w:rsidRDefault="0038664F" w:rsidP="0038664F"/>
    <w:p w14:paraId="5E5A5905" w14:textId="5659C20B" w:rsidR="0038664F" w:rsidRDefault="0038664F" w:rsidP="0038664F">
      <w:pPr>
        <w:tabs>
          <w:tab w:val="left" w:pos="3493"/>
        </w:tabs>
      </w:pPr>
      <w:r>
        <w:tab/>
      </w:r>
    </w:p>
    <w:p w14:paraId="4C75F6B0" w14:textId="77777777" w:rsidR="0038664F" w:rsidRDefault="0038664F">
      <w:r>
        <w:br w:type="page"/>
      </w:r>
    </w:p>
    <w:p w14:paraId="4ABD2C4F" w14:textId="6B0378D0" w:rsidR="0038664F" w:rsidRDefault="0038664F" w:rsidP="0038664F">
      <w:pPr>
        <w:tabs>
          <w:tab w:val="left" w:pos="3493"/>
        </w:tabs>
      </w:pPr>
      <w:r>
        <w:lastRenderedPageBreak/>
        <w:t xml:space="preserve">Figure 2 – ask </w:t>
      </w:r>
      <w:proofErr w:type="spellStart"/>
      <w:r>
        <w:t>summerfield</w:t>
      </w:r>
      <w:proofErr w:type="spellEnd"/>
      <w:r>
        <w:t xml:space="preserve"> lab for permission for figure 2</w:t>
      </w:r>
      <w:r w:rsidR="00237273">
        <w:t xml:space="preserve"> from where does value come from</w:t>
      </w:r>
    </w:p>
    <w:p w14:paraId="39045571" w14:textId="7F3EA4E4" w:rsidR="003D4EA8" w:rsidRPr="0038664F" w:rsidRDefault="001A15BD" w:rsidP="0038664F">
      <w:pPr>
        <w:tabs>
          <w:tab w:val="left" w:pos="3493"/>
        </w:tabs>
      </w:pPr>
      <w:r>
        <w:rPr>
          <w:noProof/>
        </w:rPr>
        <mc:AlternateContent>
          <mc:Choice Requires="wps">
            <w:drawing>
              <wp:anchor distT="45720" distB="45720" distL="114300" distR="114300" simplePos="0" relativeHeight="251662336" behindDoc="0" locked="0" layoutInCell="1" allowOverlap="1" wp14:anchorId="6C1A184A" wp14:editId="130614CF">
                <wp:simplePos x="0" y="0"/>
                <wp:positionH relativeFrom="margin">
                  <wp:align>right</wp:align>
                </wp:positionH>
                <wp:positionV relativeFrom="paragraph">
                  <wp:posOffset>3404870</wp:posOffset>
                </wp:positionV>
                <wp:extent cx="5707380" cy="2377440"/>
                <wp:effectExtent l="0" t="0" r="26670" b="2286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77440"/>
                        </a:xfrm>
                        <a:prstGeom prst="rect">
                          <a:avLst/>
                        </a:prstGeom>
                        <a:solidFill>
                          <a:srgbClr val="FFFFFF"/>
                        </a:solidFill>
                        <a:ln w="9525">
                          <a:solidFill>
                            <a:srgbClr val="000000"/>
                          </a:solidFill>
                          <a:miter lim="800000"/>
                          <a:headEnd/>
                          <a:tailEnd/>
                        </a:ln>
                      </wps:spPr>
                      <wps:txbx>
                        <w:txbxContent>
                          <w:p w14:paraId="6C2B1E49" w14:textId="15567627" w:rsidR="001A15BD" w:rsidRPr="00B76B1F" w:rsidRDefault="001A15BD" w:rsidP="001A15BD">
                            <w:r>
                              <w:rPr>
                                <w:b/>
                                <w:bCs/>
                              </w:rPr>
                              <w:t xml:space="preserve">Figure a2.2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A184A" id="_x0000_s1027" type="#_x0000_t202" style="position:absolute;margin-left:398.2pt;margin-top:268.1pt;width:449.4pt;height:187.2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">
                <v:textbox>
                  <w:txbxContent>
                    <w:p w14:paraId="6C2B1E49" w14:textId="15567627" w:rsidR="001A15BD" w:rsidRPr="00B76B1F" w:rsidRDefault="001A15BD" w:rsidP="001A15BD">
                      <w:r>
                        <w:rPr>
                          <w:b/>
                          <w:bCs/>
                        </w:rPr>
                        <w:t>Figure a2.</w:t>
                      </w:r>
                      <w:r>
                        <w:rPr>
                          <w:b/>
                          <w:bCs/>
                        </w:rPr>
                        <w:t xml:space="preserve">2 </w:t>
                      </w:r>
                    </w:p>
                  </w:txbxContent>
                </v:textbox>
                <w10:wrap type="square" anchorx="margin"/>
              </v:shape>
            </w:pict>
          </mc:Fallback>
        </mc:AlternateContent>
      </w:r>
      <w:r>
        <w:rPr>
          <w:noProof/>
        </w:rPr>
        <w:drawing>
          <wp:inline distT="0" distB="0" distL="0" distR="0" wp14:anchorId="357AECCC" wp14:editId="31E4437C">
            <wp:extent cx="5838389" cy="3175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862462" cy="3188091"/>
                    </a:xfrm>
                    <a:prstGeom prst="rect">
                      <a:avLst/>
                    </a:prstGeom>
                  </pic:spPr>
                </pic:pic>
              </a:graphicData>
            </a:graphic>
          </wp:inline>
        </w:drawing>
      </w:r>
    </w:p>
    <w:sectPr w:rsidR="003D4EA8" w:rsidRPr="003866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FF0A" w14:textId="77777777" w:rsidR="00586B7A" w:rsidRDefault="00586B7A" w:rsidP="00DE4B05">
      <w:pPr>
        <w:spacing w:after="0" w:line="240" w:lineRule="auto"/>
      </w:pPr>
      <w:r>
        <w:separator/>
      </w:r>
    </w:p>
  </w:endnote>
  <w:endnote w:type="continuationSeparator" w:id="0">
    <w:p w14:paraId="20710967" w14:textId="77777777" w:rsidR="00586B7A" w:rsidRDefault="00586B7A" w:rsidP="00DE4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171D5" w14:textId="77777777" w:rsidR="00586B7A" w:rsidRDefault="00586B7A" w:rsidP="00DE4B05">
      <w:pPr>
        <w:spacing w:after="0" w:line="240" w:lineRule="auto"/>
      </w:pPr>
      <w:r>
        <w:separator/>
      </w:r>
    </w:p>
  </w:footnote>
  <w:footnote w:type="continuationSeparator" w:id="0">
    <w:p w14:paraId="2CBAD842" w14:textId="77777777" w:rsidR="00586B7A" w:rsidRDefault="00586B7A" w:rsidP="00DE4B05">
      <w:pPr>
        <w:spacing w:after="0" w:line="240" w:lineRule="auto"/>
      </w:pPr>
      <w:r>
        <w:continuationSeparator/>
      </w:r>
    </w:p>
  </w:footnote>
  <w:footnote w:id="1">
    <w:p w14:paraId="3B35CE1F" w14:textId="6585E8F5" w:rsidR="005356FD" w:rsidRDefault="005356FD">
      <w:pPr>
        <w:pStyle w:val="FootnoteText"/>
      </w:pPr>
      <w:r>
        <w:rPr>
          <w:rStyle w:val="FootnoteReference"/>
        </w:rPr>
        <w:footnoteRef/>
      </w:r>
      <w:r>
        <w:t xml:space="preserve"> This framing in this thesis of most, if not all, of conscious human behaviour as making economic choices is partly done for hyperbole and may be contentious, but is not in itself </w:t>
      </w:r>
      <w:r>
        <w:rPr>
          <w:i/>
          <w:iCs/>
        </w:rPr>
        <w:t>wrong</w:t>
      </w:r>
      <w:r>
        <w:t xml:space="preserve">. ‘Economic imperialism’ has regularly claimed all purposeful (human) behaviour as under the field of economics (see </w:t>
      </w:r>
      <w:r>
        <w:fldChar w:fldCharType="begin" w:fldLock="1"/>
      </w:r>
      <w:r>
        <w:instrText>ADDIN CSL_CITATION {"citationItems":[{"id":"ITEM-1","itemData":{"author":[{"dropping-particle":"","family":"Stigler","given":"George J.","non-dropping-particle":"","parse-names":false,"suffix":""}],"container-title":"The Scandinavian Journal of Economics","id":"ITEM-1","issue":"3","issued":{"date-parts":[["1984"]]},"page":"301-313","title":"Economics: The Imperial Science?","type":"article-journal","volume":"86"},"uris":["http://www.mendeley.com/documents/?uuid=42dec0ea-235f-4445-9145-7c797154c228"]}],"mendeley":{"formattedCitation":"(Stigler, 1984)","manualFormatting":"Stigler, 1984)","plainTextFormattedCitation":"(Stigler, 1984)","previouslyFormattedCitation":"(Stigler, 1984)"},"properties":{"noteIndex":0},"schema":"https://github.com/citation-style-language/schema/raw/master/csl-citation.json"}</w:instrText>
      </w:r>
      <w:r>
        <w:fldChar w:fldCharType="separate"/>
      </w:r>
      <w:r w:rsidRPr="00DE4B05">
        <w:rPr>
          <w:noProof/>
        </w:rPr>
        <w:t>Stigler, 1984)</w:t>
      </w:r>
      <w:r>
        <w:fldChar w:fldCharType="end"/>
      </w:r>
      <w:r>
        <w:t xml:space="preserve">. If all behaviour is economic, we find it amusing to wonder why so little is written on the ‘psychological/ethological imperialism’ of the minds that perform these choices, or even a ‘neuroscientific imperialism’ of the brain which must surely create those minds (for a more thorough and considerate discussion of the idea see </w:t>
      </w:r>
      <w:r>
        <w:fldChar w:fldCharType="begin" w:fldLock="1"/>
      </w:r>
      <w:r>
        <w:instrText>ADDIN CSL_CITATION {"citationItems":[{"id":"ITEM-1","itemData":{"author":[{"dropping-particle":"","family":"Bujold","given":"Philipe Mathurin","non-dropping-particle":"","parse-names":false,"suffix":""}],"container-title":"Doctoral Thesis","id":"ITEM-1","issued":{"date-parts":[["2019"]]},"title":"Adaptive Economics: A neuroethological approach to the study of preferences, biases, and choice","type":"article-journal"},"uris":["http://www.mendeley.com/documents/?uuid=7bd92005-4e00-4ccd-9f32-0941b6095e06"]}],"mendeley":{"formattedCitation":"(Bujold, 2019)","manualFormatting":"Bujold, 2019)","plainTextFormattedCitation":"(Bujold, 2019)","previouslyFormattedCitation":"(Bujold, 2019)"},"properties":{"noteIndex":0},"schema":"https://github.com/citation-style-language/schema/raw/master/csl-citation.json"}</w:instrText>
      </w:r>
      <w:r>
        <w:fldChar w:fldCharType="separate"/>
      </w:r>
      <w:r w:rsidRPr="00C87A91">
        <w:rPr>
          <w:noProof/>
        </w:rPr>
        <w:t>Bujold, 2019)</w:t>
      </w:r>
      <w:r>
        <w:fldChar w:fldCharType="end"/>
      </w:r>
      <w:r>
        <w:t>.</w:t>
      </w:r>
    </w:p>
    <w:p w14:paraId="334FE315" w14:textId="1C5D1D32" w:rsidR="005356FD" w:rsidRPr="00DE4B05" w:rsidRDefault="005356FD">
      <w:pPr>
        <w:pStyle w:val="FootnoteText"/>
      </w:pPr>
      <w:r>
        <w:t xml:space="preserve"> </w:t>
      </w:r>
    </w:p>
  </w:footnote>
  <w:footnote w:id="2">
    <w:p w14:paraId="45CBA55C" w14:textId="425A1496" w:rsidR="005356FD" w:rsidRPr="002A145F" w:rsidRDefault="005356FD">
      <w:pPr>
        <w:pStyle w:val="FootnoteText"/>
      </w:pPr>
      <w:r>
        <w:rPr>
          <w:rStyle w:val="FootnoteReference"/>
        </w:rPr>
        <w:footnoteRef/>
      </w:r>
      <w:r>
        <w:t xml:space="preserve"> Throughout the main text of the thesis, we try to only refer to ‘utility’ as the quantity maximised by our monkey’s making economic choices. Here we break from that somewhat and talk about ‘value’ to fit with the literature we will be discussing, and also because we want to use this appendix to digress and discuss the ideal of ‘value’ rather than observed measurements of ‘utility’</w:t>
      </w:r>
    </w:p>
  </w:footnote>
  <w:footnote w:id="3">
    <w:p w14:paraId="73C8F701" w14:textId="43BFABFE" w:rsidR="005356FD" w:rsidRPr="004D2CCE" w:rsidRDefault="005356FD">
      <w:pPr>
        <w:pStyle w:val="FootnoteText"/>
        <w:rPr>
          <w:i/>
          <w:iCs/>
        </w:rPr>
      </w:pPr>
      <w:r>
        <w:rPr>
          <w:rStyle w:val="FootnoteReference"/>
        </w:rPr>
        <w:footnoteRef/>
      </w:r>
      <w:r>
        <w:t xml:space="preserve"> Though we prefer a simpler statement misquoted from a Clint Black song:</w:t>
      </w:r>
      <w:r>
        <w:br/>
      </w:r>
      <w:r>
        <w:rPr>
          <w:i/>
          <w:iCs/>
        </w:rPr>
        <w:t>“[value] isn’t something [an object] has; it’s something that we do”</w:t>
      </w:r>
      <w:r>
        <w:t>.</w:t>
      </w:r>
    </w:p>
  </w:footnote>
  <w:footnote w:id="4">
    <w:p w14:paraId="151BB9C4" w14:textId="03505B04" w:rsidR="005356FD" w:rsidRDefault="005356FD">
      <w:pPr>
        <w:pStyle w:val="FootnoteText"/>
      </w:pPr>
      <w:r>
        <w:rPr>
          <w:rStyle w:val="FootnoteReference"/>
        </w:rPr>
        <w:footnoteRef/>
      </w:r>
      <w:r>
        <w:t xml:space="preserve"> For a more recent review of the idea and criticism that goes beyond this appendix, see </w:t>
      </w:r>
      <w:r>
        <w:fldChar w:fldCharType="begin" w:fldLock="1"/>
      </w:r>
      <w:r>
        <w:instrText>ADDIN CSL_CITATION {"citationItems":[{"id":"ITEM-1","itemData":{"DOI":"10.1016/B978-0-12-416008-8.00018-8","ISBN":"9780124160088","abstract":"This chapter discusses how different forms of outcome utility are embedded in brain systems. Experienced utility, the actual pleasure of an outcome when received, is encoded by a neural activations in a network that includes limbic prefrontal cortex as well as deep brain structures below the cortex, but it is possible that causal generation of experienced utility, in the form of intense pleasures, may be more restricted to small hotspots within the deeper structures. Decision utility, manifested in choices to pursue or consume an outcome, is influenced by additional factors, including memories of past experienced utility resulting from outcomes (remembered utility), and predictions or beliefs about how good experienced utilities are likely to be in future (anticipated/predicted utility). Brain circuitry for decision utility can be separated to a degree from circuitry for experienced utility, and the brain mesolimbic dopamine system is one component that is especially important to decision utility as a mechanism for making choices. However, there is some controversy in the field today concerning the precise role of dopamine in decisions. One common view has been that mesolimbic dopamine influences choice by mediating learning and predicted utility (as teaching signal and prediction error), acting as an input to decision utility. An alternative view is that mesolimbic dopamine instead more purely mediates decision utility directly (as incentive salience or 'wanting'), being able to depart from learned or remembered utilities, and not necessary for reward learning or predictions. Berridge and O'Doherty favor different sides in this dopamine controversy, and so the authors here distill those different views into a brief debate. Finally, the relations among brain systems for various utilities opens up interaction possibilities that sometimes lead to irrational choices. These include 'wanting' a particular outcome whether or not that outcome turns out to be actually 'liked'. That phenomenon is particularly vivid in addiction but also may occur to some degree in ordinary life. © 2014 Elsevier Inc. All rights reserved.","author":[{"dropping-particle":"","family":"Berridge","given":"Kent C.","non-dropping-particle":"","parse-names":false,"suffix":""},{"dropping-particle":"","family":"O'Doherty","given":"John P.","non-dropping-particle":"","parse-names":false,"suffix":""}],"container-title":"Neuroeconomics: Decision Making and the Brain: Second Edition","id":"ITEM-1","issued":{"date-parts":[["2013"]]},"number-of-pages":"335-351","publisher":"Elsevier Inc.","title":"From Experienced Utility to Decision Utility","type":"book"},"uris":["http://www.mendeley.com/documents/?uuid=4cfafbd4-523f-4aad-a435-7266c94d032e"]}],"mendeley":{"formattedCitation":"(Berridge &amp; O’Doherty, 2013)","manualFormatting":"Berridge &amp; O’Doherty, 2013","plainTextFormattedCitation":"(Berridge &amp; O’Doherty, 2013)","previouslyFormattedCitation":"(Berridge &amp; O’Doherty, 2013)"},"properties":{"noteIndex":0},"schema":"https://github.com/citation-style-language/schema/raw/master/csl-citation.json"}</w:instrText>
      </w:r>
      <w:r>
        <w:fldChar w:fldCharType="separate"/>
      </w:r>
      <w:r w:rsidRPr="007667E6">
        <w:rPr>
          <w:noProof/>
        </w:rPr>
        <w:t>Berridge &amp; O’Doherty, 2013</w:t>
      </w:r>
      <w:r>
        <w:fldChar w:fldCharType="end"/>
      </w:r>
      <w:r>
        <w:t>.</w:t>
      </w:r>
    </w:p>
  </w:footnote>
  <w:footnote w:id="5">
    <w:p w14:paraId="7CDEB8BC" w14:textId="7A7A0BF1" w:rsidR="008E32A3" w:rsidRDefault="008E32A3">
      <w:pPr>
        <w:pStyle w:val="FootnoteText"/>
      </w:pPr>
      <w:r>
        <w:rPr>
          <w:rStyle w:val="FootnoteReference"/>
        </w:rPr>
        <w:footnoteRef/>
      </w:r>
      <w:r>
        <w:t xml:space="preserve"> This section is predominantly guide</w:t>
      </w:r>
      <w:r w:rsidR="004F0340">
        <w:t>d</w:t>
      </w:r>
      <w:r>
        <w:t xml:space="preserve"> by the </w:t>
      </w:r>
      <w:proofErr w:type="spellStart"/>
      <w:r>
        <w:t>Juechems</w:t>
      </w:r>
      <w:proofErr w:type="spellEnd"/>
      <w:r>
        <w:t xml:space="preserve"> &amp; Summerfield paper, in turn built upon a human fMRI paper which focus on the cortex. See </w:t>
      </w:r>
      <w:r>
        <w:fldChar w:fldCharType="begin" w:fldLock="1"/>
      </w:r>
      <w:r w:rsidR="003D4EA8">
        <w:instrText>ADDIN CSL_CITATION {"citationItems":[{"id":"ITEM-1","itemData":{"author":[{"dropping-particle":"","family":"Bogacz","given":"Rafal","non-dropping-particle":"","parse-names":false,"suffix":""}],"container-title":"eLife","id":"ITEM-1","issued":{"date-parts":[["2020"]]},"page":"1-33","title":"Dopamine role in learning and action inference","type":"article-journal"},"uris":["http://www.mendeley.com/documents/?uuid=51bf75fe-c969-4ee7-8bda-b600b964e2c6"]}],"mendeley":{"formattedCitation":"(Bogacz, 2020)","manualFormatting":"Bogacz, 2020","plainTextFormattedCitation":"(Bogacz, 2020)","previouslyFormattedCitation":"(Bogacz, 2020)"},"properties":{"noteIndex":0},"schema":"https://github.com/citation-style-language/schema/raw/master/csl-citation.json"}</w:instrText>
      </w:r>
      <w:r>
        <w:fldChar w:fldCharType="separate"/>
      </w:r>
      <w:r w:rsidRPr="008E32A3">
        <w:rPr>
          <w:noProof/>
        </w:rPr>
        <w:t>Bogacz, 2020</w:t>
      </w:r>
      <w:r>
        <w:fldChar w:fldCharType="end"/>
      </w:r>
      <w:r>
        <w:t xml:space="preserve"> for an interpretation of dopaminergic neurons in this context.</w:t>
      </w:r>
    </w:p>
  </w:footnote>
  <w:footnote w:id="6">
    <w:p w14:paraId="4D7820C3" w14:textId="751752AD" w:rsidR="005356FD" w:rsidRDefault="005356FD">
      <w:pPr>
        <w:pStyle w:val="FootnoteText"/>
      </w:pPr>
      <w:r>
        <w:rPr>
          <w:rStyle w:val="FootnoteReference"/>
        </w:rPr>
        <w:footnoteRef/>
      </w:r>
      <w:r>
        <w:t xml:space="preserve"> An example chosen as recent work has extended this ‘efficient coding hypothesis’ into the domain of experiments studying the behaviour of participants in an economic decision making setting </w:t>
      </w:r>
      <w:r>
        <w:fldChar w:fldCharType="begin" w:fldLock="1"/>
      </w:r>
      <w:r>
        <w:instrText>ADDIN CSL_CITATION {"citationItems":[{"id":"ITEM-1","itemData":{"DOI":"10.1038/s41593-018-0292-0","ISSN":"1546-1726","author":[{"dropping-particle":"","family":"Polanía","given":"Rafael","non-dropping-particle":"","parse-names":false,"suffix":""},{"dropping-particle":"","family":"Woodford","given":"Michael","non-dropping-particle":"","parse-names":false,"suffix":""},{"dropping-particle":"","family":"Ruff","given":"Christian C","non-dropping-particle":"","parse-names":false,"suffix":""}],"container-title":"Nature Neuroscience","id":"ITEM-1","issue":"January","issued":{"date-parts":[["2019"]]},"publisher":"Springer US","title":"Efficient coding of subjective value","type":"article-journal","volume":"22"},"uris":["http://www.mendeley.com/documents/?uuid=ab3088f5-21d8-4131-9734-d3991c2aba3c"]}],"mendeley":{"formattedCitation":"(Polanía et al., 2019)","plainTextFormattedCitation":"(Polanía et al., 2019)","previouslyFormattedCitation":"(Polanía et al., 2019)"},"properties":{"noteIndex":0},"schema":"https://github.com/citation-style-language/schema/raw/master/csl-citation.json"}</w:instrText>
      </w:r>
      <w:r>
        <w:fldChar w:fldCharType="separate"/>
      </w:r>
      <w:r w:rsidRPr="008F2AA4">
        <w:rPr>
          <w:noProof/>
        </w:rPr>
        <w:t>(Polanía et al., 2019)</w:t>
      </w:r>
      <w:r>
        <w:fldChar w:fldCharType="end"/>
      </w:r>
      <w:r>
        <w:t>.</w:t>
      </w:r>
    </w:p>
  </w:footnote>
  <w:footnote w:id="7">
    <w:p w14:paraId="0841515D" w14:textId="405CA4E2" w:rsidR="005356FD" w:rsidRDefault="005356FD">
      <w:pPr>
        <w:pStyle w:val="FootnoteText"/>
      </w:pPr>
      <w:r>
        <w:rPr>
          <w:rStyle w:val="FootnoteReference"/>
        </w:rPr>
        <w:footnoteRef/>
      </w:r>
      <w:r>
        <w:t xml:space="preserve"> For the sake of argument, ignoring altruistic sacrifices but we can also assume these are done to pass on similar genes in the beneficiary population.</w:t>
      </w:r>
    </w:p>
  </w:footnote>
  <w:footnote w:id="8">
    <w:p w14:paraId="29763B66" w14:textId="058BEDBB" w:rsidR="005356FD" w:rsidRDefault="005356FD">
      <w:pPr>
        <w:pStyle w:val="FootnoteText"/>
      </w:pPr>
      <w:r>
        <w:rPr>
          <w:rStyle w:val="FootnoteReference"/>
        </w:rPr>
        <w:footnoteRef/>
      </w:r>
      <w:r>
        <w:t xml:space="preserve"> </w:t>
      </w:r>
      <w:proofErr w:type="gramStart"/>
      <w:r>
        <w:t>Obviously</w:t>
      </w:r>
      <w:proofErr w:type="gramEnd"/>
      <w:r>
        <w:t xml:space="preserve"> an anthropomorphism.</w:t>
      </w:r>
    </w:p>
  </w:footnote>
  <w:footnote w:id="9">
    <w:p w14:paraId="3E8DE9A8" w14:textId="7CCF8FE0" w:rsidR="005356FD" w:rsidRDefault="005356FD">
      <w:pPr>
        <w:pStyle w:val="FootnoteText"/>
      </w:pPr>
      <w:r>
        <w:rPr>
          <w:rStyle w:val="FootnoteReference"/>
        </w:rPr>
        <w:footnoteRef/>
      </w:r>
      <w:r>
        <w:t xml:space="preserve"> For the sake of brevity this argument ignores the evidence </w:t>
      </w:r>
    </w:p>
  </w:footnote>
  <w:footnote w:id="10">
    <w:p w14:paraId="0F83443C" w14:textId="7BE84370" w:rsidR="00C04A78" w:rsidRDefault="00C04A78">
      <w:pPr>
        <w:pStyle w:val="FootnoteText"/>
      </w:pPr>
      <w:r>
        <w:rPr>
          <w:rStyle w:val="FootnoteReference"/>
        </w:rPr>
        <w:footnoteRef/>
      </w:r>
      <w:r>
        <w:t xml:space="preserve"> Two caveats. Firstly, the mechanisms by which value is learnt in conditioning is not necessarily the same as how values are compared in economic choice behaviour. Secondly, it is rivalled by progress understanding episodic memory consolidation and retrieval in the mammalian hippocampus. See </w:t>
      </w:r>
      <w:r>
        <w:fldChar w:fldCharType="begin" w:fldLock="1"/>
      </w:r>
      <w:r>
        <w:instrText>ADDIN CSL_CITATION {"citationItems":[{"id":"ITEM-1","itemData":{"DOI":"10.1016/j.conb.2015.07.009","author":[{"dropping-particle":"","family":"Tonegawa","given":"Susumu","non-dropping-particle":"","parse-names":false,"suffix":""},{"dropping-particle":"","family":"Pignatelli","given":"Michele","non-dropping-particle":"","parse-names":false,"suffix":""},{"dropping-particle":"","family":"Roy","given":"Dheeraj S","non-dropping-particle":"","parse-names":false,"suffix":""},{"dropping-particle":"","family":"Ryan","given":"J","non-dropping-particle":"","parse-names":false,"suffix":""}],"container-title":"Current Opinion in Neurobiology","id":"ITEM-1","issued":{"date-parts":[["2015"]]},"page":"101-109","title":"Memory engram storage and retrieval","type":"article-journal","volume":"35"},"uris":["http://www.mendeley.com/documents/?uuid=5c0a5c2e-4559-42c3-a0bb-8b391126a4c2"]}],"mendeley":{"formattedCitation":"(Tonegawa et al., 2015)","plainTextFormattedCitation":"(Tonegawa et al., 2015)","previouslyFormattedCitation":"(Tonegawa et al., 2015)"},"properties":{"noteIndex":0},"schema":"https://github.com/citation-style-language/schema/raw/master/csl-citation.json"}</w:instrText>
      </w:r>
      <w:r>
        <w:fldChar w:fldCharType="separate"/>
      </w:r>
      <w:r w:rsidRPr="00C04A78">
        <w:rPr>
          <w:noProof/>
        </w:rPr>
        <w:t>Tonegawa et al., 2015</w:t>
      </w:r>
      <w:r>
        <w:fldChar w:fldCharType="end"/>
      </w:r>
      <w:r>
        <w:t xml:space="preserve"> for a review and </w:t>
      </w:r>
      <w:r>
        <w:fldChar w:fldCharType="begin" w:fldLock="1"/>
      </w:r>
      <w:r>
        <w:instrText>ADDIN CSL_CITATION {"citationItems":[{"id":"ITEM-1","itemData":{"DOI":"10.1016/j.neuron.2015.03.032.The","author":[{"dropping-particle":"","family":"Lisman","given":"John","non-dropping-particle":"","parse-names":false,"suffix":""}],"container-title":"Neuron","id":"ITEM-1","issue":"4","issued":{"date-parts":[["2016"]]},"page":"864-882","title":"The challenge of understanding the brain: where we stand in 2015","type":"article-journal","volume":"86"},"uris":["http://www.mendeley.com/documents/?uuid=0bb9bff5-a9dc-4ebe-a52c-a9d19b5c4a96"]}],"mendeley":{"formattedCitation":"(Lisman, 2016)","plainTextFormattedCitation":"(Lisman, 2016)"},"properties":{"noteIndex":0},"schema":"https://github.com/citation-style-language/schema/raw/master/csl-citation.json"}</w:instrText>
      </w:r>
      <w:r>
        <w:fldChar w:fldCharType="separate"/>
      </w:r>
      <w:r w:rsidRPr="00C04A78">
        <w:rPr>
          <w:noProof/>
        </w:rPr>
        <w:t>Lisman, 2016</w:t>
      </w:r>
      <w:r>
        <w:fldChar w:fldCharType="end"/>
      </w:r>
      <w:r>
        <w:t xml:space="preserve"> for a discussion of both of these systems within the context of Marr’s three levels.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0F0B"/>
    <w:multiLevelType w:val="hybridMultilevel"/>
    <w:tmpl w:val="66BA4F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376C0A"/>
    <w:multiLevelType w:val="hybridMultilevel"/>
    <w:tmpl w:val="A336E9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AD512A"/>
    <w:multiLevelType w:val="hybridMultilevel"/>
    <w:tmpl w:val="90F8F6E2"/>
    <w:lvl w:ilvl="0" w:tplc="2DD493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544A1D"/>
    <w:multiLevelType w:val="hybridMultilevel"/>
    <w:tmpl w:val="AE3000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4008866">
    <w:abstractNumId w:val="2"/>
  </w:num>
  <w:num w:numId="2" w16cid:durableId="258611313">
    <w:abstractNumId w:val="0"/>
  </w:num>
  <w:num w:numId="3" w16cid:durableId="1511748850">
    <w:abstractNumId w:val="3"/>
  </w:num>
  <w:num w:numId="4" w16cid:durableId="680007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95"/>
    <w:rsid w:val="00010634"/>
    <w:rsid w:val="00014778"/>
    <w:rsid w:val="000235F3"/>
    <w:rsid w:val="00034189"/>
    <w:rsid w:val="00067B17"/>
    <w:rsid w:val="00081C83"/>
    <w:rsid w:val="0008352D"/>
    <w:rsid w:val="000A2D8C"/>
    <w:rsid w:val="000A7876"/>
    <w:rsid w:val="000B6ACB"/>
    <w:rsid w:val="000E3D5F"/>
    <w:rsid w:val="00100263"/>
    <w:rsid w:val="001005D4"/>
    <w:rsid w:val="00124429"/>
    <w:rsid w:val="00132774"/>
    <w:rsid w:val="00135C02"/>
    <w:rsid w:val="001417DE"/>
    <w:rsid w:val="00145891"/>
    <w:rsid w:val="00155D81"/>
    <w:rsid w:val="00160C55"/>
    <w:rsid w:val="00167746"/>
    <w:rsid w:val="00173C6B"/>
    <w:rsid w:val="001A15BD"/>
    <w:rsid w:val="001A1D18"/>
    <w:rsid w:val="001A3F67"/>
    <w:rsid w:val="001C46DB"/>
    <w:rsid w:val="001F16E0"/>
    <w:rsid w:val="001F6F4D"/>
    <w:rsid w:val="00203D67"/>
    <w:rsid w:val="00204B69"/>
    <w:rsid w:val="002077EA"/>
    <w:rsid w:val="00212C25"/>
    <w:rsid w:val="002136F5"/>
    <w:rsid w:val="00223477"/>
    <w:rsid w:val="002300AC"/>
    <w:rsid w:val="00237273"/>
    <w:rsid w:val="002514FB"/>
    <w:rsid w:val="002602AC"/>
    <w:rsid w:val="002836EB"/>
    <w:rsid w:val="00292126"/>
    <w:rsid w:val="002A145F"/>
    <w:rsid w:val="002A472F"/>
    <w:rsid w:val="002C4904"/>
    <w:rsid w:val="00303676"/>
    <w:rsid w:val="003138DC"/>
    <w:rsid w:val="00314214"/>
    <w:rsid w:val="003149AD"/>
    <w:rsid w:val="00341A89"/>
    <w:rsid w:val="003536BB"/>
    <w:rsid w:val="00362BE9"/>
    <w:rsid w:val="00375D27"/>
    <w:rsid w:val="003800F0"/>
    <w:rsid w:val="00385588"/>
    <w:rsid w:val="0038664F"/>
    <w:rsid w:val="00390995"/>
    <w:rsid w:val="00394136"/>
    <w:rsid w:val="003A2A02"/>
    <w:rsid w:val="003B111B"/>
    <w:rsid w:val="003B15C3"/>
    <w:rsid w:val="003B4EF8"/>
    <w:rsid w:val="003B5401"/>
    <w:rsid w:val="003C5235"/>
    <w:rsid w:val="003D2EFA"/>
    <w:rsid w:val="003D4EA8"/>
    <w:rsid w:val="003E13B4"/>
    <w:rsid w:val="003E37E6"/>
    <w:rsid w:val="003F1DAB"/>
    <w:rsid w:val="004002BF"/>
    <w:rsid w:val="00404C5B"/>
    <w:rsid w:val="004177AA"/>
    <w:rsid w:val="0044162F"/>
    <w:rsid w:val="00442943"/>
    <w:rsid w:val="004A4019"/>
    <w:rsid w:val="004A7B88"/>
    <w:rsid w:val="004B7513"/>
    <w:rsid w:val="004B7A47"/>
    <w:rsid w:val="004D2CCE"/>
    <w:rsid w:val="004F0340"/>
    <w:rsid w:val="004F4CB8"/>
    <w:rsid w:val="0050640C"/>
    <w:rsid w:val="00514883"/>
    <w:rsid w:val="00531BFC"/>
    <w:rsid w:val="00531F83"/>
    <w:rsid w:val="005356FD"/>
    <w:rsid w:val="00550922"/>
    <w:rsid w:val="00553B22"/>
    <w:rsid w:val="00562F23"/>
    <w:rsid w:val="00586B7A"/>
    <w:rsid w:val="00593E53"/>
    <w:rsid w:val="005A1A1E"/>
    <w:rsid w:val="005A7B4F"/>
    <w:rsid w:val="005B3E3E"/>
    <w:rsid w:val="005B4C5E"/>
    <w:rsid w:val="005C3C9A"/>
    <w:rsid w:val="005F7937"/>
    <w:rsid w:val="00600AAF"/>
    <w:rsid w:val="00600BFF"/>
    <w:rsid w:val="00602978"/>
    <w:rsid w:val="0061685A"/>
    <w:rsid w:val="0062673D"/>
    <w:rsid w:val="00632C15"/>
    <w:rsid w:val="006808AC"/>
    <w:rsid w:val="00683EE1"/>
    <w:rsid w:val="00690B3D"/>
    <w:rsid w:val="006A34B1"/>
    <w:rsid w:val="006B6183"/>
    <w:rsid w:val="006C263D"/>
    <w:rsid w:val="006D0F76"/>
    <w:rsid w:val="006D327B"/>
    <w:rsid w:val="006D422D"/>
    <w:rsid w:val="006F377B"/>
    <w:rsid w:val="0070248C"/>
    <w:rsid w:val="00712107"/>
    <w:rsid w:val="00715714"/>
    <w:rsid w:val="00721CEE"/>
    <w:rsid w:val="007277D7"/>
    <w:rsid w:val="00745FD5"/>
    <w:rsid w:val="00757864"/>
    <w:rsid w:val="007667E6"/>
    <w:rsid w:val="00771FE6"/>
    <w:rsid w:val="00774D03"/>
    <w:rsid w:val="00790CEB"/>
    <w:rsid w:val="007A3292"/>
    <w:rsid w:val="007C08A2"/>
    <w:rsid w:val="007F35B2"/>
    <w:rsid w:val="00805745"/>
    <w:rsid w:val="00882822"/>
    <w:rsid w:val="0089623B"/>
    <w:rsid w:val="008A00EA"/>
    <w:rsid w:val="008B4AA7"/>
    <w:rsid w:val="008D0A3C"/>
    <w:rsid w:val="008D3D3A"/>
    <w:rsid w:val="008E32A3"/>
    <w:rsid w:val="008F171E"/>
    <w:rsid w:val="008F2AA4"/>
    <w:rsid w:val="008F47D1"/>
    <w:rsid w:val="00903FD2"/>
    <w:rsid w:val="00927556"/>
    <w:rsid w:val="009350BD"/>
    <w:rsid w:val="0094766D"/>
    <w:rsid w:val="00957E9E"/>
    <w:rsid w:val="009625F7"/>
    <w:rsid w:val="00972E2E"/>
    <w:rsid w:val="00993EE2"/>
    <w:rsid w:val="0099720A"/>
    <w:rsid w:val="0099750E"/>
    <w:rsid w:val="009A5AA7"/>
    <w:rsid w:val="009D27B6"/>
    <w:rsid w:val="009E5B17"/>
    <w:rsid w:val="009F07F8"/>
    <w:rsid w:val="009F0C90"/>
    <w:rsid w:val="00A0514C"/>
    <w:rsid w:val="00A15057"/>
    <w:rsid w:val="00A3346B"/>
    <w:rsid w:val="00A34511"/>
    <w:rsid w:val="00A51FC3"/>
    <w:rsid w:val="00AA0488"/>
    <w:rsid w:val="00AA1A1D"/>
    <w:rsid w:val="00AB5118"/>
    <w:rsid w:val="00AD20C0"/>
    <w:rsid w:val="00B045B8"/>
    <w:rsid w:val="00B0561A"/>
    <w:rsid w:val="00B3233E"/>
    <w:rsid w:val="00B66F91"/>
    <w:rsid w:val="00B743F4"/>
    <w:rsid w:val="00B76B1F"/>
    <w:rsid w:val="00B80239"/>
    <w:rsid w:val="00B81ABC"/>
    <w:rsid w:val="00B90A59"/>
    <w:rsid w:val="00BA485D"/>
    <w:rsid w:val="00BB78A0"/>
    <w:rsid w:val="00BD6D7F"/>
    <w:rsid w:val="00C04A78"/>
    <w:rsid w:val="00C06BDE"/>
    <w:rsid w:val="00C106CB"/>
    <w:rsid w:val="00C16438"/>
    <w:rsid w:val="00C509DF"/>
    <w:rsid w:val="00C525DD"/>
    <w:rsid w:val="00C74183"/>
    <w:rsid w:val="00C75586"/>
    <w:rsid w:val="00C76BB4"/>
    <w:rsid w:val="00C87A91"/>
    <w:rsid w:val="00C87F05"/>
    <w:rsid w:val="00C93E27"/>
    <w:rsid w:val="00CC421B"/>
    <w:rsid w:val="00CF29DF"/>
    <w:rsid w:val="00D137B0"/>
    <w:rsid w:val="00D23CD7"/>
    <w:rsid w:val="00D23F67"/>
    <w:rsid w:val="00D2573F"/>
    <w:rsid w:val="00D33DA2"/>
    <w:rsid w:val="00D4423A"/>
    <w:rsid w:val="00D4587B"/>
    <w:rsid w:val="00D55231"/>
    <w:rsid w:val="00D7509F"/>
    <w:rsid w:val="00D76B32"/>
    <w:rsid w:val="00D854BB"/>
    <w:rsid w:val="00D97030"/>
    <w:rsid w:val="00DD3119"/>
    <w:rsid w:val="00DD76DF"/>
    <w:rsid w:val="00DE4B05"/>
    <w:rsid w:val="00E048A0"/>
    <w:rsid w:val="00E11EDB"/>
    <w:rsid w:val="00E213A6"/>
    <w:rsid w:val="00E75FC6"/>
    <w:rsid w:val="00E91268"/>
    <w:rsid w:val="00EB3200"/>
    <w:rsid w:val="00EC4585"/>
    <w:rsid w:val="00ED7625"/>
    <w:rsid w:val="00EE2317"/>
    <w:rsid w:val="00EE4BEF"/>
    <w:rsid w:val="00F012E4"/>
    <w:rsid w:val="00F30E3A"/>
    <w:rsid w:val="00F435DE"/>
    <w:rsid w:val="00F4582C"/>
    <w:rsid w:val="00F45D6A"/>
    <w:rsid w:val="00F65FA5"/>
    <w:rsid w:val="00F71D6D"/>
    <w:rsid w:val="00F736BB"/>
    <w:rsid w:val="00F94FD0"/>
    <w:rsid w:val="00FD58D4"/>
    <w:rsid w:val="00FE3E86"/>
    <w:rsid w:val="00FE581E"/>
    <w:rsid w:val="00FF0E73"/>
    <w:rsid w:val="00FF23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4E5E0"/>
  <w15:chartTrackingRefBased/>
  <w15:docId w15:val="{9957A6EF-A446-4DB7-ACDE-819C07FE3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9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90995"/>
    <w:pPr>
      <w:ind w:left="720"/>
      <w:contextualSpacing/>
    </w:pPr>
  </w:style>
  <w:style w:type="character" w:styleId="Hyperlink">
    <w:name w:val="Hyperlink"/>
    <w:basedOn w:val="DefaultParagraphFont"/>
    <w:uiPriority w:val="99"/>
    <w:unhideWhenUsed/>
    <w:rsid w:val="00390995"/>
    <w:rPr>
      <w:color w:val="0563C1" w:themeColor="hyperlink"/>
      <w:u w:val="single"/>
    </w:rPr>
  </w:style>
  <w:style w:type="paragraph" w:styleId="FootnoteText">
    <w:name w:val="footnote text"/>
    <w:basedOn w:val="Normal"/>
    <w:link w:val="FootnoteTextChar"/>
    <w:uiPriority w:val="99"/>
    <w:semiHidden/>
    <w:unhideWhenUsed/>
    <w:rsid w:val="00DE4B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4B05"/>
    <w:rPr>
      <w:sz w:val="20"/>
      <w:szCs w:val="20"/>
    </w:rPr>
  </w:style>
  <w:style w:type="character" w:styleId="FootnoteReference">
    <w:name w:val="footnote reference"/>
    <w:basedOn w:val="DefaultParagraphFont"/>
    <w:uiPriority w:val="99"/>
    <w:semiHidden/>
    <w:unhideWhenUsed/>
    <w:rsid w:val="00DE4B05"/>
    <w:rPr>
      <w:vertAlign w:val="superscript"/>
    </w:rPr>
  </w:style>
  <w:style w:type="character" w:styleId="UnresolvedMention">
    <w:name w:val="Unresolved Mention"/>
    <w:basedOn w:val="DefaultParagraphFont"/>
    <w:uiPriority w:val="99"/>
    <w:semiHidden/>
    <w:unhideWhenUsed/>
    <w:rsid w:val="00C74183"/>
    <w:rPr>
      <w:color w:val="605E5C"/>
      <w:shd w:val="clear" w:color="auto" w:fill="E1DFDD"/>
    </w:rPr>
  </w:style>
  <w:style w:type="character" w:styleId="PlaceholderText">
    <w:name w:val="Placeholder Text"/>
    <w:basedOn w:val="DefaultParagraphFont"/>
    <w:uiPriority w:val="99"/>
    <w:semiHidden/>
    <w:rsid w:val="00034189"/>
    <w:rPr>
      <w:color w:val="808080"/>
    </w:rPr>
  </w:style>
  <w:style w:type="paragraph" w:styleId="Header">
    <w:name w:val="header"/>
    <w:basedOn w:val="Normal"/>
    <w:link w:val="HeaderChar"/>
    <w:uiPriority w:val="99"/>
    <w:unhideWhenUsed/>
    <w:rsid w:val="000106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0634"/>
  </w:style>
  <w:style w:type="paragraph" w:styleId="Footer">
    <w:name w:val="footer"/>
    <w:basedOn w:val="Normal"/>
    <w:link w:val="FooterChar"/>
    <w:uiPriority w:val="99"/>
    <w:unhideWhenUsed/>
    <w:rsid w:val="000106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0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816649">
      <w:bodyDiv w:val="1"/>
      <w:marLeft w:val="0"/>
      <w:marRight w:val="0"/>
      <w:marTop w:val="0"/>
      <w:marBottom w:val="0"/>
      <w:divBdr>
        <w:top w:val="none" w:sz="0" w:space="0" w:color="auto"/>
        <w:left w:val="none" w:sz="0" w:space="0" w:color="auto"/>
        <w:bottom w:val="none" w:sz="0" w:space="0" w:color="auto"/>
        <w:right w:val="none" w:sz="0" w:space="0" w:color="auto"/>
      </w:divBdr>
      <w:divsChild>
        <w:div w:id="1123427730">
          <w:blockQuote w:val="1"/>
          <w:marLeft w:val="0"/>
          <w:marRight w:val="0"/>
          <w:marTop w:val="0"/>
          <w:marBottom w:val="270"/>
          <w:divBdr>
            <w:top w:val="none" w:sz="0" w:space="0" w:color="auto"/>
            <w:left w:val="single" w:sz="36" w:space="14" w:color="DDDDDD"/>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ear.warrington.ufl.edu/brenner/mar7588/Papers/slovic-ampsy1995.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C3D9B-0DBD-4A67-BE31-9126FD4A7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13211</TotalTime>
  <Pages>8</Pages>
  <Words>12254</Words>
  <Characters>69848</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Robert Hickman</cp:lastModifiedBy>
  <cp:revision>139</cp:revision>
  <dcterms:created xsi:type="dcterms:W3CDTF">2020-12-08T11:10:00Z</dcterms:created>
  <dcterms:modified xsi:type="dcterms:W3CDTF">2025-03-25T14:08:00Z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