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74A623" w14:textId="4458C7B6" w:rsidR="00236179" w:rsidRDefault="00236179" w:rsidP="00236179">
      <w:pPr>
        <w:pStyle w:val="Textbody"/>
        <w:spacing w:after="160" w:line="225" w:lineRule="atLeast"/>
      </w:pPr>
      <w:r>
        <w:rPr>
          <w:rFonts w:ascii="Calibri, sans-serif" w:hAnsi="Calibri, sans-serif"/>
          <w:sz w:val="22"/>
        </w:rPr>
        <w:t>The brain is an organ that produces decisions.  Just the same as the cardiovascular system exists to deliver oxygen to tissues, the role of the nervous system is to decide what is happening in the outside world, process this information, and decide how to respond.  On the simplest level, C. elegans worms will ‘decide’ to move in the direction that maximises the nutrients necessary for it to survive and grow.</w:t>
      </w:r>
    </w:p>
    <w:p w14:paraId="491661FC" w14:textId="646541CC" w:rsidR="00236179" w:rsidRDefault="00236179" w:rsidP="00236179">
      <w:pPr>
        <w:pStyle w:val="Textbody"/>
        <w:spacing w:after="160" w:line="225" w:lineRule="atLeast"/>
        <w:rPr>
          <w:rFonts w:ascii="Calibri, sans-serif" w:hAnsi="Calibri, sans-serif"/>
          <w:color w:val="222222"/>
          <w:sz w:val="22"/>
        </w:rPr>
      </w:pPr>
      <w:r>
        <w:rPr>
          <w:rFonts w:ascii="Calibri, sans-serif" w:hAnsi="Calibri, sans-serif"/>
          <w:color w:val="222222"/>
          <w:sz w:val="22"/>
        </w:rPr>
        <w:t>For the worm, the decision to move forwards or backwards is simply an integration of the evidence for or against a chemical in its vicinity</w:t>
      </w:r>
      <w:r>
        <w:rPr>
          <w:rFonts w:ascii="Calibri, sans-serif" w:hAnsi="Calibri, sans-serif"/>
          <w:color w:val="222222"/>
          <w:sz w:val="22"/>
        </w:rPr>
        <w:t xml:space="preserve"> </w:t>
      </w:r>
      <w:r>
        <w:rPr>
          <w:rFonts w:ascii="Calibri, sans-serif" w:hAnsi="Calibri, sans-serif" w:hint="eastAsia"/>
          <w:color w:val="222222"/>
          <w:sz w:val="22"/>
        </w:rPr>
        <w:fldChar w:fldCharType="begin" w:fldLock="1"/>
      </w:r>
      <w:r>
        <w:rPr>
          <w:rFonts w:ascii="Calibri, sans-serif" w:hAnsi="Calibri, sans-serif" w:hint="eastAsia"/>
          <w:color w:val="222222"/>
          <w:sz w:val="22"/>
        </w:rPr>
        <w:instrText>ADDIN CSL_CITATION {"citationItems":[{"id":"ITEM-1","itemData":{"DOI":"10.7554/eLife.21629","ISSN":"2050084X","PMID":"28532547","abstract":"Brains regulate behavioral responses with distinct timings. Here we investigate the cellular and molecular mechanisms underlying the timing of decision-making during olfactory navigation in Caenorhabditis elegans. We find that, based on subtle changes in odor concentrations, the animals appear to choose the appropriate migratory direction from multiple trials as a form of behavioral decision-making. Through optophysiological, mathematical and genetic analyses of neural activity under virtual odor gradients, we further find that odor concentration information is temporally integrated for a decision by a gradual increase in intracellular calcium concentration ([Ca2+]i), which occurs via L-type voltage-gated calcium channels in a pair of olfactory neurons. In contrast, for a reflex-like behavioral response, [Ca2+]i rapidly increases via multiple types of calcium channels in a pair of nociceptive neurons. Thus, the timing of neuronal responses is determined by cell type-dependent involvement of calcium channels, which may serve as a cellular basis for decision-making.","author":[{"dropping-particle":"","family":"Tanimoto","given":"Yuki","non-dropping-particle":"","parse-names":false,"suffix":""},{"dropping-particle":"","family":"Yamazoe-Umemoto","given":"Akiko","non-dropping-particle":"","parse-names":false,"suffix":""},{"dropping-particle":"","family":"Fujita","given":"Kosuke","non-dropping-particle":"","parse-names":false,"suffix":""},{"dropping-particle":"","family":"Kawazoe","given":"Yuya","non-dropping-particle":"","parse-names":false,"suffix":""},{"dropping-particle":"","family":"Miyanishi","given":"Yosuke","non-dropping-particle":"","parse-names":false,"suffix":""},{"dropping-particle":"","family":"Yamazaki","given":"Shuhei J.","non-dropping-particle":"","parse-names":false,"suffix":""},{"dropping-particle":"","family":"Fei","given":"Xianfeng","non-dropping-particle":"","parse-names":false,"suffix":""},{"dropping-particle":"","family":"Busch","given":"Karl Emanuel","non-dropping-particle":"","parse-names":false,"suffix":""},{"dropping-particle":"","family":"Gengyo-Ando","given":"Keiko","non-dropping-particle":"","parse-names":false,"suffix":""},{"dropping-particle":"","family":"Nakai","given":"Junichi","non-dropping-particle":"","parse-names":false,"suffix":""},{"dropping-particle":"","family":"Iino","given":"Yuichi","non-dropping-particle":"","parse-names":false,"suffix":""},{"dropping-particle":"","family":"Iwasaki","given":"Yuishi","non-dropping-particle":"","parse-names":false,"suffix":""},{"dropping-particle":"","family":"Hashimoto","given":"Koichi","non-dropping-particle":"","parse-names":false,"suffix":""},{"dropping-particle":"","family":"Kimura","given":"Koutarou D.","non-dropping-particle":"","parse-names":false,"suffix":""}],"container-title":"eLife","id":"ITEM-1","issued":{"date-parts":[["2017"]]},"page":"1-30","title":"Calcium dynamics regulating the timing of decision-making in C. Elegans","type":"article-journal","volume":"6"},"uris":["http://www.mendeley.com/documents/?uuid=25e4ee1c-f270-475f-ab9e-63fb90f5171c"]}],"mendeley":{"formattedCitation":"(Tanimoto et al., 2017)","plainTextFormattedCitation":"(Tanimoto et al., 2017)","previouslyFormattedCitation":"(Tanimoto et al., 2017)"},"properties":{"noteIndex":0},"schema":"https://github.com/citation-style-language/schema/raw/master/csl-citation.json"}</w:instrText>
      </w:r>
      <w:r>
        <w:rPr>
          <w:rFonts w:ascii="Calibri, sans-serif" w:hAnsi="Calibri, sans-serif" w:hint="eastAsia"/>
          <w:color w:val="222222"/>
          <w:sz w:val="22"/>
        </w:rPr>
        <w:fldChar w:fldCharType="separate"/>
      </w:r>
      <w:r w:rsidRPr="00236179">
        <w:rPr>
          <w:rFonts w:ascii="Calibri, sans-serif" w:hAnsi="Calibri, sans-serif" w:hint="eastAsia"/>
          <w:noProof/>
          <w:color w:val="222222"/>
          <w:sz w:val="22"/>
        </w:rPr>
        <w:t>(Tanimoto et al., 2017)</w:t>
      </w:r>
      <w:r>
        <w:rPr>
          <w:rFonts w:ascii="Calibri, sans-serif" w:hAnsi="Calibri, sans-serif" w:hint="eastAsia"/>
          <w:color w:val="222222"/>
          <w:sz w:val="22"/>
        </w:rPr>
        <w:fldChar w:fldCharType="end"/>
      </w:r>
      <w:r>
        <w:rPr>
          <w:rFonts w:ascii="Calibri, sans-serif" w:hAnsi="Calibri, sans-serif"/>
          <w:color w:val="222222"/>
          <w:sz w:val="22"/>
        </w:rPr>
        <w:t xml:space="preserve">. The parameters of the decision are simply the weight given to each new sequential piece of evidence, and the threshold this evidence needs to pass for a decision to be made. These parameters must be finely tuned to ensure that a worm can produce the correct wiggling direction that maximises its </w:t>
      </w:r>
      <w:r>
        <w:rPr>
          <w:rFonts w:ascii="Calibri, sans-serif" w:hAnsi="Calibri, sans-serif"/>
          <w:color w:val="222222"/>
          <w:sz w:val="22"/>
        </w:rPr>
        <w:t>nutrition</w:t>
      </w:r>
      <w:r>
        <w:rPr>
          <w:rFonts w:ascii="Calibri, sans-serif" w:hAnsi="Calibri, sans-serif"/>
          <w:color w:val="222222"/>
          <w:sz w:val="22"/>
        </w:rPr>
        <w:t>, and therefore, its survival</w:t>
      </w:r>
      <w:r>
        <w:rPr>
          <w:rFonts w:ascii="Calibri, sans-serif" w:hAnsi="Calibri, sans-serif"/>
          <w:color w:val="222222"/>
          <w:sz w:val="22"/>
        </w:rPr>
        <w:t xml:space="preserve"> and reproductive fitness</w:t>
      </w:r>
      <w:r>
        <w:rPr>
          <w:rFonts w:ascii="Calibri, sans-serif" w:hAnsi="Calibri, sans-serif"/>
          <w:color w:val="222222"/>
          <w:sz w:val="22"/>
        </w:rPr>
        <w:t>. To produce these decisions C. elegans requires only 302 neurons.</w:t>
      </w:r>
    </w:p>
    <w:p w14:paraId="454CAD09" w14:textId="17B5E6CA" w:rsidR="00236179" w:rsidRDefault="00236179" w:rsidP="00236179">
      <w:pPr>
        <w:pStyle w:val="Textbody"/>
        <w:spacing w:after="160" w:line="225" w:lineRule="atLeast"/>
        <w:rPr>
          <w:rFonts w:ascii="Calibri, sans-serif" w:hAnsi="Calibri, sans-serif"/>
          <w:color w:val="222222"/>
          <w:sz w:val="22"/>
        </w:rPr>
      </w:pPr>
      <w:r>
        <w:rPr>
          <w:rFonts w:ascii="Calibri, sans-serif" w:hAnsi="Calibri, sans-serif"/>
          <w:color w:val="222222"/>
          <w:sz w:val="22"/>
        </w:rPr>
        <w:t>Rhesus macaques and human</w:t>
      </w:r>
      <w:r>
        <w:rPr>
          <w:rFonts w:ascii="Calibri, sans-serif" w:hAnsi="Calibri, sans-serif"/>
          <w:color w:val="222222"/>
          <w:sz w:val="22"/>
        </w:rPr>
        <w:t xml:space="preserve"> participants</w:t>
      </w:r>
      <w:r>
        <w:rPr>
          <w:rFonts w:ascii="Calibri, sans-serif" w:hAnsi="Calibri, sans-serif"/>
          <w:color w:val="222222"/>
          <w:sz w:val="22"/>
        </w:rPr>
        <w:t xml:space="preserve"> in neuropsychological studies are able to produce similar </w:t>
      </w:r>
      <w:r>
        <w:rPr>
          <w:rFonts w:ascii="Calibri, sans-serif" w:hAnsi="Calibri, sans-serif"/>
          <w:color w:val="222222"/>
          <w:sz w:val="22"/>
        </w:rPr>
        <w:t xml:space="preserve">perceptual </w:t>
      </w:r>
      <w:r>
        <w:rPr>
          <w:rFonts w:ascii="Calibri, sans-serif" w:hAnsi="Calibri, sans-serif"/>
          <w:color w:val="222222"/>
          <w:sz w:val="22"/>
        </w:rPr>
        <w:t>decisions when presented with an array of randomly moving dots and the chance to win a reward (juice or money) if they can guess the correct aggregate direction</w:t>
      </w:r>
      <w:r>
        <w:rPr>
          <w:rFonts w:ascii="Calibri, sans-serif" w:hAnsi="Calibri, sans-serif"/>
          <w:color w:val="222222"/>
          <w:sz w:val="22"/>
        </w:rPr>
        <w:t xml:space="preserve"> </w:t>
      </w:r>
      <w:r>
        <w:rPr>
          <w:rFonts w:ascii="Calibri, sans-serif" w:hAnsi="Calibri, sans-serif" w:hint="eastAsia"/>
          <w:color w:val="222222"/>
          <w:sz w:val="22"/>
        </w:rPr>
        <w:fldChar w:fldCharType="begin" w:fldLock="1"/>
      </w:r>
      <w:r>
        <w:rPr>
          <w:rFonts w:ascii="Calibri, sans-serif" w:hAnsi="Calibri, sans-serif" w:hint="eastAsia"/>
          <w:color w:val="222222"/>
          <w:sz w:val="22"/>
        </w:rPr>
        <w:instrText>ADDIN CSL_CITATION {"citationItems":[{"id":"ITEM-1","itemData":{"DOI":"10.1152/jn.2001.86.4.1916","ISSN":"00223077","PMID":"11600651","abstract":"We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movement.","author":[{"dropping-particle":"","family":"Shadlen","given":"Michael N.","non-dropping-particle":"","parse-names":false,"suffix":""},{"dropping-particle":"","family":"Newsome","given":"William T.","non-dropping-particle":"","parse-names":false,"suffix":""}],"container-title":"Journal of Neurophysiology","id":"ITEM-1","issue":"4","issued":{"date-parts":[["2001"]]},"page":"1916-1936","title":"Neural basis of a perceptual decision in the parietal cortex (area LIP) of the rhesus monkey","type":"article-journal","volume":"86"},"uris":["http://www.mendeley.com/documents/?uuid=085a6de2-c3ba-40d1-ade9-c041f7624f95"]}],"mendeley":{"formattedCitation":"(Shadlen &amp; Newsome, 2001)","plainTextFormattedCitation":"(Shadlen &amp; Newsome, 2001)"},"properties":{"noteIndex":0},"schema":"https://github.com/citation-style-language/schema/raw/master/csl-citation.json"}</w:instrText>
      </w:r>
      <w:r>
        <w:rPr>
          <w:rFonts w:ascii="Calibri, sans-serif" w:hAnsi="Calibri, sans-serif" w:hint="eastAsia"/>
          <w:color w:val="222222"/>
          <w:sz w:val="22"/>
        </w:rPr>
        <w:fldChar w:fldCharType="separate"/>
      </w:r>
      <w:r w:rsidRPr="00236179">
        <w:rPr>
          <w:rFonts w:ascii="Calibri, sans-serif" w:hAnsi="Calibri, sans-serif" w:hint="eastAsia"/>
          <w:noProof/>
          <w:color w:val="222222"/>
          <w:sz w:val="22"/>
        </w:rPr>
        <w:t>(Shadlen &amp; Newsome, 2001)</w:t>
      </w:r>
      <w:r>
        <w:rPr>
          <w:rFonts w:ascii="Calibri, sans-serif" w:hAnsi="Calibri, sans-serif" w:hint="eastAsia"/>
          <w:color w:val="222222"/>
          <w:sz w:val="22"/>
        </w:rPr>
        <w:fldChar w:fldCharType="end"/>
      </w:r>
      <w:r>
        <w:rPr>
          <w:rFonts w:ascii="Calibri, sans-serif" w:hAnsi="Calibri, sans-serif"/>
          <w:color w:val="222222"/>
          <w:sz w:val="22"/>
        </w:rPr>
        <w:t xml:space="preserve">. However, millions of years of evolution has bestowed an expanded nervous system and the ability of </w:t>
      </w:r>
      <w:r>
        <w:rPr>
          <w:rFonts w:ascii="Calibri, sans-serif" w:hAnsi="Calibri, sans-serif"/>
          <w:color w:val="222222"/>
          <w:sz w:val="22"/>
        </w:rPr>
        <w:t xml:space="preserve">humans </w:t>
      </w:r>
      <w:r>
        <w:rPr>
          <w:rFonts w:ascii="Calibri, sans-serif" w:hAnsi="Calibri, sans-serif"/>
          <w:color w:val="222222"/>
          <w:sz w:val="22"/>
        </w:rPr>
        <w:t>not just  to make perceptual decisions on a lab task, but economic decisions as to whether the reward for participating in a study is worth getting out of bed for. Unlike worms, they do not just seek to maximise their understanding of their environment, but to maximise their utility</w:t>
      </w:r>
      <w:r>
        <w:rPr>
          <w:rFonts w:ascii="Calibri, sans-serif" w:hAnsi="Calibri, sans-serif"/>
          <w:color w:val="222222"/>
          <w:sz w:val="22"/>
        </w:rPr>
        <w:t>:</w:t>
      </w:r>
      <w:r>
        <w:rPr>
          <w:rFonts w:ascii="Calibri, sans-serif" w:hAnsi="Calibri, sans-serif"/>
          <w:color w:val="222222"/>
          <w:sz w:val="22"/>
        </w:rPr>
        <w:t xml:space="preserve"> how satisfying getting an extra hour sleep is compared to the compensation for attending and completing the task.</w:t>
      </w:r>
    </w:p>
    <w:p w14:paraId="38638583" w14:textId="5D05B9EC" w:rsidR="00236179" w:rsidRDefault="00236179" w:rsidP="00236179">
      <w:pPr>
        <w:pStyle w:val="Textbody"/>
        <w:spacing w:after="160" w:line="225" w:lineRule="atLeast"/>
        <w:rPr>
          <w:rFonts w:ascii="Calibri, sans-serif" w:hAnsi="Calibri, sans-serif"/>
          <w:color w:val="222222"/>
          <w:sz w:val="22"/>
        </w:rPr>
      </w:pPr>
    </w:p>
    <w:p w14:paraId="3FBA6994" w14:textId="77777777" w:rsidR="00236179" w:rsidRDefault="00236179" w:rsidP="00236179">
      <w:pPr>
        <w:pStyle w:val="Textbody"/>
        <w:spacing w:after="160" w:line="225" w:lineRule="atLeast"/>
        <w:rPr>
          <w:rFonts w:ascii="Calibri, sans-serif" w:hAnsi="Calibri, sans-serif" w:hint="eastAsia"/>
          <w:color w:val="222222"/>
          <w:sz w:val="22"/>
        </w:rPr>
      </w:pPr>
    </w:p>
    <w:p w14:paraId="234DD91F" w14:textId="77777777" w:rsidR="00236179" w:rsidRDefault="00236179" w:rsidP="00236179">
      <w:pPr>
        <w:pStyle w:val="Textbody"/>
        <w:spacing w:after="160" w:line="225" w:lineRule="atLeast"/>
      </w:pPr>
      <w:r>
        <w:rPr>
          <w:rFonts w:ascii="Calibri, sans-serif" w:hAnsi="Calibri, sans-serif"/>
          <w:color w:val="0563C1"/>
          <w:sz w:val="22"/>
        </w:rPr>
        <w:t>This choice by the participants indicates their ordinal utility: which of the two options has a greater subjective utility for that person. If a subject was booked for many such appointments with minor random fluctuations (how much sleep they got the night before, the weather outside, etc.) the proportion of attendance could be used to calculate the cardinal utility the subject has for the payment for taking part in a study.</w:t>
      </w:r>
    </w:p>
    <w:p w14:paraId="7C8F3D2B" w14:textId="77777777" w:rsidR="00236179" w:rsidRDefault="00236179" w:rsidP="00236179">
      <w:pPr>
        <w:pStyle w:val="Textbody"/>
        <w:spacing w:after="160" w:line="225" w:lineRule="atLeast"/>
      </w:pPr>
      <w:r>
        <w:rPr>
          <w:rFonts w:ascii="Calibri, sans-serif" w:hAnsi="Calibri, sans-serif"/>
          <w:color w:val="0563C1"/>
          <w:sz w:val="22"/>
        </w:rPr>
        <w:t xml:space="preserve">Such an experiment would require many trials at great frustration to the experimenter, </w:t>
      </w:r>
      <w:proofErr w:type="gramStart"/>
      <w:r>
        <w:rPr>
          <w:rFonts w:ascii="Calibri, sans-serif" w:hAnsi="Calibri, sans-serif"/>
          <w:color w:val="0563C1"/>
          <w:sz w:val="22"/>
        </w:rPr>
        <w:t>and also</w:t>
      </w:r>
      <w:proofErr w:type="gramEnd"/>
      <w:r>
        <w:rPr>
          <w:rFonts w:ascii="Calibri, sans-serif" w:hAnsi="Calibri, sans-serif"/>
          <w:color w:val="0563C1"/>
          <w:sz w:val="22"/>
        </w:rPr>
        <w:t xml:space="preserve"> be prone to being biased by the randomness necessary to elicit switching behaviour. As a society we have discovered a much more efficient way to estimate the utility that must be offered to ensure a participant turns up: ask them how much money it would cost.</w:t>
      </w:r>
    </w:p>
    <w:p w14:paraId="1E2AA2B1" w14:textId="77777777" w:rsidR="00236179" w:rsidRDefault="00236179" w:rsidP="00236179">
      <w:pPr>
        <w:pStyle w:val="Textbody"/>
        <w:spacing w:after="160" w:line="225" w:lineRule="atLeast"/>
      </w:pPr>
      <w:r>
        <w:rPr>
          <w:rFonts w:ascii="Calibri, sans-serif" w:hAnsi="Calibri, sans-serif"/>
          <w:color w:val="0563C1"/>
          <w:sz w:val="22"/>
        </w:rPr>
        <w:t xml:space="preserve">The central argument of this thesis is that such immediate reports of the utility an individual has for a presented reward should be exploited by neuroscientists when investigating the neuronal basis of reward. Almost all previous studies in neuroeconomics have used repeated measures designs from which binomial regression is used to infer average utility. I present data from two monkeys trained on a 'Becker DeGroot </w:t>
      </w:r>
      <w:proofErr w:type="spellStart"/>
      <w:r>
        <w:rPr>
          <w:rFonts w:ascii="Calibri, sans-serif" w:hAnsi="Calibri, sans-serif"/>
          <w:color w:val="0563C1"/>
          <w:sz w:val="22"/>
        </w:rPr>
        <w:t>Marshack</w:t>
      </w:r>
      <w:proofErr w:type="spellEnd"/>
      <w:r>
        <w:rPr>
          <w:rFonts w:ascii="Calibri, sans-serif" w:hAnsi="Calibri, sans-serif"/>
          <w:color w:val="0563C1"/>
          <w:sz w:val="22"/>
        </w:rPr>
        <w:t xml:space="preserve">' (BDM) auction task in which the utility-maximising strategy is to </w:t>
      </w:r>
      <w:proofErr w:type="gramStart"/>
      <w:r>
        <w:rPr>
          <w:rFonts w:ascii="Calibri, sans-serif" w:hAnsi="Calibri, sans-serif"/>
          <w:color w:val="0563C1"/>
          <w:sz w:val="22"/>
        </w:rPr>
        <w:t>report  exactly</w:t>
      </w:r>
      <w:proofErr w:type="gramEnd"/>
      <w:r>
        <w:rPr>
          <w:rFonts w:ascii="Calibri, sans-serif" w:hAnsi="Calibri, sans-serif"/>
          <w:color w:val="0563C1"/>
          <w:sz w:val="22"/>
        </w:rPr>
        <w:t xml:space="preserve"> the value of a reward in terms of a 'budget' numeraire. Simultaneous single-neuron recordings from the midbrains of these monkeys are then …...</w:t>
      </w:r>
    </w:p>
    <w:p w14:paraId="64B034BE" w14:textId="77777777" w:rsidR="00236179" w:rsidRDefault="00236179" w:rsidP="00236179">
      <w:pPr>
        <w:pStyle w:val="Textbody"/>
        <w:spacing w:after="160" w:line="225" w:lineRule="atLeast"/>
      </w:pPr>
      <w:r>
        <w:rPr>
          <w:rFonts w:ascii="Calibri, sans-serif" w:hAnsi="Calibri, sans-serif"/>
          <w:color w:val="0563C1"/>
          <w:sz w:val="22"/>
        </w:rPr>
        <w:t xml:space="preserve">The remainder of this first chapter discuss the history of research into economic decision making and expected utility theory, and how this has recently dovetailed with neuroscientific research of reward structures in the mammalian midbrain. The second and third chapters of the thesis describe the theory behind the BDM task, the task design, and the behavioural data from the monkeys trained on it, confirming its validity as a model task for primate neuroeconomic research. The fourth and fifth chapters detail the methods used to record single dopaminergic neurons from the midbrains of the two </w:t>
      </w:r>
      <w:proofErr w:type="gramStart"/>
      <w:r>
        <w:rPr>
          <w:rFonts w:ascii="Calibri, sans-serif" w:hAnsi="Calibri, sans-serif"/>
          <w:color w:val="0563C1"/>
          <w:sz w:val="22"/>
        </w:rPr>
        <w:t>monkeys,  the</w:t>
      </w:r>
      <w:proofErr w:type="gramEnd"/>
      <w:r>
        <w:rPr>
          <w:rFonts w:ascii="Calibri, sans-serif" w:hAnsi="Calibri, sans-serif"/>
          <w:color w:val="0563C1"/>
          <w:sz w:val="22"/>
        </w:rPr>
        <w:t xml:space="preserve"> data obtained in these recordings, and models produced from this data. </w:t>
      </w:r>
      <w:proofErr w:type="gramStart"/>
      <w:r>
        <w:rPr>
          <w:rFonts w:ascii="Calibri, sans-serif" w:hAnsi="Calibri, sans-serif"/>
          <w:color w:val="0563C1"/>
          <w:sz w:val="22"/>
        </w:rPr>
        <w:t>Finally</w:t>
      </w:r>
      <w:proofErr w:type="gramEnd"/>
      <w:r>
        <w:rPr>
          <w:rFonts w:ascii="Calibri, sans-serif" w:hAnsi="Calibri, sans-serif"/>
          <w:color w:val="0563C1"/>
          <w:sz w:val="22"/>
        </w:rPr>
        <w:t xml:space="preserve"> the concluding chapter frame this thesis in the context of present research into the dopaminergic system and present ideas of particular interest that go beyond the scope of this project.</w:t>
      </w:r>
    </w:p>
    <w:p w14:paraId="2CB8B7A5" w14:textId="77777777" w:rsidR="00971152" w:rsidRDefault="00971152"/>
    <w:sectPr w:rsidR="009711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sans-serif">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179"/>
    <w:rsid w:val="00236179"/>
    <w:rsid w:val="00971152"/>
    <w:rsid w:val="00F004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8407"/>
  <w15:chartTrackingRefBased/>
  <w15:docId w15:val="{094C6DCB-8462-472C-AFBA-A46CD0D1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ody">
    <w:name w:val="Text body"/>
    <w:basedOn w:val="Normal"/>
    <w:rsid w:val="00236179"/>
    <w:pPr>
      <w:widowControl w:val="0"/>
      <w:suppressAutoHyphens/>
      <w:autoSpaceDN w:val="0"/>
      <w:spacing w:after="120" w:line="240" w:lineRule="auto"/>
      <w:textAlignment w:val="baseline"/>
    </w:pPr>
    <w:rPr>
      <w:rFonts w:ascii="Times New Roman" w:eastAsia="SimSun" w:hAnsi="Times New Roman" w:cs="Ari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9148E-62DE-4B03-8201-2BCC8DED9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1635</Words>
  <Characters>9326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1</cp:revision>
  <dcterms:created xsi:type="dcterms:W3CDTF">2020-11-11T15:16:00Z</dcterms:created>
  <dcterms:modified xsi:type="dcterms:W3CDTF">2020-11-11T16:45:00Z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