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CC4E2C" w14:textId="77777777" w:rsidR="0093108A" w:rsidRDefault="0093108A">
      <w:pPr>
        <w:widowControl/>
        <w:suppressAutoHyphens w:val="0"/>
        <w:spacing w:after="160" w:line="259" w:lineRule="auto"/>
        <w:rPr>
          <w:b/>
          <w:bCs/>
          <w:u w:val="single"/>
        </w:rPr>
      </w:pPr>
      <w:r>
        <w:rPr>
          <w:b/>
          <w:bCs/>
          <w:u w:val="single"/>
        </w:rPr>
        <w:t>To do</w:t>
      </w:r>
    </w:p>
    <w:p w14:paraId="634102EA" w14:textId="77777777" w:rsidR="0093108A" w:rsidRDefault="0093108A" w:rsidP="0093108A">
      <w:pPr>
        <w:widowControl/>
        <w:suppressAutoHyphens w:val="0"/>
        <w:spacing w:after="160" w:line="259" w:lineRule="auto"/>
      </w:pPr>
    </w:p>
    <w:p w14:paraId="7E643AD4" w14:textId="77777777" w:rsidR="0093108A" w:rsidRDefault="0093108A" w:rsidP="0093108A">
      <w:pPr>
        <w:widowControl/>
        <w:suppressAutoHyphens w:val="0"/>
        <w:spacing w:after="160" w:line="259" w:lineRule="auto"/>
      </w:pPr>
      <w:r>
        <w:t>1) finish off end – link back to intro</w:t>
      </w:r>
    </w:p>
    <w:p w14:paraId="137A94CF" w14:textId="77777777" w:rsidR="0093108A" w:rsidRDefault="0093108A" w:rsidP="0093108A">
      <w:pPr>
        <w:widowControl/>
        <w:suppressAutoHyphens w:val="0"/>
        <w:spacing w:after="160" w:line="259" w:lineRule="auto"/>
      </w:pPr>
      <w:r>
        <w:t>2) add some revealed preference history on binary choice stuff – see mark’s thesis intro</w:t>
      </w:r>
    </w:p>
    <w:p w14:paraId="1C9B01C2" w14:textId="77777777" w:rsidR="0093108A" w:rsidRDefault="0093108A" w:rsidP="0093108A">
      <w:pPr>
        <w:widowControl/>
        <w:suppressAutoHyphens w:val="0"/>
        <w:spacing w:after="160" w:line="259" w:lineRule="auto"/>
      </w:pPr>
      <w:r>
        <w:t>3) go over equations and make sure using same terms over all. Also name equations and link back to names</w:t>
      </w:r>
    </w:p>
    <w:p w14:paraId="353FC1B9" w14:textId="77777777" w:rsidR="0093108A" w:rsidRDefault="0093108A" w:rsidP="0093108A">
      <w:pPr>
        <w:widowControl/>
        <w:suppressAutoHyphens w:val="0"/>
        <w:spacing w:after="160" w:line="259" w:lineRule="auto"/>
      </w:pPr>
      <w:r>
        <w:t>4) make plot axis text bigger</w:t>
      </w:r>
    </w:p>
    <w:p w14:paraId="71AD5751" w14:textId="77777777" w:rsidR="00047269" w:rsidRDefault="0093108A" w:rsidP="0093108A">
      <w:pPr>
        <w:widowControl/>
        <w:suppressAutoHyphens w:val="0"/>
        <w:spacing w:after="160" w:line="259" w:lineRule="auto"/>
      </w:pPr>
      <w:r>
        <w:t>5) properly name sections and format titles etc</w:t>
      </w:r>
    </w:p>
    <w:p w14:paraId="050D66E1" w14:textId="77777777" w:rsidR="000C6100" w:rsidRDefault="00047269" w:rsidP="0093108A">
      <w:pPr>
        <w:widowControl/>
        <w:suppressAutoHyphens w:val="0"/>
        <w:spacing w:after="160" w:line="259" w:lineRule="auto"/>
      </w:pPr>
      <w:r>
        <w:t>6) decide what to do with appendix on utility vs value</w:t>
      </w:r>
    </w:p>
    <w:p w14:paraId="4832C9B3" w14:textId="494E10FC" w:rsidR="0093108A" w:rsidRPr="0093108A" w:rsidRDefault="000C6100" w:rsidP="0093108A">
      <w:pPr>
        <w:widowControl/>
        <w:suppressAutoHyphens w:val="0"/>
        <w:spacing w:after="160" w:line="259" w:lineRule="auto"/>
      </w:pPr>
      <w:r>
        <w:t>7) renumber appendices/figures</w:t>
      </w:r>
      <w:r w:rsidR="0093108A" w:rsidRPr="0093108A">
        <w:rPr>
          <w:b/>
          <w:bCs/>
          <w:u w:val="single"/>
        </w:rPr>
        <w:br w:type="page"/>
      </w:r>
    </w:p>
    <w:p w14:paraId="0487F05D" w14:textId="300EF0A5" w:rsidR="00F17942" w:rsidRDefault="00F17942" w:rsidP="005D79EA">
      <w:pPr>
        <w:rPr>
          <w:b/>
          <w:bCs/>
          <w:u w:val="single"/>
        </w:rPr>
      </w:pPr>
      <w:r>
        <w:rPr>
          <w:b/>
          <w:bCs/>
          <w:u w:val="single"/>
        </w:rPr>
        <w:lastRenderedPageBreak/>
        <w:t>Chapter 2 – Auction Theory as a Neuroscientific Tool</w:t>
      </w:r>
    </w:p>
    <w:p w14:paraId="0956AB6D" w14:textId="5CFB3ACE" w:rsidR="00D42A2B" w:rsidRDefault="00D42A2B" w:rsidP="005D79EA">
      <w:pPr>
        <w:rPr>
          <w:b/>
          <w:bCs/>
          <w:u w:val="single"/>
        </w:rPr>
      </w:pPr>
    </w:p>
    <w:p w14:paraId="3E821AE4" w14:textId="42FCB0CA" w:rsidR="009A7EF7" w:rsidRDefault="00B3153F" w:rsidP="005D79EA">
      <w:r>
        <w:t>One problem</w:t>
      </w:r>
      <w:r w:rsidR="00A77D0C">
        <w:t xml:space="preserve"> that</w:t>
      </w:r>
      <w:r>
        <w:t xml:space="preserve"> </w:t>
      </w:r>
      <w:r w:rsidR="00B36487">
        <w:t>stud</w:t>
      </w:r>
      <w:r w:rsidR="009252D4">
        <w:t>ies</w:t>
      </w:r>
      <w:r>
        <w:t xml:space="preserve"> of economic </w:t>
      </w:r>
      <w:r w:rsidR="00183839">
        <w:t>decision-making</w:t>
      </w:r>
      <w:r>
        <w:t xml:space="preserve"> face is that utility is an internally generated value and must be reported by any animal o</w:t>
      </w:r>
      <w:r w:rsidR="00A77D0C">
        <w:t>r</w:t>
      </w:r>
      <w:r>
        <w:t xml:space="preserve"> human subject</w:t>
      </w:r>
      <w:r w:rsidR="00A77D0C">
        <w:t xml:space="preserve"> to an external observer</w:t>
      </w:r>
      <w:r>
        <w:t>.</w:t>
      </w:r>
      <w:r w:rsidR="00B36487">
        <w:t xml:space="preserve"> The </w:t>
      </w:r>
      <w:r w:rsidR="0023424D">
        <w:t>context</w:t>
      </w:r>
      <w:r w:rsidR="00B36487">
        <w:t xml:space="preserve"> a subject finds themselves </w:t>
      </w:r>
      <w:r w:rsidR="0023424D">
        <w:t>in</w:t>
      </w:r>
      <w:r w:rsidR="00B36487">
        <w:t xml:space="preserve"> is a key constraint on how easily and accurately a</w:t>
      </w:r>
      <w:r w:rsidR="0023424D">
        <w:t>n experimenter can measure a participant’s utility</w:t>
      </w:r>
      <w:r w:rsidR="00B36487">
        <w:t>. Therefore, choosing an adequate task for any animal or human is of the utmost importance.</w:t>
      </w:r>
    </w:p>
    <w:p w14:paraId="34EBDE92" w14:textId="140D2B1A" w:rsidR="00016C22" w:rsidRDefault="00016C22" w:rsidP="005D79EA"/>
    <w:p w14:paraId="5302DAD2" w14:textId="004B094B" w:rsidR="00B3153F" w:rsidRPr="00B3153F" w:rsidRDefault="00936035" w:rsidP="005D79EA">
      <w:r>
        <w:t xml:space="preserve">Making invasive recordings from a model organism is both time consuming and requires the sacrifice of animals. It is vital that experiments are designed to generate the most pertinent and robust findings possible given these costs. As </w:t>
      </w:r>
      <w:r w:rsidR="00F02BCB" w:rsidRPr="00F02BCB">
        <w:rPr>
          <w:color w:val="000000" w:themeColor="text1"/>
        </w:rPr>
        <w:t>expressed by</w:t>
      </w:r>
      <w:r w:rsidR="005D1125">
        <w:t xml:space="preserve"> </w:t>
      </w:r>
      <w:r w:rsidR="005D1125">
        <w:fldChar w:fldCharType="begin" w:fldLock="1"/>
      </w:r>
      <w:r w:rsidR="0017319F">
        <w:instrText>ADDIN CSL_CITATION {"citationItems":[{"id":"ITEM-1","itemData":{"DOI":"10.4324/9781003026273-16","abstract":"Understanding the brain requires us to answer both what the brain does, and how it does it. Using a series of examples, I make the case that behavior is often more useful than neuroscientific measurements for answering the first question 1. Moreover, I show that even for \"how\" questions that pertain to neural mechanism, a well-crafted behavioral paradigm can offer deeper insight and stronger constraints on computational and mechanistic models than do many highly challenging (and very expensive) neural studies. I conclude that behavioral, rather than neuroscientific research, is essential for understanding the brain, contrary to the opinion of prominent funding bodies and scientific journals, who erroneously place neural data on a pedestal and consider behavior to be subsidiary.","author":[{"dropping-particle":"","family":"Niv","given":"Yael","non-dropping-particle":"","parse-names":false,"suffix":""}],"container-title":"Current Controversies in Philosophy of Cognitive Science","id":"ITEM-1","issued":{"date-parts":[["2020"]]},"page":"134-151","title":"On the Primacy of Behavioral Research for Understanding the Brain","type":"article-journal"},"uris":["http://www.mendeley.com/documents/?uuid=410d20a6-633b-4a7d-b7c9-ae959fc5b572"]}],"mendeley":{"formattedCitation":"(Niv, 2020)","manualFormatting":"Niv, 2020","plainTextFormattedCitation":"(Niv, 2020)","previouslyFormattedCitation":"(Niv, 2020)"},"properties":{"noteIndex":0},"schema":"https://github.com/citation-style-language/schema/raw/master/csl-citation.json"}</w:instrText>
      </w:r>
      <w:r w:rsidR="005D1125">
        <w:fldChar w:fldCharType="separate"/>
      </w:r>
      <w:r w:rsidR="005D1125" w:rsidRPr="005D1125">
        <w:rPr>
          <w:noProof/>
        </w:rPr>
        <w:t>Niv, 2020</w:t>
      </w:r>
      <w:r w:rsidR="005D1125">
        <w:fldChar w:fldCharType="end"/>
      </w:r>
      <w:r w:rsidR="005D1125">
        <w:t xml:space="preserve">, </w:t>
      </w:r>
      <w:r w:rsidR="00B3153F" w:rsidRPr="00B3153F">
        <w:rPr>
          <w:i/>
          <w:iCs/>
        </w:rPr>
        <w:t>“</w:t>
      </w:r>
      <w:r w:rsidR="005D1125">
        <w:rPr>
          <w:i/>
          <w:iCs/>
        </w:rPr>
        <w:t>a</w:t>
      </w:r>
      <w:r w:rsidR="00B3153F" w:rsidRPr="00B3153F">
        <w:rPr>
          <w:i/>
          <w:iCs/>
        </w:rPr>
        <w:t xml:space="preserve">rguably, the most interesting findings from neural recordings or perturbations are </w:t>
      </w:r>
      <w:r w:rsidR="00B3153F">
        <w:rPr>
          <w:i/>
          <w:iCs/>
        </w:rPr>
        <w:t>[…]</w:t>
      </w:r>
      <w:r w:rsidR="00B3153F" w:rsidRPr="00B3153F">
        <w:rPr>
          <w:i/>
          <w:iCs/>
        </w:rPr>
        <w:t>coupled with incisive, hypothesis-driven behavio</w:t>
      </w:r>
      <w:r w:rsidR="00F02BCB">
        <w:rPr>
          <w:i/>
          <w:iCs/>
        </w:rPr>
        <w:t>u</w:t>
      </w:r>
      <w:r w:rsidR="00B3153F" w:rsidRPr="00B3153F">
        <w:rPr>
          <w:i/>
          <w:iCs/>
        </w:rPr>
        <w:t>ral experimental designs.</w:t>
      </w:r>
      <w:r w:rsidR="005D1125">
        <w:rPr>
          <w:i/>
          <w:iCs/>
        </w:rPr>
        <w:t>”</w:t>
      </w:r>
      <w:r w:rsidR="00B3153F">
        <w:t xml:space="preserve"> </w:t>
      </w:r>
      <w:r w:rsidR="0013353B">
        <w:t>The key</w:t>
      </w:r>
      <w:r w:rsidR="00CE2A43">
        <w:t xml:space="preserve"> differentiating</w:t>
      </w:r>
      <w:r w:rsidR="0013353B">
        <w:t xml:space="preserve"> aspect of this thesis is its choice of behavioural paradigm</w:t>
      </w:r>
      <w:r w:rsidR="00CE2A43">
        <w:t xml:space="preserve"> for electrophysiological recording</w:t>
      </w:r>
      <w:r w:rsidR="0013353B">
        <w:t>. Instead of using repeated binary choices made by an animal, we record from non-human primates performing a</w:t>
      </w:r>
      <w:r w:rsidR="0097677C">
        <w:t>n</w:t>
      </w:r>
      <w:r w:rsidR="0013353B">
        <w:t xml:space="preserve"> auction task. The focus of this chapter is to describe the importance of this</w:t>
      </w:r>
      <w:r w:rsidR="00CE2A43">
        <w:t xml:space="preserve"> difference</w:t>
      </w:r>
      <w:r w:rsidR="0013353B">
        <w:t>, and the nuances of the task.</w:t>
      </w:r>
    </w:p>
    <w:p w14:paraId="619F917F" w14:textId="77777777" w:rsidR="00F17942" w:rsidRDefault="00F17942" w:rsidP="005D79EA">
      <w:pPr>
        <w:rPr>
          <w:b/>
          <w:bCs/>
          <w:u w:val="single"/>
        </w:rPr>
      </w:pPr>
    </w:p>
    <w:p w14:paraId="242C4A46" w14:textId="6E1CCADE" w:rsidR="005D79EA" w:rsidRDefault="005D79EA" w:rsidP="005D79EA">
      <w:pPr>
        <w:rPr>
          <w:bCs/>
        </w:rPr>
      </w:pPr>
      <w:r>
        <w:rPr>
          <w:b/>
          <w:bCs/>
          <w:u w:val="single"/>
        </w:rPr>
        <w:t>What makes a good economic task?</w:t>
      </w:r>
    </w:p>
    <w:p w14:paraId="522A1839" w14:textId="77777777" w:rsidR="005D79EA" w:rsidRDefault="005D79EA" w:rsidP="005D79EA">
      <w:pPr>
        <w:rPr>
          <w:bCs/>
        </w:rPr>
      </w:pPr>
    </w:p>
    <w:p w14:paraId="33F036C6" w14:textId="6CCB58AD" w:rsidR="005D79EA" w:rsidRDefault="00045F70" w:rsidP="005D79EA">
      <w:pPr>
        <w:rPr>
          <w:bCs/>
        </w:rPr>
      </w:pPr>
      <w:r>
        <w:rPr>
          <w:bCs/>
        </w:rPr>
        <w:t xml:space="preserve">When </w:t>
      </w:r>
      <w:r w:rsidR="005D79EA">
        <w:rPr>
          <w:bCs/>
        </w:rPr>
        <w:t>using an economic task as an experimental paradigm, it is crucial that the task should reveal the mechanisms used by the subject to make economic decisions.  For instance, a game of roulette using a fair (random) wheel where the subject can pick one number</w:t>
      </w:r>
      <w:r w:rsidR="003A4628">
        <w:rPr>
          <w:bCs/>
        </w:rPr>
        <w:t xml:space="preserve"> on which</w:t>
      </w:r>
      <w:r w:rsidR="005D79EA">
        <w:rPr>
          <w:bCs/>
        </w:rPr>
        <w:t xml:space="preserve"> to place a bet cannot reveal anything about how the subject makes economic decisions. Each possible choice the subject can make has the same expected payoff and so no choice</w:t>
      </w:r>
      <w:r w:rsidR="003A4628">
        <w:rPr>
          <w:bCs/>
        </w:rPr>
        <w:t xml:space="preserve"> exists</w:t>
      </w:r>
      <w:r w:rsidR="005D79EA">
        <w:rPr>
          <w:bCs/>
        </w:rPr>
        <w:t xml:space="preserve"> that has any more value than another.</w:t>
      </w:r>
    </w:p>
    <w:p w14:paraId="21720B45" w14:textId="77777777" w:rsidR="005D79EA" w:rsidRDefault="005D79EA" w:rsidP="005D79EA">
      <w:pPr>
        <w:rPr>
          <w:bCs/>
        </w:rPr>
      </w:pPr>
    </w:p>
    <w:p w14:paraId="2F271887" w14:textId="7AFB5323" w:rsidR="005D79EA" w:rsidRDefault="005D79EA" w:rsidP="005D79EA">
      <w:pPr>
        <w:rPr>
          <w:bCs/>
        </w:rPr>
      </w:pPr>
      <w:r>
        <w:rPr>
          <w:bCs/>
        </w:rPr>
        <w:t xml:space="preserve">If we then allow the roulette player to pick how to spread their bets, the task presented is still inherently random (there is no ‘winning strategy’ to roulette), but we have allowed the subject to alter the expected </w:t>
      </w:r>
      <w:r w:rsidR="003A4628">
        <w:rPr>
          <w:bCs/>
        </w:rPr>
        <w:t>utility</w:t>
      </w:r>
      <w:r>
        <w:rPr>
          <w:bCs/>
        </w:rPr>
        <w:t xml:space="preserve"> of a trial. A player who routinely spread bets thinly is risk averse, preferring a higher chance of small wins, compared to one who places it all on </w:t>
      </w:r>
      <w:r w:rsidR="00183839">
        <w:rPr>
          <w:bCs/>
        </w:rPr>
        <w:t>one number</w:t>
      </w:r>
      <w:r>
        <w:rPr>
          <w:bCs/>
        </w:rPr>
        <w:t xml:space="preserve">, seeking large (risky) gains. This task is now suitable for use in understanding a subject’s risk preferences, and how and why these change as they </w:t>
      </w:r>
      <w:r w:rsidR="00183839">
        <w:rPr>
          <w:bCs/>
        </w:rPr>
        <w:t>complete multiple rounds of the task</w:t>
      </w:r>
      <w:r w:rsidR="003A4628">
        <w:rPr>
          <w:rStyle w:val="FootnoteReference"/>
          <w:bCs/>
        </w:rPr>
        <w:footnoteReference w:id="1"/>
      </w:r>
      <w:r>
        <w:rPr>
          <w:bCs/>
        </w:rPr>
        <w:t>.</w:t>
      </w:r>
    </w:p>
    <w:p w14:paraId="09E4D14E" w14:textId="77777777" w:rsidR="005D79EA" w:rsidRDefault="005D79EA" w:rsidP="005D79EA">
      <w:pPr>
        <w:rPr>
          <w:bCs/>
        </w:rPr>
      </w:pPr>
    </w:p>
    <w:p w14:paraId="2A3E6425" w14:textId="684922BE" w:rsidR="005D79EA" w:rsidRDefault="005D79EA" w:rsidP="005D79EA">
      <w:pPr>
        <w:rPr>
          <w:bCs/>
        </w:rPr>
      </w:pPr>
      <w:r>
        <w:rPr>
          <w:bCs/>
        </w:rPr>
        <w:t xml:space="preserve">In contrast, if there are </w:t>
      </w:r>
      <w:r>
        <w:rPr>
          <w:bCs/>
          <w:i/>
        </w:rPr>
        <w:t>too many</w:t>
      </w:r>
      <w:r>
        <w:rPr>
          <w:bCs/>
        </w:rPr>
        <w:t xml:space="preserve"> potential strategies for a task, it is also difficult to glean any understanding of how a subject makes decisions. For instance, in a round of poker any player who bets high may hold a ha</w:t>
      </w:r>
      <w:r w:rsidR="009D4A68">
        <w:rPr>
          <w:bCs/>
        </w:rPr>
        <w:t>nd they subjectively value,</w:t>
      </w:r>
      <w:r w:rsidR="00BF3245">
        <w:rPr>
          <w:bCs/>
        </w:rPr>
        <w:t xml:space="preserve"> </w:t>
      </w:r>
      <w:r>
        <w:rPr>
          <w:bCs/>
        </w:rPr>
        <w:t>or be bluffing on a poor hand</w:t>
      </w:r>
      <w:r>
        <w:rPr>
          <w:rStyle w:val="FootnoteReference"/>
          <w:bCs/>
        </w:rPr>
        <w:footnoteReference w:id="2"/>
      </w:r>
      <w:r>
        <w:rPr>
          <w:bCs/>
        </w:rPr>
        <w:t>. There is no incentive for the player to truthfully reveal the value of their hand, as doing so would allow opposing players to exploit them.</w:t>
      </w:r>
      <w:r w:rsidR="009D4A68">
        <w:rPr>
          <w:bCs/>
        </w:rPr>
        <w:t xml:space="preserve"> As there is no rule that a poker player must state which strategy they are using, there is no way for would-be economists to know exactly the subjective value placed upon the cards drawn.</w:t>
      </w:r>
    </w:p>
    <w:p w14:paraId="3694ABDF" w14:textId="77777777" w:rsidR="005D79EA" w:rsidRDefault="005D79EA" w:rsidP="005D79EA">
      <w:pPr>
        <w:rPr>
          <w:bCs/>
        </w:rPr>
      </w:pPr>
    </w:p>
    <w:p w14:paraId="5FD105B6" w14:textId="2E557D99" w:rsidR="005D79EA" w:rsidRDefault="005D79EA" w:rsidP="005D79EA">
      <w:pPr>
        <w:rPr>
          <w:bCs/>
        </w:rPr>
      </w:pPr>
      <w:r>
        <w:rPr>
          <w:bCs/>
        </w:rPr>
        <w:t xml:space="preserve">It is crucial that any task used to reveal a subject’s valuation of a chosen option is </w:t>
      </w:r>
      <w:r>
        <w:rPr>
          <w:bCs/>
          <w:i/>
        </w:rPr>
        <w:t>incentive compatible.</w:t>
      </w:r>
      <w:r>
        <w:rPr>
          <w:bCs/>
        </w:rPr>
        <w:t xml:space="preserve"> I.e. it is </w:t>
      </w:r>
      <w:r>
        <w:rPr>
          <w:bCs/>
          <w:u w:val="single"/>
        </w:rPr>
        <w:t>always</w:t>
      </w:r>
      <w:r>
        <w:rPr>
          <w:bCs/>
        </w:rPr>
        <w:t xml:space="preserve"> in the best, selfish, interests of any participant in the task to </w:t>
      </w:r>
      <w:r>
        <w:rPr>
          <w:bCs/>
        </w:rPr>
        <w:lastRenderedPageBreak/>
        <w:t xml:space="preserve">truthfully reveal exactly their preferences, or valuation, of the presented options. This is doubly important in any animal models of economic decision making where the strategies available to </w:t>
      </w:r>
      <w:r w:rsidR="007B6DFF">
        <w:rPr>
          <w:bCs/>
        </w:rPr>
        <w:t>an</w:t>
      </w:r>
      <w:r>
        <w:rPr>
          <w:bCs/>
        </w:rPr>
        <w:t xml:space="preserve"> animal cannot be</w:t>
      </w:r>
      <w:r w:rsidR="007B6DFF">
        <w:rPr>
          <w:bCs/>
        </w:rPr>
        <w:t xml:space="preserve"> verbally</w:t>
      </w:r>
      <w:r>
        <w:rPr>
          <w:bCs/>
        </w:rPr>
        <w:t xml:space="preserve"> explained</w:t>
      </w:r>
      <w:r w:rsidR="00270E94">
        <w:rPr>
          <w:bCs/>
        </w:rPr>
        <w:t xml:space="preserve"> and</w:t>
      </w:r>
      <w:r>
        <w:rPr>
          <w:bCs/>
        </w:rPr>
        <w:t xml:space="preserve"> must be learnt via reinforcement. The strategy the animal settles on should always converge to the one which yields the maximum rate of </w:t>
      </w:r>
      <w:r w:rsidR="00270E94">
        <w:rPr>
          <w:bCs/>
        </w:rPr>
        <w:t>subjective value</w:t>
      </w:r>
      <w:r>
        <w:rPr>
          <w:bCs/>
        </w:rPr>
        <w:t xml:space="preserve"> returned</w:t>
      </w:r>
      <w:r>
        <w:rPr>
          <w:rStyle w:val="FootnoteReference"/>
          <w:bCs/>
        </w:rPr>
        <w:footnoteReference w:id="3"/>
      </w:r>
      <w:r>
        <w:rPr>
          <w:bCs/>
        </w:rPr>
        <w:t>.</w:t>
      </w:r>
    </w:p>
    <w:p w14:paraId="70D4FEED" w14:textId="77777777" w:rsidR="005D79EA" w:rsidRDefault="005D79EA" w:rsidP="005D79EA">
      <w:pPr>
        <w:rPr>
          <w:bCs/>
        </w:rPr>
      </w:pPr>
    </w:p>
    <w:p w14:paraId="3644D085" w14:textId="4CCF736C" w:rsidR="005D79EA" w:rsidRDefault="005D79EA" w:rsidP="005D79EA">
      <w:pPr>
        <w:rPr>
          <w:bCs/>
        </w:rPr>
      </w:pPr>
      <w:r>
        <w:rPr>
          <w:bCs/>
        </w:rPr>
        <w:t>Any task</w:t>
      </w:r>
      <w:r w:rsidR="004B39E1">
        <w:rPr>
          <w:bCs/>
        </w:rPr>
        <w:t xml:space="preserve"> suitable</w:t>
      </w:r>
      <w:r>
        <w:rPr>
          <w:bCs/>
        </w:rPr>
        <w:t xml:space="preserve"> for research into economic behaviour therefore should have a single, obvious strategy which is incentive compatible. A self-interested participant in the task should always follow this utility-maximising strategy, which is referred to as the </w:t>
      </w:r>
      <w:r>
        <w:rPr>
          <w:bCs/>
          <w:i/>
        </w:rPr>
        <w:t>dominant</w:t>
      </w:r>
      <w:r>
        <w:rPr>
          <w:bCs/>
        </w:rPr>
        <w:t xml:space="preserve"> strategy. This should override any internal desire for (e.g.) a</w:t>
      </w:r>
      <w:r w:rsidR="004B39E1">
        <w:rPr>
          <w:bCs/>
        </w:rPr>
        <w:t xml:space="preserve"> nefarious</w:t>
      </w:r>
      <w:r>
        <w:rPr>
          <w:bCs/>
        </w:rPr>
        <w:t xml:space="preserve"> human participant to deceive the experimenter about their valuation of a presented option allowing us to be confident that a choice truthfully reveals their preference. </w:t>
      </w:r>
    </w:p>
    <w:p w14:paraId="09005310" w14:textId="77777777" w:rsidR="005D79EA" w:rsidRDefault="005D79EA" w:rsidP="005D79EA">
      <w:pPr>
        <w:rPr>
          <w:bCs/>
        </w:rPr>
      </w:pPr>
    </w:p>
    <w:p w14:paraId="6C7F50FF" w14:textId="27C322E4" w:rsidR="005D79EA" w:rsidRDefault="005D79EA" w:rsidP="005D79EA">
      <w:pPr>
        <w:rPr>
          <w:bCs/>
        </w:rPr>
      </w:pPr>
      <w:r>
        <w:rPr>
          <w:bCs/>
        </w:rPr>
        <w:t>In traditional ‘binary choice’ paradigm</w:t>
      </w:r>
      <w:r w:rsidR="001520EE">
        <w:rPr>
          <w:bCs/>
        </w:rPr>
        <w:t>s</w:t>
      </w:r>
      <w:r>
        <w:rPr>
          <w:bCs/>
        </w:rPr>
        <w:t xml:space="preserve"> outlined in the previous chapter</w:t>
      </w:r>
      <w:r w:rsidR="00727578">
        <w:rPr>
          <w:bCs/>
        </w:rPr>
        <w:t xml:space="preserve"> (see figure 1</w:t>
      </w:r>
      <w:r w:rsidR="00070024">
        <w:rPr>
          <w:bCs/>
        </w:rPr>
        <w:t>.1</w:t>
      </w:r>
      <w:r w:rsidR="00727578">
        <w:rPr>
          <w:bCs/>
        </w:rPr>
        <w:t xml:space="preserve"> and also </w:t>
      </w:r>
      <w:r w:rsidR="00727578">
        <w:rPr>
          <w:bCs/>
        </w:rPr>
        <w:fldChar w:fldCharType="begin" w:fldLock="1"/>
      </w:r>
      <w:r w:rsidR="001355E3">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1951)","manualFormatting":"Mosteller &amp; Nogee, 1951","plainTextFormattedCitation":"(Mosteller &amp; Nogee, 1951)","previouslyFormattedCitation":"(Mosteller &amp; Nogee, 1951)"},"properties":{"noteIndex":0},"schema":"https://github.com/citation-style-language/schema/raw/master/csl-citation.json"}</w:instrText>
      </w:r>
      <w:r w:rsidR="00727578">
        <w:rPr>
          <w:bCs/>
        </w:rPr>
        <w:fldChar w:fldCharType="separate"/>
      </w:r>
      <w:r w:rsidR="00727578" w:rsidRPr="00727578">
        <w:rPr>
          <w:bCs/>
          <w:noProof/>
        </w:rPr>
        <w:t>Mosteller &amp; Nogee, 1951</w:t>
      </w:r>
      <w:r w:rsidR="00727578">
        <w:rPr>
          <w:bCs/>
        </w:rPr>
        <w:fldChar w:fldCharType="end"/>
      </w:r>
      <w:r w:rsidR="00727578">
        <w:rPr>
          <w:bCs/>
        </w:rPr>
        <w:t>)</w:t>
      </w:r>
      <w:r>
        <w:rPr>
          <w:bCs/>
        </w:rPr>
        <w:t>, choices are obviously incentive compatible as a</w:t>
      </w:r>
      <w:r w:rsidR="00727578">
        <w:rPr>
          <w:bCs/>
        </w:rPr>
        <w:t xml:space="preserve">ny participant </w:t>
      </w:r>
      <w:r>
        <w:rPr>
          <w:bCs/>
        </w:rPr>
        <w:t xml:space="preserve">should always choose the one which presents the greatest expected </w:t>
      </w:r>
      <w:r w:rsidR="004B39E1">
        <w:rPr>
          <w:bCs/>
        </w:rPr>
        <w:t>utility</w:t>
      </w:r>
      <w:r>
        <w:rPr>
          <w:bCs/>
        </w:rPr>
        <w:t>. For a simple riskless choice between two quantities of the same desired good (</w:t>
      </w:r>
      <m:oMath>
        <m:r>
          <m:rPr>
            <m:sty m:val="bi"/>
          </m:rPr>
          <w:rPr>
            <w:rFonts w:ascii="Cambria Math" w:hAnsi="Cambria Math"/>
          </w:rPr>
          <m:t>A</m:t>
        </m:r>
      </m:oMath>
      <w:r>
        <w:rPr>
          <w:bCs/>
        </w:rPr>
        <w:t>), a subject should always have more utility for the option that contains more of the good, and thus preferentially choose that option</w:t>
      </w:r>
      <w:r w:rsidR="00175363">
        <w:rPr>
          <w:rStyle w:val="FootnoteReference"/>
          <w:bCs/>
        </w:rPr>
        <w:footnoteReference w:id="4"/>
      </w:r>
      <w:r>
        <w:rPr>
          <w:bCs/>
        </w:rPr>
        <w:t>.</w:t>
      </w:r>
    </w:p>
    <w:p w14:paraId="6B532BB6" w14:textId="77777777" w:rsidR="005D79EA" w:rsidRDefault="005D79EA" w:rsidP="005D79EA">
      <w:pPr>
        <w:rPr>
          <w:bCs/>
        </w:rPr>
      </w:pPr>
    </w:p>
    <w:p w14:paraId="70C0E6AA" w14:textId="37B62735" w:rsidR="005D79EA" w:rsidRDefault="005D79EA" w:rsidP="005D79EA">
      <w:pPr>
        <w:rPr>
          <w:bCs/>
        </w:rPr>
      </w:pPr>
      <w:r>
        <w:rPr>
          <w:bCs/>
        </w:rPr>
        <w:t xml:space="preserve">However, a single trial of a binary choice task never reveals exactly the value of one option in terms of the other. A subject can only choose </w:t>
      </w:r>
      <w:r>
        <w:rPr>
          <w:bCs/>
          <w:i/>
        </w:rPr>
        <w:t>between</w:t>
      </w:r>
      <w:r>
        <w:rPr>
          <w:bCs/>
        </w:rPr>
        <w:t xml:space="preserve"> options, and not </w:t>
      </w:r>
      <w:r>
        <w:rPr>
          <w:bCs/>
          <w:i/>
        </w:rPr>
        <w:t>in terms of</w:t>
      </w:r>
      <w:r>
        <w:rPr>
          <w:bCs/>
        </w:rPr>
        <w:t xml:space="preserve"> them. A simple experiment that offered a participant an amount</w:t>
      </w:r>
      <w:r w:rsidR="009B2DD4">
        <w:rPr>
          <w:bCs/>
        </w:rPr>
        <w:t xml:space="preserve"> </w:t>
      </w:r>
      <m:oMath>
        <m:r>
          <m:rPr>
            <m:sty m:val="bi"/>
          </m:rPr>
          <w:rPr>
            <w:rFonts w:ascii="Cambria Math" w:hAnsi="Cambria Math"/>
          </w:rPr>
          <m:t>X</m:t>
        </m:r>
      </m:oMath>
      <w:r>
        <w:rPr>
          <w:bCs/>
        </w:rPr>
        <w:t xml:space="preserve"> of good </w:t>
      </w:r>
      <m:oMath>
        <m:r>
          <m:rPr>
            <m:sty m:val="bi"/>
          </m:rPr>
          <w:rPr>
            <w:rFonts w:ascii="Cambria Math" w:hAnsi="Cambria Math"/>
          </w:rPr>
          <m:t>A</m:t>
        </m:r>
      </m:oMath>
      <w:r>
        <w:rPr>
          <w:bCs/>
        </w:rPr>
        <w:t xml:space="preserve">, and an amount </w:t>
      </w:r>
      <m:oMath>
        <m:r>
          <m:rPr>
            <m:sty m:val="bi"/>
          </m:rPr>
          <w:rPr>
            <w:rFonts w:ascii="Cambria Math" w:hAnsi="Cambria Math"/>
          </w:rPr>
          <m:t>Y</m:t>
        </m:r>
      </m:oMath>
      <w:r>
        <w:rPr>
          <w:bCs/>
        </w:rPr>
        <w:t xml:space="preserve"> of good </w:t>
      </w:r>
      <m:oMath>
        <m:r>
          <m:rPr>
            <m:sty m:val="bi"/>
          </m:rPr>
          <w:rPr>
            <w:rFonts w:ascii="Cambria Math" w:hAnsi="Cambria Math"/>
          </w:rPr>
          <m:t>B</m:t>
        </m:r>
      </m:oMath>
      <w:r>
        <w:rPr>
          <w:rStyle w:val="FootnoteReference"/>
          <w:bCs/>
        </w:rPr>
        <w:footnoteReference w:id="5"/>
      </w:r>
      <w:r>
        <w:rPr>
          <w:bCs/>
        </w:rPr>
        <w:t xml:space="preserve"> only reveals which has the higher valuation, and not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for which</w:t>
      </w:r>
      <w:r w:rsidR="000E0EEE">
        <w:rPr>
          <w:bCs/>
        </w:rPr>
        <w:t xml:space="preserve">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Pr>
          <w:bCs/>
        </w:rPr>
        <w:t xml:space="preserve">. </w:t>
      </w:r>
    </w:p>
    <w:p w14:paraId="335E0A36" w14:textId="77777777" w:rsidR="005D79EA" w:rsidRDefault="005D79EA" w:rsidP="005D79EA">
      <w:pPr>
        <w:rPr>
          <w:bCs/>
        </w:rPr>
      </w:pPr>
    </w:p>
    <w:p w14:paraId="39BA763C" w14:textId="2EA100BB" w:rsidR="005D79EA" w:rsidRDefault="005D79EA" w:rsidP="005D79EA">
      <w:pPr>
        <w:rPr>
          <w:bCs/>
        </w:rPr>
      </w:pPr>
      <w:r>
        <w:rPr>
          <w:bCs/>
        </w:rPr>
        <w:t xml:space="preserve">To calculate the numeraire- the quantity </w:t>
      </w:r>
      <m:oMath>
        <m:r>
          <m:rPr>
            <m:sty m:val="bi"/>
          </m:rPr>
          <w:rPr>
            <w:rFonts w:ascii="Cambria Math" w:hAnsi="Cambria Math"/>
          </w:rPr>
          <m:t>X</m:t>
        </m:r>
      </m:oMath>
      <w:r>
        <w:rPr>
          <w:bCs/>
        </w:rPr>
        <w:t xml:space="preserve"> for which </w:t>
      </w:r>
      <m:oMath>
        <m:r>
          <m:rPr>
            <m:sty m:val="bi"/>
          </m:rPr>
          <w:rPr>
            <w:rFonts w:ascii="Cambria Math" w:hAnsi="Cambria Math"/>
          </w:rPr>
          <m:t>Y</m:t>
        </m:r>
      </m:oMath>
      <w:r>
        <w:rPr>
          <w:bCs/>
        </w:rPr>
        <w:t xml:space="preserve"> is equal to 1- repeated choices between amounts of goods </w:t>
      </w:r>
      <m:oMath>
        <m:r>
          <m:rPr>
            <m:sty m:val="bi"/>
          </m:rPr>
          <w:rPr>
            <w:rFonts w:ascii="Cambria Math" w:hAnsi="Cambria Math"/>
          </w:rPr>
          <m:t>A</m:t>
        </m:r>
      </m:oMath>
      <w:r>
        <w:rPr>
          <w:bCs/>
        </w:rPr>
        <w:t xml:space="preserve"> and </w:t>
      </w:r>
      <m:oMath>
        <m:r>
          <m:rPr>
            <m:sty m:val="bi"/>
          </m:rPr>
          <w:rPr>
            <w:rFonts w:ascii="Cambria Math" w:hAnsi="Cambria Math"/>
          </w:rPr>
          <m:t>B</m:t>
        </m:r>
      </m:oMath>
      <w:r>
        <w:rPr>
          <w:bCs/>
        </w:rPr>
        <w:t xml:space="preserve"> are required. As valuation decisions (like all types of decisions) are noisy and even sometimes erroneous</w:t>
      </w:r>
      <w:r>
        <w:rPr>
          <w:rStyle w:val="FootnoteReference"/>
          <w:bCs/>
        </w:rPr>
        <w:footnoteReference w:id="6"/>
      </w:r>
      <w:r>
        <w:rPr>
          <w:bCs/>
        </w:rPr>
        <w:t xml:space="preserve">, a binomial function can be fitted to the choices. The midpoint of this logistic function can be taken as the </w:t>
      </w:r>
      <w:r>
        <w:rPr>
          <w:bCs/>
          <w:i/>
        </w:rPr>
        <w:t>indifference point</w:t>
      </w:r>
      <w:r>
        <w:rPr>
          <w:bCs/>
        </w:rPr>
        <w:t xml:space="preserve">,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for goods </w:t>
      </w:r>
      <m:oMath>
        <m:r>
          <m:rPr>
            <m:sty m:val="bi"/>
          </m:rPr>
          <w:rPr>
            <w:rFonts w:ascii="Cambria Math" w:hAnsi="Cambria Math"/>
          </w:rPr>
          <m:t>A</m:t>
        </m:r>
      </m:oMath>
      <w:r>
        <w:rPr>
          <w:bCs/>
        </w:rPr>
        <w:t xml:space="preserve"> and </w:t>
      </w:r>
      <m:oMath>
        <m:r>
          <m:rPr>
            <m:sty m:val="bi"/>
          </m:rPr>
          <w:rPr>
            <w:rFonts w:ascii="Cambria Math" w:hAnsi="Cambria Math"/>
          </w:rPr>
          <m:t>B</m:t>
        </m:r>
      </m:oMath>
      <w:r>
        <w:rPr>
          <w:bCs/>
        </w:rPr>
        <w:t xml:space="preserve"> where a subject is indifferent between the choices</w:t>
      </w:r>
      <w:r w:rsidR="00C717D1">
        <w:rPr>
          <w:bCs/>
        </w:rPr>
        <w:t>. I.e. both choices</w:t>
      </w:r>
      <w:r>
        <w:rPr>
          <w:bCs/>
        </w:rPr>
        <w:t xml:space="preserve"> represent the same </w:t>
      </w:r>
      <w:r w:rsidR="00C717D1">
        <w:rPr>
          <w:bCs/>
        </w:rPr>
        <w:t>utility</w:t>
      </w:r>
      <w:r>
        <w:rPr>
          <w:bCs/>
        </w:rPr>
        <w:t>. Therefore</w:t>
      </w:r>
      <w:r w:rsidR="00B44896">
        <w:rPr>
          <w:bCs/>
        </w:rPr>
        <w:t>,</w:t>
      </w:r>
      <w:r>
        <w:rPr>
          <w:bCs/>
        </w:rPr>
        <w:t xml:space="preserve"> the equation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sidR="008D4C4A">
        <w:rPr>
          <w:bCs/>
        </w:rPr>
        <w:t xml:space="preserve"> </w:t>
      </w:r>
      <w:r>
        <w:rPr>
          <w:bCs/>
        </w:rPr>
        <w:t xml:space="preserve">is satisfied, and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can be derived and rearranged to calculate the value of</w:t>
      </w:r>
      <w:r w:rsidR="008D4C4A">
        <w:rPr>
          <w:bCs/>
        </w:rPr>
        <w:t xml:space="preserve"> good</w:t>
      </w:r>
      <w:r>
        <w:rPr>
          <w:bCs/>
        </w:rPr>
        <w:t xml:space="preserve"> </w:t>
      </w:r>
      <m:oMath>
        <m:r>
          <m:rPr>
            <m:sty m:val="bi"/>
          </m:rPr>
          <w:rPr>
            <w:rFonts w:ascii="Cambria Math" w:hAnsi="Cambria Math"/>
          </w:rPr>
          <m:t>A</m:t>
        </m:r>
      </m:oMath>
      <w:r>
        <w:rPr>
          <w:bCs/>
        </w:rPr>
        <w:t xml:space="preserve"> in terms of a numeraire </w:t>
      </w:r>
      <m:oMath>
        <m:r>
          <m:rPr>
            <m:sty m:val="bi"/>
          </m:rPr>
          <w:rPr>
            <w:rFonts w:ascii="Cambria Math" w:hAnsi="Cambria Math"/>
          </w:rPr>
          <m:t>B</m:t>
        </m:r>
      </m:oMath>
      <w:r>
        <w:rPr>
          <w:bCs/>
        </w:rPr>
        <w:t>.</w:t>
      </w:r>
    </w:p>
    <w:p w14:paraId="4156B39D" w14:textId="77777777" w:rsidR="005D79EA" w:rsidRDefault="005D79EA" w:rsidP="005D79EA">
      <w:pPr>
        <w:rPr>
          <w:bCs/>
        </w:rPr>
      </w:pPr>
    </w:p>
    <w:p w14:paraId="36356361" w14:textId="39299E87" w:rsidR="005D79EA" w:rsidRDefault="005D79EA" w:rsidP="005D79EA">
      <w:pPr>
        <w:rPr>
          <w:bCs/>
        </w:rPr>
      </w:pPr>
      <w:r>
        <w:rPr>
          <w:bCs/>
        </w:rPr>
        <w:t>However</w:t>
      </w:r>
      <w:r w:rsidR="000D2E0F">
        <w:rPr>
          <w:bCs/>
        </w:rPr>
        <w:t>,</w:t>
      </w:r>
      <w:r>
        <w:rPr>
          <w:bCs/>
        </w:rPr>
        <w:t xml:space="preserve"> the nature of such a repeated measures task has three obvious limitations:</w:t>
      </w:r>
      <w:r>
        <w:rPr>
          <w:bCs/>
        </w:rPr>
        <w:br/>
      </w:r>
    </w:p>
    <w:p w14:paraId="393255CF" w14:textId="2B3621EB" w:rsidR="005D79EA" w:rsidRPr="000B5005" w:rsidRDefault="00C90344" w:rsidP="005D79EA">
      <w:pPr>
        <w:numPr>
          <w:ilvl w:val="0"/>
          <w:numId w:val="1"/>
        </w:numPr>
        <w:rPr>
          <w:bCs/>
        </w:rPr>
      </w:pPr>
      <w:r w:rsidRPr="000B5005">
        <w:rPr>
          <w:bCs/>
        </w:rPr>
        <w:t xml:space="preserve">As the indifference point is interpolated, </w:t>
      </w:r>
      <w:r w:rsidR="005D79EA" w:rsidRPr="000B5005">
        <w:rPr>
          <w:bCs/>
        </w:rPr>
        <w:t xml:space="preserve">it is not uncommon for there not to be any choices made at the point </w:t>
      </w:r>
      <w:r w:rsidR="009C0498">
        <w:rPr>
          <w:bCs/>
        </w:rPr>
        <w:t>where</w:t>
      </w:r>
      <w:r w:rsidR="005D79EA" w:rsidRPr="000B5005">
        <w:rPr>
          <w:bCs/>
        </w:rPr>
        <w:t xml:space="preserve">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sidRPr="000B5005">
        <w:rPr>
          <w:bCs/>
        </w:rPr>
        <w:t xml:space="preserve">. </w:t>
      </w:r>
      <w:r w:rsidR="000B5005" w:rsidRPr="000B5005">
        <w:rPr>
          <w:bCs/>
        </w:rPr>
        <w:t>The indifference point is an estimate, not a truly observed equality.</w:t>
      </w:r>
      <w:r w:rsidR="000B5005">
        <w:rPr>
          <w:bCs/>
        </w:rPr>
        <w:t xml:space="preserve"> In addition, any </w:t>
      </w:r>
      <w:r w:rsidRPr="000B5005">
        <w:rPr>
          <w:bCs/>
        </w:rPr>
        <w:t>errors in calculating the logistic fit over the observed points will lead to errors on th</w:t>
      </w:r>
      <w:r w:rsidR="000B5005">
        <w:rPr>
          <w:bCs/>
        </w:rPr>
        <w:t>is</w:t>
      </w:r>
      <w:r w:rsidRPr="000B5005">
        <w:rPr>
          <w:bCs/>
        </w:rPr>
        <w:t xml:space="preserve"> estimate</w:t>
      </w:r>
      <w:r w:rsidR="000B5005">
        <w:rPr>
          <w:bCs/>
        </w:rPr>
        <w:t>.</w:t>
      </w:r>
    </w:p>
    <w:p w14:paraId="3D06C26F" w14:textId="567CB6FA" w:rsidR="005D79EA" w:rsidRDefault="00C90344" w:rsidP="005D79EA">
      <w:pPr>
        <w:numPr>
          <w:ilvl w:val="0"/>
          <w:numId w:val="1"/>
        </w:numPr>
        <w:rPr>
          <w:bCs/>
        </w:rPr>
      </w:pPr>
      <w:r>
        <w:rPr>
          <w:bCs/>
        </w:rPr>
        <w:lastRenderedPageBreak/>
        <w:t>To minimise this error, binary choice tasks r</w:t>
      </w:r>
      <w:r w:rsidR="005D79EA">
        <w:rPr>
          <w:bCs/>
        </w:rPr>
        <w:t>equire many trials to reduce the noise on any one repeated measure</w:t>
      </w:r>
      <w:r>
        <w:rPr>
          <w:bCs/>
        </w:rPr>
        <w:t>.</w:t>
      </w:r>
      <w:r w:rsidR="005D79EA">
        <w:rPr>
          <w:bCs/>
        </w:rPr>
        <w:t xml:space="preserve"> </w:t>
      </w:r>
      <w:r w:rsidR="000B5005">
        <w:rPr>
          <w:bCs/>
        </w:rPr>
        <w:t xml:space="preserve">Given a subject will only complete so many trials, in any binary choice experiment, the experimenter must trade-off the resolution of the probability of choices for any offer, and the number of different options </w:t>
      </w:r>
      <w:r w:rsidR="009C0498">
        <w:rPr>
          <w:bCs/>
        </w:rPr>
        <w:t xml:space="preserve">to </w:t>
      </w:r>
      <w:r w:rsidR="000B5005">
        <w:rPr>
          <w:bCs/>
        </w:rPr>
        <w:t>present.</w:t>
      </w:r>
    </w:p>
    <w:p w14:paraId="1926556F" w14:textId="725C43F2" w:rsidR="000B5005" w:rsidRPr="000B5005" w:rsidRDefault="000B5005" w:rsidP="000B5005">
      <w:pPr>
        <w:numPr>
          <w:ilvl w:val="0"/>
          <w:numId w:val="1"/>
        </w:numPr>
        <w:rPr>
          <w:bCs/>
        </w:rPr>
      </w:pPr>
      <w:r w:rsidRPr="000B5005">
        <w:rPr>
          <w:bCs/>
        </w:rPr>
        <w:t xml:space="preserve">As the experimenter increases the number of trials </w:t>
      </w:r>
      <w:r w:rsidR="008578B1">
        <w:rPr>
          <w:bCs/>
        </w:rPr>
        <w:t>required from</w:t>
      </w:r>
      <w:r w:rsidRPr="000B5005">
        <w:rPr>
          <w:bCs/>
        </w:rPr>
        <w:t xml:space="preserve"> a subject, they also increase the time taken by a subject to complete a session. Holding the rewards for completing any single trial constant, this means that the subject </w:t>
      </w:r>
      <w:r w:rsidR="00E542CD">
        <w:rPr>
          <w:bCs/>
        </w:rPr>
        <w:t>may</w:t>
      </w:r>
      <w:r w:rsidRPr="000B5005">
        <w:rPr>
          <w:bCs/>
        </w:rPr>
        <w:t xml:space="preserve"> become more ‘sated’ with the payment from the task over time and the marginal utility of later trials will be lower than on identical earlier trials.</w:t>
      </w:r>
      <w:r w:rsidR="00A93250">
        <w:rPr>
          <w:bCs/>
        </w:rPr>
        <w:t xml:space="preserve"> Even if they do not, participants bidding may chance as the novelty of the task wears off. </w:t>
      </w:r>
      <w:r w:rsidR="00007F99">
        <w:rPr>
          <w:bCs/>
        </w:rPr>
        <w:t>I</w:t>
      </w:r>
      <w:r>
        <w:rPr>
          <w:bCs/>
        </w:rPr>
        <w:t>n order to calculate utility</w:t>
      </w:r>
      <w:r w:rsidR="001355E3">
        <w:rPr>
          <w:bCs/>
        </w:rPr>
        <w:t>,</w:t>
      </w:r>
      <w:r>
        <w:rPr>
          <w:bCs/>
        </w:rPr>
        <w:t xml:space="preserve"> </w:t>
      </w:r>
      <w:r w:rsidR="00A93250">
        <w:rPr>
          <w:bCs/>
        </w:rPr>
        <w:t xml:space="preserve">the average choices over </w:t>
      </w:r>
      <w:r>
        <w:rPr>
          <w:bCs/>
        </w:rPr>
        <w:t xml:space="preserve">a range of trials </w:t>
      </w:r>
      <w:r w:rsidR="00A93250">
        <w:rPr>
          <w:bCs/>
        </w:rPr>
        <w:t xml:space="preserve">must be used </w:t>
      </w:r>
      <w:r>
        <w:rPr>
          <w:bCs/>
        </w:rPr>
        <w:t>and</w:t>
      </w:r>
      <w:r w:rsidR="00A93250">
        <w:rPr>
          <w:bCs/>
        </w:rPr>
        <w:t xml:space="preserve"> it must be</w:t>
      </w:r>
      <w:r>
        <w:rPr>
          <w:bCs/>
        </w:rPr>
        <w:t xml:space="preserve"> assume</w:t>
      </w:r>
      <w:r w:rsidR="00A93250">
        <w:rPr>
          <w:bCs/>
        </w:rPr>
        <w:t>d</w:t>
      </w:r>
      <w:r>
        <w:rPr>
          <w:bCs/>
        </w:rPr>
        <w:t xml:space="preserve"> that the probability of choice between </w:t>
      </w:r>
      <w:r w:rsidR="00197C1A">
        <w:rPr>
          <w:bCs/>
        </w:rPr>
        <w:t>any two options remains constant over this range.</w:t>
      </w:r>
    </w:p>
    <w:p w14:paraId="49C6400E" w14:textId="77777777" w:rsidR="000B5005" w:rsidRPr="000B5005" w:rsidRDefault="000B5005" w:rsidP="000B5005">
      <w:pPr>
        <w:rPr>
          <w:bCs/>
        </w:rPr>
      </w:pPr>
    </w:p>
    <w:p w14:paraId="14550545" w14:textId="336DFA30" w:rsidR="00BC6D8E" w:rsidRDefault="00BC6D8E" w:rsidP="005D79EA">
      <w:pPr>
        <w:rPr>
          <w:bCs/>
        </w:rPr>
      </w:pPr>
      <w:r>
        <w:rPr>
          <w:bCs/>
        </w:rPr>
        <w:t xml:space="preserve">Examples of these 3 limitations are shown in figures </w:t>
      </w:r>
      <w:r w:rsidR="002E32EF">
        <w:rPr>
          <w:bCs/>
        </w:rPr>
        <w:t>2.</w:t>
      </w:r>
      <w:r>
        <w:rPr>
          <w:bCs/>
        </w:rPr>
        <w:t>1a-c.</w:t>
      </w:r>
      <w:r w:rsidR="001355E3">
        <w:rPr>
          <w:bCs/>
        </w:rPr>
        <w:t xml:space="preserve"> For a real-life example, consider figure </w:t>
      </w:r>
      <w:r w:rsidR="002E32EF">
        <w:rPr>
          <w:bCs/>
        </w:rPr>
        <w:t>2.</w:t>
      </w:r>
      <w:r w:rsidR="001355E3">
        <w:rPr>
          <w:bCs/>
        </w:rPr>
        <w:t xml:space="preserve">7 which is </w:t>
      </w:r>
      <w:r w:rsidR="00C260B4">
        <w:rPr>
          <w:bCs/>
        </w:rPr>
        <w:t>redrawn</w:t>
      </w:r>
      <w:r w:rsidR="001355E3">
        <w:rPr>
          <w:bCs/>
        </w:rPr>
        <w:t xml:space="preserve"> from </w:t>
      </w:r>
      <w:r w:rsidR="001355E3">
        <w:rPr>
          <w:bCs/>
        </w:rPr>
        <w:fldChar w:fldCharType="begin" w:fldLock="1"/>
      </w:r>
      <w:r w:rsidR="00710FA5">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1951)","manualFormatting":"Mosteller &amp; Nogee","plainTextFormattedCitation":"(Mosteller &amp; Nogee, 1951)","previouslyFormattedCitation":"(Mosteller &amp; Nogee, 1951)"},"properties":{"noteIndex":0},"schema":"https://github.com/citation-style-language/schema/raw/master/csl-citation.json"}</w:instrText>
      </w:r>
      <w:r w:rsidR="001355E3">
        <w:rPr>
          <w:bCs/>
        </w:rPr>
        <w:fldChar w:fldCharType="separate"/>
      </w:r>
      <w:r w:rsidR="001355E3" w:rsidRPr="001355E3">
        <w:rPr>
          <w:bCs/>
          <w:noProof/>
        </w:rPr>
        <w:t>Mosteller &amp; Nogee</w:t>
      </w:r>
      <w:r w:rsidR="001355E3">
        <w:rPr>
          <w:bCs/>
        </w:rPr>
        <w:fldChar w:fldCharType="end"/>
      </w:r>
      <w:r w:rsidR="001355E3">
        <w:rPr>
          <w:bCs/>
        </w:rPr>
        <w:t xml:space="preserve">’s attempt to measure the utility of </w:t>
      </w:r>
      <w:r w:rsidR="00710FA5">
        <w:rPr>
          <w:bCs/>
        </w:rPr>
        <w:t xml:space="preserve">monetary bets </w:t>
      </w:r>
      <w:r w:rsidR="00710FA5">
        <w:rPr>
          <w:bCs/>
        </w:rPr>
        <w:fldChar w:fldCharType="begin" w:fldLock="1"/>
      </w:r>
      <w:r w:rsidR="002D2540">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sidR="00710FA5">
        <w:rPr>
          <w:bCs/>
        </w:rPr>
        <w:fldChar w:fldCharType="separate"/>
      </w:r>
      <w:r w:rsidR="00710FA5" w:rsidRPr="00710FA5">
        <w:rPr>
          <w:bCs/>
          <w:noProof/>
        </w:rPr>
        <w:t>(Mosteller &amp; Nogee, 1951)</w:t>
      </w:r>
      <w:r w:rsidR="00710FA5">
        <w:rPr>
          <w:bCs/>
        </w:rPr>
        <w:fldChar w:fldCharType="end"/>
      </w:r>
      <w:r w:rsidR="00710FA5">
        <w:rPr>
          <w:bCs/>
        </w:rPr>
        <w:t>.</w:t>
      </w:r>
    </w:p>
    <w:p w14:paraId="55120DCC" w14:textId="77777777" w:rsidR="00BC6D8E" w:rsidRDefault="00BC6D8E" w:rsidP="005D79EA">
      <w:pPr>
        <w:rPr>
          <w:bCs/>
        </w:rPr>
      </w:pPr>
    </w:p>
    <w:p w14:paraId="475DF111" w14:textId="0F23D096" w:rsidR="005D79EA" w:rsidRDefault="005D79EA" w:rsidP="005D79EA">
      <w:pPr>
        <w:rPr>
          <w:bCs/>
        </w:rPr>
      </w:pPr>
      <w:r>
        <w:rPr>
          <w:bCs/>
        </w:rPr>
        <w:t xml:space="preserve">Ideally, we would use a task in which on every trial the subject states their exact subjective value of </w:t>
      </w:r>
      <m:oMath>
        <m:r>
          <m:rPr>
            <m:sty m:val="bi"/>
          </m:rPr>
          <w:rPr>
            <w:rFonts w:ascii="Cambria Math" w:hAnsi="Cambria Math"/>
          </w:rPr>
          <m:t>X</m:t>
        </m:r>
      </m:oMath>
      <w:r>
        <w:rPr>
          <w:bCs/>
        </w:rPr>
        <w:t xml:space="preserve"> for a given offer of </w:t>
      </w:r>
      <m:oMath>
        <m:r>
          <m:rPr>
            <m:sty m:val="bi"/>
          </m:rPr>
          <w:rPr>
            <w:rFonts w:ascii="Cambria Math" w:hAnsi="Arial" w:cs="Arial"/>
            <w:color w:val="202122"/>
            <w:shd w:val="clear" w:color="auto" w:fill="FDFDFD"/>
          </w:rPr>
          <m:t>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Pr>
          <w:bCs/>
        </w:rPr>
        <w:t xml:space="preserve">, that is, a subject would state their willingness-to-pay in terms of </w:t>
      </w:r>
      <m:oMath>
        <m:r>
          <m:rPr>
            <m:sty m:val="bi"/>
          </m:rPr>
          <w:rPr>
            <w:rFonts w:ascii="Cambria Math" w:hAnsi="Cambria Math"/>
          </w:rPr>
          <m:t>X</m:t>
        </m:r>
      </m:oMath>
      <w:r w:rsidR="00BD40D6">
        <w:rPr>
          <w:b/>
          <w:i/>
          <w:iCs/>
        </w:rPr>
        <w:t xml:space="preserve"> </w:t>
      </w:r>
      <w:r>
        <w:rPr>
          <w:bCs/>
        </w:rPr>
        <w:t xml:space="preserve">for an amount </w:t>
      </w:r>
      <m:oMath>
        <m:r>
          <m:rPr>
            <m:sty m:val="bi"/>
          </m:rPr>
          <w:rPr>
            <w:rFonts w:ascii="Cambria Math" w:hAnsi="Cambria Math"/>
          </w:rPr>
          <m:t>Y</m:t>
        </m:r>
      </m:oMath>
      <w:r>
        <w:rPr>
          <w:bCs/>
        </w:rPr>
        <w:t xml:space="preserve"> of good </w:t>
      </w:r>
      <m:oMath>
        <m:r>
          <m:rPr>
            <m:sty m:val="bi"/>
          </m:rPr>
          <w:rPr>
            <w:rFonts w:ascii="Cambria Math" w:hAnsi="Cambria Math"/>
          </w:rPr>
          <m:t>B</m:t>
        </m:r>
      </m:oMath>
      <w:r>
        <w:rPr>
          <w:bCs/>
        </w:rPr>
        <w:t>.  Such tasks exist using auctions</w:t>
      </w:r>
      <w:r w:rsidR="004331F6">
        <w:rPr>
          <w:bCs/>
        </w:rPr>
        <w:t xml:space="preserve"> such as the</w:t>
      </w:r>
      <w:r>
        <w:rPr>
          <w:bCs/>
        </w:rPr>
        <w:t xml:space="preserve"> Becker-DeGroot-Marshak (BDM) auction task which has been extensively studied by experimental economists researching human decision making. </w:t>
      </w:r>
    </w:p>
    <w:p w14:paraId="79F603B8" w14:textId="77777777" w:rsidR="005D79EA" w:rsidRDefault="005D79EA" w:rsidP="005D79EA">
      <w:pPr>
        <w:rPr>
          <w:bCs/>
        </w:rPr>
      </w:pPr>
    </w:p>
    <w:p w14:paraId="6DF9B548" w14:textId="77777777" w:rsidR="005D79EA" w:rsidRPr="008C0A7D" w:rsidRDefault="005D79EA" w:rsidP="005D79EA">
      <w:pPr>
        <w:rPr>
          <w:b/>
          <w:bCs/>
          <w:u w:val="single"/>
        </w:rPr>
      </w:pPr>
      <w:r>
        <w:rPr>
          <w:b/>
          <w:bCs/>
          <w:u w:val="single"/>
        </w:rPr>
        <w:t>A single trial method to measure utility</w:t>
      </w:r>
    </w:p>
    <w:p w14:paraId="1FAC8CB6" w14:textId="77777777" w:rsidR="005D79EA" w:rsidRDefault="005D79EA" w:rsidP="005D79EA">
      <w:pPr>
        <w:rPr>
          <w:bCs/>
        </w:rPr>
      </w:pPr>
    </w:p>
    <w:p w14:paraId="3752E3CC" w14:textId="5453AB3C" w:rsidR="00013E39" w:rsidRDefault="005D79EA" w:rsidP="005D79EA">
      <w:pPr>
        <w:rPr>
          <w:bCs/>
        </w:rPr>
      </w:pPr>
      <w:r>
        <w:rPr>
          <w:bCs/>
        </w:rPr>
        <w:t xml:space="preserve">The concept of the BDM was first defined in a 1961 theoretical paper by William </w:t>
      </w:r>
      <w:proofErr w:type="spellStart"/>
      <w:r>
        <w:rPr>
          <w:bCs/>
        </w:rPr>
        <w:t>Vickrey</w:t>
      </w:r>
      <w:proofErr w:type="spellEnd"/>
      <w:r w:rsidR="00A32722">
        <w:rPr>
          <w:bCs/>
        </w:rPr>
        <w:t xml:space="preserve"> </w:t>
      </w:r>
      <w:r w:rsidR="00A32722">
        <w:rPr>
          <w:bCs/>
        </w:rPr>
        <w:fldChar w:fldCharType="begin" w:fldLock="1"/>
      </w:r>
      <w:r w:rsidR="00A32722">
        <w:rPr>
          <w:bCs/>
        </w:rPr>
        <w:instrText>ADDIN CSL_CITATION {"citationItems":[{"id":"ITEM-1","itemData":{"author":[{"dropping-particle":"","family":"Vickrey","given":"William","non-dropping-particle":"","parse-names":false,"suffix":""}],"id":"ITEM-1","issue":"1","issued":{"date-parts":[["1961"]]},"page":"8-37","title":"American Finance Association Counterspeculation , Auctions , and Competitive Sealed Tenders Author ( s ): William Vickrey Source : The Journal of Finance , Vol . 16 , No . 1 ( Mar ., 1961 ), pp . 8-37 Published by : Wiley for the American Finance Associat","type":"article-journal","volume":"16"},"uris":["http://www.mendeley.com/documents/?uuid=51db9574-1483-488d-afc7-f6ea7a7b5ad5"]}],"mendeley":{"formattedCitation":"(Vickrey, 1961)","plainTextFormattedCitation":"(Vickrey, 1961)","previouslyFormattedCitation":"(Vickrey, 1961)"},"properties":{"noteIndex":0},"schema":"https://github.com/citation-style-language/schema/raw/master/csl-citation.json"}</w:instrText>
      </w:r>
      <w:r w:rsidR="00A32722">
        <w:rPr>
          <w:bCs/>
        </w:rPr>
        <w:fldChar w:fldCharType="separate"/>
      </w:r>
      <w:r w:rsidR="00A32722" w:rsidRPr="00A32722">
        <w:rPr>
          <w:bCs/>
          <w:noProof/>
        </w:rPr>
        <w:t>(Vickrey, 1961)</w:t>
      </w:r>
      <w:r w:rsidR="00A32722">
        <w:rPr>
          <w:bCs/>
        </w:rPr>
        <w:fldChar w:fldCharType="end"/>
      </w:r>
      <w:r>
        <w:rPr>
          <w:bCs/>
        </w:rPr>
        <w:t>,</w:t>
      </w:r>
      <w:r w:rsidR="00A32722">
        <w:rPr>
          <w:bCs/>
        </w:rPr>
        <w:t xml:space="preserve"> </w:t>
      </w:r>
      <w:r>
        <w:rPr>
          <w:bCs/>
        </w:rPr>
        <w:t xml:space="preserve"> but takes its name from the authors of a 1964 paper </w:t>
      </w:r>
      <w:r w:rsidR="008C7C09">
        <w:rPr>
          <w:bCs/>
        </w:rPr>
        <w:t xml:space="preserve">in which human subjects were given wagers </w:t>
      </w:r>
      <w:r w:rsidR="00735B67">
        <w:rPr>
          <w:bCs/>
        </w:rPr>
        <w:t xml:space="preserve">with the chance to win </w:t>
      </w:r>
      <m:oMath>
        <m:r>
          <m:rPr>
            <m:sty m:val="bi"/>
          </m:rPr>
          <w:rPr>
            <w:rFonts w:ascii="Cambria Math" w:hAnsi="Cambria Math"/>
          </w:rPr>
          <m:t>$W</m:t>
        </m:r>
      </m:oMath>
      <w:r w:rsidR="00735B67">
        <w:rPr>
          <w:bCs/>
        </w:rPr>
        <w:t xml:space="preserve"> in the case of an event </w:t>
      </w:r>
      <m:oMath>
        <m:r>
          <m:rPr>
            <m:sty m:val="bi"/>
          </m:rPr>
          <w:rPr>
            <w:rFonts w:ascii="Cambria Math" w:hAnsi="Cambria Math"/>
          </w:rPr>
          <m:t>p</m:t>
        </m:r>
      </m:oMath>
      <w:r w:rsidR="00735B67">
        <w:rPr>
          <w:bCs/>
        </w:rPr>
        <w:t xml:space="preserve">, and </w:t>
      </w:r>
      <m:oMath>
        <m:r>
          <m:rPr>
            <m:sty m:val="bi"/>
          </m:rPr>
          <w:rPr>
            <w:rFonts w:ascii="Cambria Math" w:hAnsi="Cambria Math"/>
          </w:rPr>
          <m:t>$L</m:t>
        </m:r>
      </m:oMath>
      <w:r w:rsidR="00735B67">
        <w:rPr>
          <w:bCs/>
        </w:rPr>
        <w:t xml:space="preserve"> otherwise </w:t>
      </w:r>
      <m:oMath>
        <m:r>
          <m:rPr>
            <m:sty m:val="bi"/>
          </m:rPr>
          <w:rPr>
            <w:rFonts w:ascii="Cambria Math" w:hAnsi="Cambria Math"/>
          </w:rPr>
          <m:t>(1-p)</m:t>
        </m:r>
      </m:oMath>
      <w:r w:rsidR="00013E39">
        <w:rPr>
          <w:bCs/>
        </w:rPr>
        <w:t xml:space="preserve"> where </w:t>
      </w:r>
      <m:oMath>
        <m:r>
          <m:rPr>
            <m:sty m:val="bi"/>
          </m:rPr>
          <w:rPr>
            <w:rFonts w:ascii="Cambria Math" w:hAnsi="Cambria Math"/>
          </w:rPr>
          <m:t>$W</m:t>
        </m:r>
      </m:oMath>
      <w:r w:rsidR="00013E39">
        <w:rPr>
          <w:bCs/>
        </w:rPr>
        <w:t xml:space="preserve"> is greater than </w:t>
      </w:r>
      <m:oMath>
        <m:r>
          <m:rPr>
            <m:sty m:val="bi"/>
          </m:rPr>
          <w:rPr>
            <w:rFonts w:ascii="Cambria Math" w:hAnsi="Cambria Math"/>
          </w:rPr>
          <m:t>$L</m:t>
        </m:r>
      </m:oMath>
      <w:r w:rsidR="00A32722">
        <w:rPr>
          <w:b/>
          <w:i/>
          <w:iCs/>
        </w:rPr>
        <w:t xml:space="preserve"> </w:t>
      </w:r>
      <w:r w:rsidR="00A32722">
        <w:rPr>
          <w:b/>
          <w:i/>
          <w:iCs/>
        </w:rPr>
        <w:fldChar w:fldCharType="begin" w:fldLock="1"/>
      </w:r>
      <w:r w:rsidR="00A32722">
        <w:rPr>
          <w:b/>
          <w:i/>
          <w:iCs/>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1964)","plainTextFormattedCitation":"(Becker et al., 1964)"},"properties":{"noteIndex":0},"schema":"https://github.com/citation-style-language/schema/raw/master/csl-citation.json"}</w:instrText>
      </w:r>
      <w:r w:rsidR="00A32722">
        <w:rPr>
          <w:b/>
          <w:i/>
          <w:iCs/>
        </w:rPr>
        <w:fldChar w:fldCharType="separate"/>
      </w:r>
      <w:r w:rsidR="00A32722" w:rsidRPr="00A32722">
        <w:rPr>
          <w:iCs/>
          <w:noProof/>
        </w:rPr>
        <w:t>(Becker et al., 1964)</w:t>
      </w:r>
      <w:r w:rsidR="00A32722">
        <w:rPr>
          <w:b/>
          <w:i/>
          <w:iCs/>
        </w:rPr>
        <w:fldChar w:fldCharType="end"/>
      </w:r>
      <w:r w:rsidR="00735B67">
        <w:rPr>
          <w:bCs/>
        </w:rPr>
        <w:t>.</w:t>
      </w:r>
    </w:p>
    <w:p w14:paraId="6976221B" w14:textId="77777777" w:rsidR="00013E39" w:rsidRDefault="00013E39" w:rsidP="005D79EA">
      <w:pPr>
        <w:rPr>
          <w:bCs/>
        </w:rPr>
      </w:pPr>
    </w:p>
    <w:p w14:paraId="762C28A2" w14:textId="3BCF066A" w:rsidR="00013E39" w:rsidRDefault="00735B67" w:rsidP="005D79EA">
      <w:pPr>
        <w:rPr>
          <w:bCs/>
        </w:rPr>
      </w:pPr>
      <w:r>
        <w:rPr>
          <w:bCs/>
        </w:rPr>
        <w:t xml:space="preserve">For each of these wagers, the subjects were asked to give a price </w:t>
      </w:r>
      <m:oMath>
        <m:r>
          <m:rPr>
            <m:sty m:val="bi"/>
          </m:rPr>
          <w:rPr>
            <w:rFonts w:ascii="Cambria Math" w:hAnsi="Cambria Math"/>
          </w:rPr>
          <m:t>$X</m:t>
        </m:r>
      </m:oMath>
      <w:r>
        <w:rPr>
          <w:bCs/>
        </w:rPr>
        <w:t xml:space="preserve"> which is the lowest amount of money they would accept to sell the wager. This price is the subject’s </w:t>
      </w:r>
      <w:r>
        <w:rPr>
          <w:bCs/>
          <w:i/>
          <w:iCs/>
        </w:rPr>
        <w:t xml:space="preserve">willingness to accept </w:t>
      </w:r>
      <w:r>
        <w:rPr>
          <w:bCs/>
        </w:rPr>
        <w:t>(WTA) and is clearly a function of the value the subject places upon the wager given to them.</w:t>
      </w:r>
      <w:r w:rsidR="00013E39">
        <w:rPr>
          <w:bCs/>
        </w:rPr>
        <w:t xml:space="preserve"> After, a random number representing a buyer’s bid </w:t>
      </w:r>
      <m:oMath>
        <m:r>
          <m:rPr>
            <m:sty m:val="bi"/>
          </m:rPr>
          <w:rPr>
            <w:rFonts w:ascii="Cambria Math" w:hAnsi="Cambria Math"/>
          </w:rPr>
          <m:t>$Y</m:t>
        </m:r>
      </m:oMath>
      <w:r w:rsidR="00013E39">
        <w:rPr>
          <w:bCs/>
        </w:rPr>
        <w:t xml:space="preserve"> is drawn, and if this number is greater than the participant’s WTA </w:t>
      </w:r>
      <m:oMath>
        <m:r>
          <m:rPr>
            <m:sty m:val="bi"/>
          </m:rPr>
          <w:rPr>
            <w:rFonts w:ascii="Cambria Math" w:hAnsi="Cambria Math"/>
          </w:rPr>
          <m:t>$X</m:t>
        </m:r>
      </m:oMath>
      <w:r w:rsidR="00013E39">
        <w:rPr>
          <w:bCs/>
        </w:rPr>
        <w:t xml:space="preserve">, the subject receives </w:t>
      </w:r>
      <m:oMath>
        <m:r>
          <m:rPr>
            <m:sty m:val="bi"/>
          </m:rPr>
          <w:rPr>
            <w:rFonts w:ascii="Cambria Math" w:hAnsi="Cambria Math"/>
          </w:rPr>
          <m:t>$Y</m:t>
        </m:r>
      </m:oMath>
      <w:r w:rsidR="00013E39">
        <w:rPr>
          <w:bCs/>
        </w:rPr>
        <w:t xml:space="preserve"> dollars, otherwise the wager is resolved and the subject wins either </w:t>
      </w:r>
      <m:oMath>
        <m:r>
          <m:rPr>
            <m:sty m:val="bi"/>
          </m:rPr>
          <w:rPr>
            <w:rFonts w:ascii="Cambria Math" w:hAnsi="Cambria Math"/>
          </w:rPr>
          <m:t>$W</m:t>
        </m:r>
      </m:oMath>
      <w:r w:rsidR="00013E39">
        <w:rPr>
          <w:bCs/>
        </w:rPr>
        <w:t xml:space="preserve"> or </w:t>
      </w:r>
      <m:oMath>
        <m:r>
          <m:rPr>
            <m:sty m:val="bi"/>
          </m:rPr>
          <w:rPr>
            <w:rFonts w:ascii="Cambria Math" w:hAnsi="Cambria Math"/>
          </w:rPr>
          <m:t>$L</m:t>
        </m:r>
      </m:oMath>
      <w:r w:rsidR="00013E39">
        <w:rPr>
          <w:bCs/>
        </w:rPr>
        <w:t xml:space="preserve"> depending on the outcome.</w:t>
      </w:r>
    </w:p>
    <w:p w14:paraId="55C7150F" w14:textId="77777777" w:rsidR="00013E39" w:rsidRDefault="00013E39" w:rsidP="005D79EA">
      <w:pPr>
        <w:rPr>
          <w:bCs/>
        </w:rPr>
      </w:pPr>
    </w:p>
    <w:p w14:paraId="09960280" w14:textId="27E2210F" w:rsidR="00DE573B" w:rsidRDefault="00E204F9" w:rsidP="005D79EA">
      <w:pPr>
        <w:rPr>
          <w:bCs/>
        </w:rPr>
      </w:pPr>
      <w:r>
        <w:rPr>
          <w:bCs/>
        </w:rPr>
        <w:t xml:space="preserve">This WTA value </w:t>
      </w:r>
      <w:r w:rsidR="00F85252">
        <w:rPr>
          <w:bCs/>
        </w:rPr>
        <w:t>can</w:t>
      </w:r>
      <w:r>
        <w:rPr>
          <w:bCs/>
        </w:rPr>
        <w:t xml:space="preserve"> also </w:t>
      </w:r>
      <w:r w:rsidR="000D7B4B">
        <w:rPr>
          <w:bCs/>
        </w:rPr>
        <w:t>be described</w:t>
      </w:r>
      <w:r>
        <w:rPr>
          <w:bCs/>
        </w:rPr>
        <w:t xml:space="preserve"> as the subject’s </w:t>
      </w:r>
      <w:r>
        <w:rPr>
          <w:bCs/>
          <w:i/>
          <w:iCs/>
        </w:rPr>
        <w:t>certainty equivalent</w:t>
      </w:r>
      <w:r>
        <w:rPr>
          <w:bCs/>
        </w:rPr>
        <w:t xml:space="preserve">. It is the amount (in this example the monetary selling price) of a good they </w:t>
      </w:r>
      <w:r w:rsidR="00F85252">
        <w:rPr>
          <w:bCs/>
        </w:rPr>
        <w:t>are content to</w:t>
      </w:r>
      <w:r>
        <w:rPr>
          <w:bCs/>
        </w:rPr>
        <w:t xml:space="preserve"> receive with complete certainty</w:t>
      </w:r>
      <w:r w:rsidR="00F85252">
        <w:rPr>
          <w:bCs/>
        </w:rPr>
        <w:t>. For a utility maximiser, they should only be satisfied so long as the</w:t>
      </w:r>
      <w:r>
        <w:rPr>
          <w:bCs/>
        </w:rPr>
        <w:t xml:space="preserve"> utility</w:t>
      </w:r>
      <w:r w:rsidR="00F85252">
        <w:rPr>
          <w:bCs/>
        </w:rPr>
        <w:t xml:space="preserve"> of the CE is equal</w:t>
      </w:r>
      <w:r>
        <w:rPr>
          <w:bCs/>
        </w:rPr>
        <w:t xml:space="preserve"> to</w:t>
      </w:r>
      <w:r w:rsidR="00CA4C67">
        <w:rPr>
          <w:bCs/>
        </w:rPr>
        <w:t xml:space="preserve"> the utility of</w:t>
      </w:r>
      <w:r>
        <w:rPr>
          <w:bCs/>
        </w:rPr>
        <w:t xml:space="preserve"> all possible outcomes</w:t>
      </w:r>
      <w:r w:rsidR="003B64F9">
        <w:rPr>
          <w:bCs/>
        </w:rPr>
        <w:t xml:space="preserve"> (</w:t>
      </w:r>
      <m:oMath>
        <m:r>
          <m:rPr>
            <m:sty m:val="bi"/>
          </m:rPr>
          <w:rPr>
            <w:rFonts w:ascii="Cambria Math" w:hAnsi="Cambria Math"/>
          </w:rPr>
          <m:t>O</m:t>
        </m:r>
      </m:oMath>
      <w:r w:rsidR="003B64F9">
        <w:rPr>
          <w:bCs/>
        </w:rPr>
        <w:t>)</w:t>
      </w:r>
      <w:r>
        <w:rPr>
          <w:bCs/>
        </w:rPr>
        <w:t xml:space="preserve"> of a trial multiplied by their probability.</w:t>
      </w:r>
    </w:p>
    <w:p w14:paraId="45439A5E" w14:textId="28D2F483" w:rsidR="00E204F9" w:rsidRDefault="00E204F9" w:rsidP="005D79EA">
      <w:pPr>
        <w:rPr>
          <w:bCs/>
        </w:rPr>
      </w:pPr>
    </w:p>
    <w:p w14:paraId="3E25E735" w14:textId="0DBCA5A3" w:rsidR="00743AE5" w:rsidRDefault="00743AE5" w:rsidP="00743AE5">
      <w:pPr>
        <w:pStyle w:val="Caption"/>
        <w:keepNext/>
      </w:pPr>
      <w:r>
        <w:t xml:space="preserve">Equation </w:t>
      </w:r>
      <w:r w:rsidR="004B63EF">
        <w:t>2.</w:t>
      </w:r>
      <w:fldSimple w:instr=" SEQ Equation \* ARABIC ">
        <w:r w:rsidR="00920E5F">
          <w:rPr>
            <w:noProof/>
          </w:rPr>
          <w:t>1</w:t>
        </w:r>
      </w:fldSimple>
    </w:p>
    <w:p w14:paraId="3FFB1B9C" w14:textId="06EBA862" w:rsidR="00C76049" w:rsidRPr="00C76049" w:rsidRDefault="006A1B06" w:rsidP="005D79EA">
      <w:pPr>
        <w:rPr>
          <w:bCs/>
          <w:i/>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(CE) = </m:t>
          </m:r>
          <m:sSub>
            <m:sSubPr>
              <m:ctrlPr>
                <w:rPr>
                  <w:rFonts w:ascii="Cambria Math" w:hAnsi="Cambria Math"/>
                  <w:bCs/>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oMath>
      </m:oMathPara>
    </w:p>
    <w:p w14:paraId="38FB8E87" w14:textId="2597B35A" w:rsidR="00E204F9" w:rsidRDefault="00E204F9" w:rsidP="005D79EA">
      <w:pPr>
        <w:rPr>
          <w:bCs/>
        </w:rPr>
      </w:pPr>
    </w:p>
    <w:p w14:paraId="47C84329" w14:textId="37CF7077" w:rsidR="00E204F9" w:rsidRDefault="006A1B06" w:rsidP="005D79EA">
      <w:pPr>
        <w:rPr>
          <w:bCs/>
        </w:rPr>
      </w:pPr>
      <w:r>
        <w:rPr>
          <w:bCs/>
        </w:rPr>
        <w:t>Where</w:t>
      </w:r>
      <w:r w:rsidRPr="006A1B06">
        <w:rPr>
          <w:b/>
          <w:bCs/>
        </w:rPr>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b/>
          <w:bCs/>
        </w:rPr>
        <w:t xml:space="preserve"> </w:t>
      </w:r>
      <w:r>
        <w:t xml:space="preserve">is the utility a single subject places upon each outcome. </w:t>
      </w:r>
      <w:r w:rsidR="00E204F9">
        <w:rPr>
          <w:bCs/>
        </w:rPr>
        <w:t xml:space="preserve">In the wager selling task </w:t>
      </w:r>
      <w:r w:rsidR="00E204F9">
        <w:rPr>
          <w:bCs/>
        </w:rPr>
        <w:lastRenderedPageBreak/>
        <w:t xml:space="preserve">with two potential outcomes (win the bet with probability </w:t>
      </w:r>
      <m:oMath>
        <m:r>
          <m:rPr>
            <m:sty m:val="bi"/>
          </m:rPr>
          <w:rPr>
            <w:rFonts w:ascii="Cambria Math" w:hAnsi="Cambria Math"/>
          </w:rPr>
          <m:t>p</m:t>
        </m:r>
      </m:oMath>
      <w:r w:rsidR="00E204F9">
        <w:rPr>
          <w:bCs/>
        </w:rPr>
        <w:t xml:space="preserve">, or lose with probability </w:t>
      </w:r>
      <m:oMath>
        <m:r>
          <m:rPr>
            <m:sty m:val="bi"/>
          </m:rPr>
          <w:rPr>
            <w:rFonts w:ascii="Cambria Math" w:hAnsi="Cambria Math"/>
          </w:rPr>
          <m:t>1-p</m:t>
        </m:r>
      </m:oMath>
      <w:r w:rsidR="00E204F9">
        <w:rPr>
          <w:bCs/>
        </w:rPr>
        <w:t>) this resolves to</w:t>
      </w:r>
    </w:p>
    <w:p w14:paraId="17ACA1A3" w14:textId="77777777" w:rsidR="008B4DDF" w:rsidRDefault="008B4DDF" w:rsidP="005D79EA">
      <w:pPr>
        <w:rPr>
          <w:bCs/>
        </w:rPr>
      </w:pPr>
    </w:p>
    <w:p w14:paraId="6AC583BB" w14:textId="0949F1B2" w:rsidR="00743AE5" w:rsidRDefault="00743AE5" w:rsidP="00743AE5">
      <w:pPr>
        <w:pStyle w:val="Caption"/>
        <w:keepNext/>
      </w:pPr>
      <w:r>
        <w:t xml:space="preserve">Equation </w:t>
      </w:r>
      <w:r w:rsidR="008D42A5">
        <w:t>2.</w:t>
      </w:r>
      <w:fldSimple w:instr=" SEQ Equation \* ARABIC ">
        <w:r w:rsidR="00920E5F">
          <w:rPr>
            <w:noProof/>
          </w:rPr>
          <w:t>2</w:t>
        </w:r>
      </w:fldSimple>
    </w:p>
    <w:p w14:paraId="55826F0E" w14:textId="567C867E" w:rsidR="008B4DDF" w:rsidRPr="00C76049" w:rsidRDefault="00F3219E" w:rsidP="008B4DDF">
      <w:pPr>
        <w:rPr>
          <w:bCs/>
          <w:i/>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(CE) = </m:t>
          </m:r>
          <m:sSub>
            <m:sSubPr>
              <m:ctrlPr>
                <w:rPr>
                  <w:rFonts w:ascii="Cambria Math" w:hAnsi="Cambria Math"/>
                  <w:bCs/>
                  <w:i/>
                </w:rPr>
              </m:ctrlPr>
            </m:sSubPr>
            <m:e>
              <m:r>
                <w:rPr>
                  <w:rFonts w:ascii="Cambria Math" w:hAnsi="Cambria Math"/>
                </w:rPr>
                <m:t>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 xml:space="preserve"> + </m:t>
          </m:r>
          <m:sSub>
            <m:sSubPr>
              <m:ctrlPr>
                <w:rPr>
                  <w:rFonts w:ascii="Cambria Math" w:hAnsi="Cambria Math"/>
                  <w:bCs/>
                  <w:i/>
                </w:rPr>
              </m:ctrlPr>
            </m:sSubPr>
            <m:e>
              <m:r>
                <w:rPr>
                  <w:rFonts w:ascii="Cambria Math" w:hAnsi="Cambria Math"/>
                </w:rPr>
                <m:t>(1 - 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L</m:t>
              </m:r>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($X) </m:t>
          </m:r>
        </m:oMath>
      </m:oMathPara>
    </w:p>
    <w:p w14:paraId="075B0C52" w14:textId="4AF46CE5" w:rsidR="00E204F9" w:rsidRDefault="00E204F9" w:rsidP="005D79EA">
      <w:pPr>
        <w:rPr>
          <w:bCs/>
        </w:rPr>
      </w:pPr>
    </w:p>
    <w:p w14:paraId="1F911B4D" w14:textId="1358B18D" w:rsidR="00F85252" w:rsidRDefault="00E204F9" w:rsidP="005D79EA">
      <w:pPr>
        <w:rPr>
          <w:bCs/>
        </w:rPr>
      </w:pPr>
      <w:r>
        <w:rPr>
          <w:bCs/>
        </w:rPr>
        <w:t>In a reversed task where participants bid for an auction</w:t>
      </w:r>
      <w:r w:rsidR="00817C43">
        <w:rPr>
          <w:bCs/>
        </w:rPr>
        <w:t>ed good</w:t>
      </w:r>
      <w:r>
        <w:rPr>
          <w:bCs/>
        </w:rPr>
        <w:t xml:space="preserve">, it should be clear that the certainty equivalent, in this case a </w:t>
      </w:r>
      <w:r>
        <w:rPr>
          <w:bCs/>
          <w:i/>
          <w:iCs/>
        </w:rPr>
        <w:t>willingness to pay</w:t>
      </w:r>
      <w:r>
        <w:rPr>
          <w:bCs/>
        </w:rPr>
        <w:t>, should remain the same</w:t>
      </w:r>
      <w:r w:rsidR="00D24392">
        <w:rPr>
          <w:bCs/>
        </w:rPr>
        <w:t xml:space="preserve"> for each participant</w:t>
      </w:r>
      <w:r>
        <w:rPr>
          <w:bCs/>
        </w:rPr>
        <w:t xml:space="preserve"> as </w:t>
      </w:r>
      <w:r w:rsidR="00D24392">
        <w:rPr>
          <w:bCs/>
        </w:rPr>
        <w:t>on</w:t>
      </w:r>
      <w:r>
        <w:rPr>
          <w:bCs/>
        </w:rPr>
        <w:t xml:space="preserve"> each trial the participant can </w:t>
      </w:r>
      <w:r w:rsidR="00013E39">
        <w:rPr>
          <w:bCs/>
        </w:rPr>
        <w:t xml:space="preserve">either win or lose the auction with a probability </w:t>
      </w:r>
      <m:oMath>
        <m:r>
          <m:rPr>
            <m:sty m:val="bi"/>
          </m:rPr>
          <w:rPr>
            <w:rFonts w:ascii="Cambria Math" w:hAnsi="Cambria Math"/>
          </w:rPr>
          <m:t>p</m:t>
        </m:r>
      </m:oMath>
      <w:r w:rsidR="00013E39">
        <w:rPr>
          <w:bCs/>
        </w:rPr>
        <w:t xml:space="preserve"> or </w:t>
      </w:r>
      <m:oMath>
        <m:r>
          <m:rPr>
            <m:sty m:val="bi"/>
          </m:rPr>
          <w:rPr>
            <w:rFonts w:ascii="Cambria Math" w:hAnsi="Cambria Math"/>
          </w:rPr>
          <m:t>1-p</m:t>
        </m:r>
      </m:oMath>
      <w:r w:rsidR="00013E39">
        <w:rPr>
          <w:bCs/>
        </w:rPr>
        <w:t xml:space="preserve">. </w:t>
      </w:r>
      <w:r w:rsidR="00F85252">
        <w:rPr>
          <w:bCs/>
        </w:rPr>
        <w:t xml:space="preserve">The reverse of selling a wager for at least as much as a price </w:t>
      </w:r>
      <m:oMath>
        <m:r>
          <m:rPr>
            <m:sty m:val="bi"/>
          </m:rPr>
          <w:rPr>
            <w:rFonts w:ascii="Cambria Math" w:hAnsi="Cambria Math"/>
          </w:rPr>
          <m:t>$X</m:t>
        </m:r>
      </m:oMath>
      <w:r w:rsidR="00F85252">
        <w:rPr>
          <w:bCs/>
        </w:rPr>
        <w:t>, is</w:t>
      </w:r>
      <w:r w:rsidR="00770951">
        <w:rPr>
          <w:bCs/>
        </w:rPr>
        <w:t xml:space="preserve"> the same as</w:t>
      </w:r>
      <w:r w:rsidR="00F85252">
        <w:rPr>
          <w:bCs/>
        </w:rPr>
        <w:t xml:space="preserve"> buying entry to that wager with at most a price </w:t>
      </w:r>
      <m:oMath>
        <m:r>
          <m:rPr>
            <m:sty m:val="bi"/>
          </m:rPr>
          <w:rPr>
            <w:rFonts w:ascii="Cambria Math" w:hAnsi="Cambria Math"/>
          </w:rPr>
          <m:t>$X</m:t>
        </m:r>
      </m:oMath>
      <w:r w:rsidR="00F85252">
        <w:rPr>
          <w:bCs/>
        </w:rPr>
        <w:t>. The randomly drawn buyer</w:t>
      </w:r>
      <w:r w:rsidR="00770951">
        <w:rPr>
          <w:bCs/>
        </w:rPr>
        <w:t>’</w:t>
      </w:r>
      <w:r w:rsidR="00F85252">
        <w:rPr>
          <w:bCs/>
        </w:rPr>
        <w:t xml:space="preserve">s offer </w:t>
      </w:r>
      <m:oMath>
        <m:r>
          <m:rPr>
            <m:sty m:val="bi"/>
          </m:rPr>
          <w:rPr>
            <w:rFonts w:ascii="Cambria Math" w:hAnsi="Cambria Math"/>
          </w:rPr>
          <m:t>$Y</m:t>
        </m:r>
      </m:oMath>
      <w:r w:rsidR="00F85252">
        <w:rPr>
          <w:bCs/>
        </w:rPr>
        <w:t xml:space="preserve"> is in this case a randomly drawn </w:t>
      </w:r>
      <w:r w:rsidR="00F85252" w:rsidRPr="005179E3">
        <w:rPr>
          <w:bCs/>
          <w:i/>
          <w:iCs/>
        </w:rPr>
        <w:t>second</w:t>
      </w:r>
      <w:r w:rsidR="00F85252">
        <w:rPr>
          <w:bCs/>
        </w:rPr>
        <w:t xml:space="preserve"> buyer</w:t>
      </w:r>
      <w:r w:rsidR="000A78A6">
        <w:rPr>
          <w:bCs/>
        </w:rPr>
        <w:t>’</w:t>
      </w:r>
      <w:r w:rsidR="00F85252">
        <w:rPr>
          <w:bCs/>
        </w:rPr>
        <w:t xml:space="preserve">s price </w:t>
      </w:r>
      <m:oMath>
        <m:r>
          <m:rPr>
            <m:sty m:val="bi"/>
          </m:rPr>
          <w:rPr>
            <w:rFonts w:ascii="Cambria Math" w:hAnsi="Cambria Math"/>
          </w:rPr>
          <m:t>$Y</m:t>
        </m:r>
      </m:oMath>
      <w:r w:rsidR="00F85252">
        <w:rPr>
          <w:bCs/>
        </w:rPr>
        <w:t xml:space="preserve"> which the subject pays.</w:t>
      </w:r>
    </w:p>
    <w:p w14:paraId="716D0545" w14:textId="77777777" w:rsidR="00F85252" w:rsidRDefault="00F85252" w:rsidP="005D79EA">
      <w:pPr>
        <w:rPr>
          <w:bCs/>
        </w:rPr>
      </w:pPr>
    </w:p>
    <w:p w14:paraId="4054588A" w14:textId="02FB8211" w:rsidR="008C7C09" w:rsidRDefault="00013E39" w:rsidP="005D79EA">
      <w:pPr>
        <w:rPr>
          <w:bCs/>
        </w:rPr>
      </w:pPr>
      <w:r>
        <w:rPr>
          <w:bCs/>
        </w:rPr>
        <w:t>T</w:t>
      </w:r>
      <w:r w:rsidR="005D79EA">
        <w:rPr>
          <w:bCs/>
        </w:rPr>
        <w:t>his is equivalent to a sealed second price auction, in which the participant who bids highest for a good</w:t>
      </w:r>
      <w:r w:rsidR="005179E3">
        <w:rPr>
          <w:bCs/>
        </w:rPr>
        <w:t>,</w:t>
      </w:r>
      <w:r w:rsidR="005D79EA">
        <w:rPr>
          <w:bCs/>
        </w:rPr>
        <w:t xml:space="preserve"> wins the auction and pays the </w:t>
      </w:r>
      <w:r w:rsidR="005D79EA" w:rsidRPr="009C2A08">
        <w:rPr>
          <w:bCs/>
          <w:i/>
          <w:iCs/>
          <w:u w:val="single"/>
        </w:rPr>
        <w:t>second</w:t>
      </w:r>
      <w:r w:rsidR="005D79EA">
        <w:rPr>
          <w:bCs/>
        </w:rPr>
        <w:t xml:space="preserve"> highest bid to obtain their reward. All other participants neither pay nor win anything</w:t>
      </w:r>
      <w:r w:rsidR="008C7C09">
        <w:rPr>
          <w:bCs/>
        </w:rPr>
        <w:t>.</w:t>
      </w:r>
    </w:p>
    <w:p w14:paraId="5F8FC5A5" w14:textId="77777777" w:rsidR="008C7C09" w:rsidRDefault="008C7C09" w:rsidP="005D79EA">
      <w:pPr>
        <w:rPr>
          <w:bCs/>
        </w:rPr>
      </w:pPr>
    </w:p>
    <w:p w14:paraId="17E3E1F1" w14:textId="12A47536" w:rsidR="005D79EA" w:rsidRDefault="005D79EA" w:rsidP="005D79EA">
      <w:pPr>
        <w:rPr>
          <w:bCs/>
        </w:rPr>
      </w:pPr>
      <w:r>
        <w:rPr>
          <w:bCs/>
        </w:rPr>
        <w:t>In</w:t>
      </w:r>
      <w:r w:rsidR="0043729C">
        <w:rPr>
          <w:bCs/>
        </w:rPr>
        <w:t xml:space="preserve"> such</w:t>
      </w:r>
      <w:r w:rsidR="008C7C09">
        <w:rPr>
          <w:bCs/>
        </w:rPr>
        <w:t xml:space="preserve"> a sealed second price auction</w:t>
      </w:r>
      <w:r>
        <w:rPr>
          <w:bCs/>
        </w:rPr>
        <w:t>, the weakly-dominant strategy is always to bid exactly the value of the good being auctioned. A participant who follows this strategy will never have any ‘regret’ about their bid; there exists no bid that could yield more utility from the trial</w:t>
      </w:r>
      <w:r w:rsidR="00311243">
        <w:rPr>
          <w:rStyle w:val="FootnoteReference"/>
          <w:bCs/>
        </w:rPr>
        <w:footnoteReference w:id="7"/>
      </w:r>
      <w:r>
        <w:rPr>
          <w:bCs/>
        </w:rPr>
        <w:t>. In contrast, all other potential bids have the potential for such regret by either yielding negative utility (overpaying for the reward), or</w:t>
      </w:r>
      <w:r w:rsidR="00112F5A">
        <w:rPr>
          <w:bCs/>
        </w:rPr>
        <w:t xml:space="preserve"> net</w:t>
      </w:r>
      <w:r>
        <w:rPr>
          <w:bCs/>
        </w:rPr>
        <w:t xml:space="preserve"> zero utility where the possibility of positive utility was present. This is a counterintuitive finding but is explained in figure </w:t>
      </w:r>
      <w:r w:rsidR="006853AB">
        <w:rPr>
          <w:bCs/>
        </w:rPr>
        <w:t>2</w:t>
      </w:r>
      <w:r w:rsidR="00081614">
        <w:rPr>
          <w:bCs/>
        </w:rPr>
        <w:t>.2</w:t>
      </w:r>
      <w:r>
        <w:rPr>
          <w:bCs/>
        </w:rPr>
        <w:t xml:space="preserve"> and in the paragraph below:</w:t>
      </w:r>
    </w:p>
    <w:p w14:paraId="1C5F8DA8" w14:textId="77777777" w:rsidR="005D79EA" w:rsidRDefault="005D79EA" w:rsidP="005D79EA">
      <w:pPr>
        <w:rPr>
          <w:bCs/>
        </w:rPr>
      </w:pPr>
    </w:p>
    <w:p w14:paraId="195A16EA" w14:textId="77777777" w:rsidR="00DA114B" w:rsidRDefault="00DA114B" w:rsidP="00DA114B">
      <w:pPr>
        <w:rPr>
          <w:bCs/>
          <w:i/>
        </w:rPr>
      </w:pPr>
      <w:r>
        <w:rPr>
          <w:bCs/>
          <w:i/>
        </w:rPr>
        <w:t xml:space="preserve">Imagine a subject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
          <w:i/>
        </w:rPr>
        <w:t xml:space="preserve"> </w:t>
      </w:r>
      <w:r>
        <w:rPr>
          <w:bCs/>
          <w:i/>
        </w:rPr>
        <w:t xml:space="preserve">bidding against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2...n</m:t>
            </m:r>
          </m:sub>
        </m:sSub>
      </m:oMath>
      <w:r>
        <w:rPr>
          <w:bCs/>
          <w:i/>
        </w:rPr>
        <w:t xml:space="preserve"> other participants. The true exact utility of a good to be auctioned to subject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
          <w:i/>
        </w:rPr>
        <w:t xml:space="preserve"> </w:t>
      </w:r>
      <w:r>
        <w:rPr>
          <w:bCs/>
          <w:i/>
        </w:rPr>
        <w:t xml:space="preserve">is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
          <w:i/>
        </w:rPr>
        <w:t xml:space="preserve"> </w:t>
      </w:r>
      <w:r>
        <w:rPr>
          <w:bCs/>
          <w:i/>
        </w:rPr>
        <w:t xml:space="preserve">and the maximum utility of </w:t>
      </w:r>
      <m:oMath>
        <m:r>
          <m:rPr>
            <m:sty m:val="bi"/>
          </m:rPr>
          <w:rPr>
            <w:rFonts w:ascii="Cambria Math" w:hAnsi="Cambria Math"/>
          </w:rPr>
          <m:t>n</m:t>
        </m:r>
      </m:oMath>
      <w:r>
        <w:rPr>
          <w:bCs/>
          <w:i/>
        </w:rPr>
        <w:t xml:space="preserve"> other participants for the good is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w:t>
      </w:r>
    </w:p>
    <w:p w14:paraId="302DD5E4" w14:textId="77777777" w:rsidR="00DA114B" w:rsidRDefault="00DA114B" w:rsidP="00DA114B">
      <w:pPr>
        <w:rPr>
          <w:bCs/>
          <w:i/>
        </w:rPr>
      </w:pPr>
    </w:p>
    <w:p w14:paraId="69735F39" w14:textId="77777777" w:rsidR="00DA114B" w:rsidRDefault="00DA114B" w:rsidP="00DA114B">
      <w:pPr>
        <w:rPr>
          <w:bCs/>
          <w:i/>
        </w:rPr>
      </w:pPr>
      <w:r>
        <w:rPr>
          <w:bCs/>
          <w:i/>
        </w:rPr>
        <w:t xml:space="preserve">Across trials, a rational participant may win or lose auctions depending on whether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 xml:space="preserve"> </m:t>
        </m:r>
        <m:r>
          <w:rPr>
            <w:rFonts w:ascii="Cambria Math" w:hAnsi="Cambria Math"/>
          </w:rPr>
          <m:t xml:space="preserve"> </m:t>
        </m:r>
      </m:oMath>
      <w:r>
        <w:rPr>
          <w:b/>
          <w:i/>
        </w:rPr>
        <w:t xml:space="preserve"> </w:t>
      </w:r>
      <w:r>
        <w:rPr>
          <w:bCs/>
          <w:i/>
        </w:rPr>
        <w:t xml:space="preserve">or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
          <w:i/>
        </w:rPr>
        <w:t xml:space="preserve"> </w:t>
      </w:r>
      <w:r>
        <w:rPr>
          <w:bCs/>
          <w:i/>
        </w:rPr>
        <w:t xml:space="preserve"> (we assume utilities are continuous and never exactly equal to each other). When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 subject wins the auction and pays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By definition,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so the subject makes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w:t>
      </w:r>
    </w:p>
    <w:p w14:paraId="0A18EDEB" w14:textId="77777777" w:rsidR="00DA114B" w:rsidRDefault="00DA114B" w:rsidP="00DA114B">
      <w:pPr>
        <w:rPr>
          <w:bCs/>
          <w:i/>
        </w:rPr>
      </w:pPr>
    </w:p>
    <w:p w14:paraId="796C0C89" w14:textId="77777777" w:rsidR="00DA114B" w:rsidRDefault="00DA114B" w:rsidP="00DA114B">
      <w:pPr>
        <w:rPr>
          <w:bCs/>
          <w:i/>
        </w:rPr>
      </w:pPr>
      <w:r>
        <w:rPr>
          <w:bCs/>
          <w:i/>
        </w:rPr>
        <w:t>When</w:t>
      </w:r>
      <m:oMath>
        <m:sSub>
          <m:sSubPr>
            <m:ctrlPr>
              <w:rPr>
                <w:rFonts w:ascii="Cambria Math" w:hAnsi="Cambria Math"/>
                <w:b/>
                <w:i/>
              </w:rPr>
            </m:ctrlPr>
          </m:sSubPr>
          <m:e>
            <m:r>
              <m:rPr>
                <m:sty m:val="bi"/>
              </m:rPr>
              <w:rPr>
                <w:rFonts w:ascii="Cambria Math" w:hAnsi="Cambria Math"/>
              </w:rPr>
              <m:t xml:space="preserve"> 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the participant neither wins nor pays any money, and so makes no profit or loss (except perhaps a small waste of time).</w:t>
      </w:r>
    </w:p>
    <w:p w14:paraId="4129DE81" w14:textId="77777777" w:rsidR="00DA114B" w:rsidRDefault="00DA114B" w:rsidP="00DA114B">
      <w:pPr>
        <w:rPr>
          <w:bCs/>
          <w:i/>
        </w:rPr>
      </w:pPr>
    </w:p>
    <w:p w14:paraId="7E49C2B7" w14:textId="3ACA5CDD" w:rsidR="00DA114B" w:rsidRDefault="00DA114B" w:rsidP="00DA114B">
      <w:pPr>
        <w:rPr>
          <w:bCs/>
          <w:i/>
        </w:rPr>
      </w:pPr>
      <w:r>
        <w:rPr>
          <w:bCs/>
          <w:i/>
        </w:rPr>
        <w:t>Having failed to win in multiple trials and becoming bored</w:t>
      </w:r>
      <w:r w:rsidR="005725D6">
        <w:rPr>
          <w:bCs/>
          <w:i/>
        </w:rPr>
        <w:t xml:space="preserve"> of losing</w:t>
      </w:r>
      <w:r>
        <w:rPr>
          <w:bCs/>
          <w:i/>
        </w:rPr>
        <w:t xml:space="preserve">, let us assume that the subject decides to raise their bid to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xml:space="preserve">,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 xml:space="preserve">&gt;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 xml:space="preserve">. </w:t>
      </w:r>
    </w:p>
    <w:p w14:paraId="6EBFEE19" w14:textId="77777777" w:rsidR="00DA114B" w:rsidRDefault="00DA114B" w:rsidP="00DA114B">
      <w:pPr>
        <w:rPr>
          <w:bCs/>
          <w:i/>
        </w:rPr>
      </w:pPr>
    </w:p>
    <w:p w14:paraId="541E2C97" w14:textId="77777777" w:rsidR="00DA114B" w:rsidRDefault="00DA114B" w:rsidP="00DA114B">
      <w:pPr>
        <w:rPr>
          <w:bCs/>
          <w:i/>
        </w:rPr>
      </w:pPr>
      <w:r>
        <w:rPr>
          <w:bCs/>
          <w:i/>
        </w:rPr>
        <w:t xml:space="preserve">On trials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lose the trial and make neither a profit nor a loss. Given that </w:t>
      </w:r>
      <m:oMath>
        <m:sSub>
          <m:sSubPr>
            <m:ctrlPr>
              <w:rPr>
                <w:rFonts w:ascii="Cambria Math" w:hAnsi="Cambria Math"/>
                <w:b/>
                <w:i/>
              </w:rPr>
            </m:ctrlPr>
          </m:sSubPr>
          <m:e>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&lt;H</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they would have lost this trial in any case had they bid their true value.</w:t>
      </w:r>
    </w:p>
    <w:p w14:paraId="24A19245" w14:textId="77777777" w:rsidR="00DA114B" w:rsidRDefault="00DA114B" w:rsidP="00DA114B">
      <w:pPr>
        <w:rPr>
          <w:bCs/>
          <w:i/>
        </w:rPr>
      </w:pPr>
    </w:p>
    <w:p w14:paraId="65752CBE" w14:textId="77777777" w:rsidR="00DA114B" w:rsidRDefault="00DA114B" w:rsidP="00DA114B">
      <w:pPr>
        <w:rPr>
          <w:bCs/>
          <w:i/>
        </w:rPr>
      </w:pPr>
      <w:r>
        <w:rPr>
          <w:bCs/>
          <w:i/>
        </w:rPr>
        <w:lastRenderedPageBreak/>
        <w:t xml:space="preserve">However, in the case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still pay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
          <w:i/>
        </w:rPr>
        <w:t xml:space="preserve"> </w:t>
      </w:r>
      <w:r w:rsidRPr="00CC3E77">
        <w:rPr>
          <w:bCs/>
          <w:i/>
        </w:rPr>
        <w:t>b</w:t>
      </w:r>
      <w:r>
        <w:rPr>
          <w:bCs/>
          <w:i/>
        </w:rPr>
        <w:t xml:space="preserve">ut may make a profit or a loss: </w:t>
      </w:r>
    </w:p>
    <w:p w14:paraId="5B426065" w14:textId="77777777" w:rsidR="00DA114B" w:rsidRDefault="00DA114B" w:rsidP="00DA114B">
      <w:pPr>
        <w:rPr>
          <w:bCs/>
          <w:i/>
        </w:rPr>
      </w:pPr>
    </w:p>
    <w:p w14:paraId="1C78E7B2" w14:textId="77777777" w:rsidR="00DA114B" w:rsidRDefault="00DA114B" w:rsidP="00DA114B">
      <w:pPr>
        <w:rPr>
          <w:bCs/>
          <w:i/>
        </w:rPr>
      </w:pPr>
      <w:r>
        <w:rPr>
          <w:bCs/>
          <w:i/>
        </w:rPr>
        <w:t xml:space="preserve">If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they make the same profit as with their previous strategy:</w:t>
      </w:r>
      <m:oMath>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w:t>
      </w:r>
    </w:p>
    <w:p w14:paraId="655D6BCE" w14:textId="77777777" w:rsidR="00DA114B" w:rsidRDefault="00DA114B" w:rsidP="00DA114B">
      <w:pPr>
        <w:rPr>
          <w:bCs/>
          <w:i/>
        </w:rPr>
      </w:pPr>
    </w:p>
    <w:p w14:paraId="4BFDBD5D" w14:textId="77777777" w:rsidR="00DA114B" w:rsidRDefault="00DA114B" w:rsidP="00DA114B">
      <w:pPr>
        <w:rPr>
          <w:bCs/>
          <w:i/>
        </w:rPr>
      </w:pPr>
      <w:r>
        <w:rPr>
          <w:bCs/>
          <w:i/>
        </w:rPr>
        <w:t xml:space="preserve">However, where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xml:space="preserve">, the change in utility to the subject is still measured as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but this will be negative;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Cs/>
          <w:i/>
          <w:vertAlign w:val="subscript"/>
        </w:rPr>
        <w:t xml:space="preserve"> </w:t>
      </w:r>
      <w:r>
        <w:rPr>
          <w:bCs/>
          <w:i/>
        </w:rPr>
        <w:t>makes a loss on the trial.</w:t>
      </w:r>
    </w:p>
    <w:p w14:paraId="60567878" w14:textId="77777777" w:rsidR="00DA114B" w:rsidRDefault="00DA114B" w:rsidP="00DA114B">
      <w:pPr>
        <w:rPr>
          <w:bCs/>
          <w:i/>
        </w:rPr>
      </w:pPr>
    </w:p>
    <w:p w14:paraId="70586BB5" w14:textId="77777777" w:rsidR="00DA114B" w:rsidRDefault="00DA114B" w:rsidP="00DA114B">
      <w:pPr>
        <w:rPr>
          <w:bCs/>
          <w:i/>
        </w:rPr>
      </w:pPr>
      <w:r>
        <w:rPr>
          <w:bCs/>
          <w:i/>
        </w:rPr>
        <w:t xml:space="preserve">Having been burned with the strategy the increase bids, the subject instead tries to underbid for the reward. They bid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oMath>
      <w:r>
        <w:rPr>
          <w:bCs/>
          <w:i/>
        </w:rPr>
        <w:t xml:space="preserve">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w:t>
      </w:r>
    </w:p>
    <w:p w14:paraId="0B28EFF9" w14:textId="77777777" w:rsidR="00DA114B" w:rsidRDefault="00DA114B" w:rsidP="00DA114B">
      <w:pPr>
        <w:rPr>
          <w:bCs/>
          <w:i/>
        </w:rPr>
      </w:pPr>
    </w:p>
    <w:p w14:paraId="3C8AE89E" w14:textId="77777777" w:rsidR="00DA114B" w:rsidRDefault="00DA114B" w:rsidP="00DA114B">
      <w:pPr>
        <w:rPr>
          <w:bCs/>
          <w:i/>
        </w:rPr>
      </w:pPr>
      <w:r>
        <w:rPr>
          <w:bCs/>
          <w:i/>
        </w:rPr>
        <w:t xml:space="preserve">Now they may still win any single trial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but given that </w:t>
      </w:r>
    </w:p>
    <w:p w14:paraId="380AC1FA" w14:textId="77777777" w:rsidR="00DA114B" w:rsidRDefault="00FE142F" w:rsidP="00DA114B">
      <w:pPr>
        <w:rPr>
          <w:bCs/>
          <w:i/>
        </w:rPr>
      </w:pP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sidR="00DA114B">
        <w:rPr>
          <w:bCs/>
          <w:i/>
        </w:rPr>
        <w:t xml:space="preserve">, they still only make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sidR="00DA114B">
        <w:rPr>
          <w:bCs/>
          <w:i/>
        </w:rPr>
        <w:t>.</w:t>
      </w:r>
    </w:p>
    <w:p w14:paraId="0FC05FBA" w14:textId="77777777" w:rsidR="00DA114B" w:rsidRDefault="00DA114B" w:rsidP="00DA114B">
      <w:pPr>
        <w:rPr>
          <w:bCs/>
          <w:i/>
        </w:rPr>
      </w:pPr>
    </w:p>
    <w:p w14:paraId="6225161F" w14:textId="77777777" w:rsidR="00DA114B" w:rsidRDefault="00DA114B" w:rsidP="00DA114B">
      <w:pPr>
        <w:rPr>
          <w:bCs/>
          <w:i/>
        </w:rPr>
      </w:pPr>
      <w:r>
        <w:rPr>
          <w:bCs/>
          <w:i/>
        </w:rPr>
        <w:t xml:space="preserve">But, as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sidRPr="007F28D8">
        <w:rPr>
          <w:bCs/>
          <w:i/>
        </w:rPr>
        <w:t>,</w:t>
      </w:r>
      <w:r>
        <w:rPr>
          <w:bCs/>
          <w:i/>
        </w:rPr>
        <w:t xml:space="preserve"> on any trial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lose the trial and miss out on the chance to make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in the case that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w:t>
      </w:r>
    </w:p>
    <w:p w14:paraId="43CE7BE7" w14:textId="77777777" w:rsidR="00DA114B" w:rsidRDefault="00DA114B" w:rsidP="00DA114B">
      <w:pPr>
        <w:rPr>
          <w:bCs/>
          <w:i/>
        </w:rPr>
      </w:pPr>
    </w:p>
    <w:p w14:paraId="6374222F" w14:textId="2B3E41FC" w:rsidR="00DA114B" w:rsidRDefault="00DA114B" w:rsidP="00DA114B">
      <w:pPr>
        <w:rPr>
          <w:bCs/>
          <w:i/>
        </w:rPr>
      </w:pPr>
      <w:r>
        <w:rPr>
          <w:bCs/>
          <w:i/>
        </w:rPr>
        <w:t xml:space="preserve">In summary, we are forced to conclude that subject </w:t>
      </w:r>
      <w:r>
        <w:rPr>
          <w:b/>
          <w:i/>
        </w:rPr>
        <w:t>S</w:t>
      </w:r>
      <w:r>
        <w:rPr>
          <w:b/>
          <w:i/>
          <w:vertAlign w:val="subscript"/>
        </w:rPr>
        <w:t>1</w:t>
      </w:r>
      <w:r>
        <w:rPr>
          <w:bCs/>
          <w:i/>
          <w:vertAlign w:val="subscript"/>
        </w:rPr>
        <w:t xml:space="preserve"> </w:t>
      </w:r>
      <w:r>
        <w:rPr>
          <w:bCs/>
          <w:i/>
        </w:rPr>
        <w:t>will never regret bidding their true utility of a reward (</w:t>
      </w:r>
      <m:oMath>
        <m:r>
          <m:rPr>
            <m:sty m:val="bi"/>
          </m:rPr>
          <w:rPr>
            <w:rFonts w:ascii="Cambria Math" w:hAnsi="Cambria Math"/>
          </w:rPr>
          <m:t>G</m:t>
        </m:r>
      </m:oMath>
      <w:r>
        <w:rPr>
          <w:bCs/>
          <w:i/>
        </w:rPr>
        <w:t>), but if they do not bid their true utility they may sometimes regret overpaying or missing out on the opportunity for profit.</w:t>
      </w:r>
    </w:p>
    <w:p w14:paraId="0E763465" w14:textId="77777777" w:rsidR="00DA114B" w:rsidRPr="007F0CDD" w:rsidRDefault="00DA114B" w:rsidP="00DA114B">
      <w:pPr>
        <w:rPr>
          <w:bCs/>
          <w:i/>
        </w:rPr>
      </w:pPr>
    </w:p>
    <w:p w14:paraId="1DA2FD69" w14:textId="4EB69B72" w:rsidR="005D79EA" w:rsidRDefault="00A9301D" w:rsidP="005D79EA">
      <w:pPr>
        <w:rPr>
          <w:bCs/>
        </w:rPr>
      </w:pPr>
      <w:r>
        <w:rPr>
          <w:bCs/>
        </w:rPr>
        <w:t>Each</w:t>
      </w:r>
      <w:r w:rsidR="005D79EA">
        <w:rPr>
          <w:bCs/>
        </w:rPr>
        <w:t xml:space="preserve"> of these eventualities are shown in figures </w:t>
      </w:r>
      <w:r w:rsidR="00BA6078">
        <w:rPr>
          <w:bCs/>
        </w:rPr>
        <w:t>2.</w:t>
      </w:r>
      <w:r w:rsidR="006853AB">
        <w:rPr>
          <w:bCs/>
        </w:rPr>
        <w:t>2</w:t>
      </w:r>
      <w:r w:rsidR="00BA6078">
        <w:rPr>
          <w:bCs/>
        </w:rPr>
        <w:t>a-h)</w:t>
      </w:r>
      <w:r w:rsidR="005D79EA">
        <w:rPr>
          <w:bCs/>
        </w:rPr>
        <w:t xml:space="preserve"> where bids and values are represented as </w:t>
      </w:r>
      <w:r w:rsidR="00BA6078">
        <w:rPr>
          <w:bCs/>
        </w:rPr>
        <w:t>bars across</w:t>
      </w:r>
      <w:r w:rsidR="005D79EA">
        <w:rPr>
          <w:bCs/>
        </w:rPr>
        <w:t xml:space="preserve"> a continuous number line</w:t>
      </w:r>
      <w:r w:rsidR="00BA6078">
        <w:rPr>
          <w:bCs/>
        </w:rPr>
        <w:t xml:space="preserve"> and</w:t>
      </w:r>
      <w:r w:rsidR="005D79EA">
        <w:rPr>
          <w:bCs/>
        </w:rPr>
        <w:t xml:space="preserve"> a higher position indicates a higher bid/value.</w:t>
      </w:r>
      <w:r w:rsidR="005179E3">
        <w:rPr>
          <w:bCs/>
        </w:rPr>
        <w:t xml:space="preserve"> It should be mentioned that in experimental trials of the BDM, the subject is generally given</w:t>
      </w:r>
      <w:r w:rsidR="00501AAC">
        <w:rPr>
          <w:bCs/>
        </w:rPr>
        <w:t xml:space="preserve"> a budget to spend or keep so the utility of losing a trial is not exactly zero as it might be for BDM auctions ‘in the wild’. For sake of simplicity however, losing an auction and receiving the budget is treated as the neutral outcome.</w:t>
      </w:r>
    </w:p>
    <w:p w14:paraId="757385C7" w14:textId="6BE018B4" w:rsidR="00B3463A" w:rsidRDefault="00B3463A" w:rsidP="005D79EA">
      <w:pPr>
        <w:rPr>
          <w:bCs/>
        </w:rPr>
      </w:pPr>
    </w:p>
    <w:p w14:paraId="02003FFE" w14:textId="30E65E4F" w:rsidR="00980E33" w:rsidRDefault="00BF2AB1" w:rsidP="005D79EA">
      <w:pPr>
        <w:rPr>
          <w:bCs/>
        </w:rPr>
      </w:pPr>
      <w:r>
        <w:rPr>
          <w:bCs/>
        </w:rPr>
        <w:t>Bidding one’s true value is therefore weakly-dominant- a participant cannot do better than bidding their true value. We would therefore expect any rational utility-maximiser with a full understanding of the task to bid as close to their true value as possible for any good in a BDM auction. This causes the BDM to be incentive compatible; it is in the best interests of any subject to aid the experiment by declaring their true value in any trial.</w:t>
      </w:r>
      <w:r w:rsidR="00980E33">
        <w:rPr>
          <w:bCs/>
        </w:rPr>
        <w:t xml:space="preserve"> A more comprehensive proof of this is presented in Appendix 1, adapted from</w:t>
      </w:r>
      <w:r w:rsidR="00873B64">
        <w:rPr>
          <w:bCs/>
        </w:rPr>
        <w:t xml:space="preserve"> </w:t>
      </w:r>
      <w:r w:rsidR="00873B64">
        <w:rPr>
          <w:bCs/>
        </w:rPr>
        <w:fldChar w:fldCharType="begin" w:fldLock="1"/>
      </w:r>
      <w:r w:rsidR="0017319F">
        <w:rPr>
          <w:bCs/>
        </w:rP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J.","non-dropping-particle":"","parse-names":false,"suffix":""}],"container-title":"Econometrica","id":"ITEM-1","issue":"5","issued":{"date-parts":[["1982"]]},"page":"1089","title":"A Theory of Auctions and Competitive Bidding","type":"article-journal","volume":"50"},"uris":["http://www.mendeley.com/documents/?uuid=3dfe22a3-266a-41e6-8d78-c1f7b6058a43"]}],"mendeley":{"formattedCitation":"(Milgrom &amp; Weber, 1982)","manualFormatting":"Milgrom &amp; Weber, 1982","plainTextFormattedCitation":"(Milgrom &amp; Weber, 1982)","previouslyFormattedCitation":"(Milgrom &amp; Weber, 1982)"},"properties":{"noteIndex":0},"schema":"https://github.com/citation-style-language/schema/raw/master/csl-citation.json"}</w:instrText>
      </w:r>
      <w:r w:rsidR="00873B64">
        <w:rPr>
          <w:bCs/>
        </w:rPr>
        <w:fldChar w:fldCharType="separate"/>
      </w:r>
      <w:r w:rsidR="00873B64" w:rsidRPr="00873B64">
        <w:rPr>
          <w:bCs/>
          <w:noProof/>
        </w:rPr>
        <w:t>Milgrom &amp; Weber, 1982</w:t>
      </w:r>
      <w:r w:rsidR="00873B64">
        <w:rPr>
          <w:bCs/>
        </w:rPr>
        <w:fldChar w:fldCharType="end"/>
      </w:r>
      <w:r w:rsidR="00980E33">
        <w:rPr>
          <w:bCs/>
        </w:rPr>
        <w:t xml:space="preserve">. </w:t>
      </w:r>
    </w:p>
    <w:p w14:paraId="381ECC87" w14:textId="109936E1" w:rsidR="00DD131E" w:rsidRDefault="00DD131E" w:rsidP="005D79EA">
      <w:pPr>
        <w:rPr>
          <w:bCs/>
        </w:rPr>
      </w:pPr>
    </w:p>
    <w:p w14:paraId="60DB156D" w14:textId="4E61601D" w:rsidR="00DD131E" w:rsidRPr="00DD131E" w:rsidRDefault="00DD131E" w:rsidP="005D79EA">
      <w:pPr>
        <w:rPr>
          <w:b/>
          <w:u w:val="single"/>
        </w:rPr>
      </w:pPr>
      <w:r>
        <w:rPr>
          <w:b/>
          <w:u w:val="single"/>
        </w:rPr>
        <w:t>The BDM as an economic tool</w:t>
      </w:r>
    </w:p>
    <w:p w14:paraId="02B2E351" w14:textId="5538E119" w:rsidR="004331F6" w:rsidRDefault="004331F6" w:rsidP="005D79EA">
      <w:pPr>
        <w:rPr>
          <w:bCs/>
        </w:rPr>
      </w:pPr>
    </w:p>
    <w:p w14:paraId="281B91FD" w14:textId="6B2404D4" w:rsidR="00AB615C" w:rsidRDefault="00DD131E" w:rsidP="0043729C">
      <w:pPr>
        <w:rPr>
          <w:bCs/>
        </w:rPr>
      </w:pPr>
      <w:r>
        <w:rPr>
          <w:bCs/>
        </w:rPr>
        <w:t xml:space="preserve">The first documented use of a </w:t>
      </w:r>
      <w:r w:rsidR="00CB715A">
        <w:rPr>
          <w:bCs/>
        </w:rPr>
        <w:t>BDM style auction</w:t>
      </w:r>
      <w:r>
        <w:rPr>
          <w:bCs/>
        </w:rPr>
        <w:t xml:space="preserve"> predates the Becker experiment by 150 years. In 1797 the famous German poet </w:t>
      </w:r>
      <w:proofErr w:type="spellStart"/>
      <w:r>
        <w:rPr>
          <w:bCs/>
        </w:rPr>
        <w:t>Wolfang</w:t>
      </w:r>
      <w:proofErr w:type="spellEnd"/>
      <w:r>
        <w:rPr>
          <w:bCs/>
        </w:rPr>
        <w:t xml:space="preserve"> von Goethe wished to sell a newly penned epic poem Hermann and Dorothea. </w:t>
      </w:r>
      <w:r w:rsidR="00AB615C">
        <w:rPr>
          <w:bCs/>
        </w:rPr>
        <w:t>In 1</w:t>
      </w:r>
      <w:r w:rsidR="00774DE9">
        <w:rPr>
          <w:bCs/>
        </w:rPr>
        <w:t>8</w:t>
      </w:r>
      <w:r w:rsidR="00AB615C" w:rsidRPr="00AB615C">
        <w:rPr>
          <w:bCs/>
          <w:vertAlign w:val="superscript"/>
        </w:rPr>
        <w:t>th</w:t>
      </w:r>
      <w:r w:rsidR="00AB615C">
        <w:rPr>
          <w:bCs/>
        </w:rPr>
        <w:t xml:space="preserve"> century Germany, authors sold the whole rights to a piece directly to publishers, rather than receiving payment per unit sold; the rights to the poem are equivalent to a good sold in an auction. </w:t>
      </w:r>
    </w:p>
    <w:p w14:paraId="0AABD988" w14:textId="77777777" w:rsidR="00AB615C" w:rsidRDefault="00AB615C" w:rsidP="0043729C">
      <w:pPr>
        <w:rPr>
          <w:bCs/>
        </w:rPr>
      </w:pPr>
    </w:p>
    <w:p w14:paraId="2CF1D764" w14:textId="790C71A8" w:rsidR="0043729C" w:rsidRDefault="00DD131E" w:rsidP="0043729C">
      <w:pPr>
        <w:rPr>
          <w:bCs/>
        </w:rPr>
      </w:pPr>
      <w:r>
        <w:rPr>
          <w:bCs/>
        </w:rPr>
        <w:t xml:space="preserve">Already rich and declaring himself to be </w:t>
      </w:r>
      <w:r w:rsidR="00AB615C">
        <w:rPr>
          <w:bCs/>
        </w:rPr>
        <w:t xml:space="preserve">uninterested in purely </w:t>
      </w:r>
      <w:r w:rsidR="00C2504C">
        <w:rPr>
          <w:bCs/>
        </w:rPr>
        <w:t>maximising</w:t>
      </w:r>
      <w:r w:rsidR="00AB615C">
        <w:rPr>
          <w:bCs/>
        </w:rPr>
        <w:t xml:space="preserve"> profit, Goethe instead wished to get as good an approximation </w:t>
      </w:r>
      <w:r w:rsidR="00774DE9">
        <w:rPr>
          <w:bCs/>
        </w:rPr>
        <w:t xml:space="preserve">of the true value of his work. </w:t>
      </w:r>
      <w:r w:rsidR="00CB715A">
        <w:rPr>
          <w:bCs/>
        </w:rPr>
        <w:t>He decided on a minimum acceptable price (his WTA, $x</w:t>
      </w:r>
      <w:r w:rsidR="00C2504C">
        <w:rPr>
          <w:bCs/>
        </w:rPr>
        <w:t xml:space="preserve"> to compare with Becker et al. 1964</w:t>
      </w:r>
      <w:r w:rsidR="00CB715A">
        <w:rPr>
          <w:bCs/>
        </w:rPr>
        <w:t>) which was given to a legal counsel, Herr Boettiger. He then wrote to his publisher with the</w:t>
      </w:r>
      <w:r w:rsidR="00C2504C">
        <w:rPr>
          <w:bCs/>
        </w:rPr>
        <w:t xml:space="preserve"> contents of the poem and the</w:t>
      </w:r>
      <w:r w:rsidR="00CB715A">
        <w:rPr>
          <w:bCs/>
        </w:rPr>
        <w:t xml:space="preserve"> terms of the auction: if they offered a price (defined as $y) which exceeded this reserve then he accepted their offer and received $y. If</w:t>
      </w:r>
      <w:r w:rsidR="00C2504C">
        <w:rPr>
          <w:bCs/>
        </w:rPr>
        <w:t>,</w:t>
      </w:r>
      <w:r w:rsidR="00CB715A">
        <w:rPr>
          <w:bCs/>
        </w:rPr>
        <w:t xml:space="preserve"> however</w:t>
      </w:r>
      <w:r w:rsidR="00C2504C">
        <w:rPr>
          <w:bCs/>
        </w:rPr>
        <w:t>,</w:t>
      </w:r>
      <w:r w:rsidR="00CB715A">
        <w:rPr>
          <w:bCs/>
        </w:rPr>
        <w:t xml:space="preserve"> </w:t>
      </w:r>
      <w:r w:rsidR="00C2504C">
        <w:rPr>
          <w:bCs/>
        </w:rPr>
        <w:t xml:space="preserve">$y was less than $x then the negotiation was deemed a failure and Goethe kept the rights to the poem to be sold </w:t>
      </w:r>
      <w:r w:rsidR="00C2504C">
        <w:rPr>
          <w:bCs/>
        </w:rPr>
        <w:lastRenderedPageBreak/>
        <w:t>elsewhere.</w:t>
      </w:r>
      <w:r w:rsidR="00CB715A">
        <w:rPr>
          <w:bCs/>
        </w:rPr>
        <w:br/>
      </w:r>
      <w:r w:rsidR="00CB715A">
        <w:rPr>
          <w:bCs/>
        </w:rPr>
        <w:br/>
      </w:r>
      <w:r w:rsidR="00C2504C">
        <w:rPr>
          <w:bCs/>
        </w:rPr>
        <w:t xml:space="preserve">As we have previously shown the WTA to be the inverse of WTP, the publisher’s best strategy is to set their bid to exactly their assessment of the value of the poem. Unfortunately for Goethe he fell victim to one of the primary assumptions of sealed second price auctions- that each bidder only has knowledge of </w:t>
      </w:r>
      <w:r w:rsidR="00C2504C">
        <w:rPr>
          <w:bCs/>
          <w:i/>
          <w:iCs/>
        </w:rPr>
        <w:t>their</w:t>
      </w:r>
      <w:r w:rsidR="00C2504C">
        <w:rPr>
          <w:bCs/>
        </w:rPr>
        <w:t xml:space="preserve"> </w:t>
      </w:r>
      <w:r w:rsidR="00C2504C">
        <w:rPr>
          <w:bCs/>
          <w:i/>
          <w:iCs/>
        </w:rPr>
        <w:t>own</w:t>
      </w:r>
      <w:r w:rsidR="00C2504C">
        <w:rPr>
          <w:bCs/>
        </w:rPr>
        <w:t xml:space="preserve"> values and bids. Realising his unique situation Herr Boettiger used his knowledge of the reserve price to strike a deal with the publisher</w:t>
      </w:r>
      <w:r w:rsidR="00405FA1">
        <w:rPr>
          <w:bCs/>
        </w:rPr>
        <w:t xml:space="preserve">. The lawyer was paid </w:t>
      </w:r>
      <w:r w:rsidR="00693446">
        <w:rPr>
          <w:bCs/>
        </w:rPr>
        <w:t xml:space="preserve">in exchange </w:t>
      </w:r>
      <w:r w:rsidR="00405FA1">
        <w:rPr>
          <w:bCs/>
        </w:rPr>
        <w:t>for the letter containing the reserve price using the publisher’s savings on the auction in which they bid exactly the reserve price.</w:t>
      </w:r>
      <w:r w:rsidR="00C2504C">
        <w:rPr>
          <w:bCs/>
        </w:rPr>
        <w:t xml:space="preserve"> </w:t>
      </w:r>
    </w:p>
    <w:p w14:paraId="55BC335C" w14:textId="77777777" w:rsidR="00057466" w:rsidRDefault="00057466" w:rsidP="0043729C">
      <w:pPr>
        <w:rPr>
          <w:bCs/>
        </w:rPr>
      </w:pPr>
    </w:p>
    <w:p w14:paraId="41B0510D" w14:textId="2D2B5B72" w:rsidR="00A309EE" w:rsidRDefault="00A309EE" w:rsidP="0043729C">
      <w:pPr>
        <w:rPr>
          <w:bCs/>
        </w:rPr>
      </w:pPr>
      <w:r>
        <w:rPr>
          <w:bCs/>
        </w:rPr>
        <w:t xml:space="preserve">Such questions over how incentive-compatible the BDM auction task is in practice have been </w:t>
      </w:r>
      <w:r w:rsidR="00645B74">
        <w:rPr>
          <w:bCs/>
        </w:rPr>
        <w:t>a fixture of the microeconomics literature over the last 50 years.</w:t>
      </w:r>
      <w:r w:rsidR="001322F8">
        <w:rPr>
          <w:bCs/>
        </w:rPr>
        <w:t xml:space="preserve"> As accurate reports of value via the BDM require participants to be utility-maximising individuals, they must follow the axioms of expected utility theor</w:t>
      </w:r>
      <w:r w:rsidR="005C4688">
        <w:rPr>
          <w:bCs/>
        </w:rPr>
        <w:t>y</w:t>
      </w:r>
      <w:r w:rsidR="001322F8">
        <w:rPr>
          <w:bCs/>
        </w:rPr>
        <w:t xml:space="preserve"> </w:t>
      </w:r>
      <w:r w:rsidR="005C4688">
        <w:rPr>
          <w:bCs/>
        </w:rPr>
        <w:t xml:space="preserve">(EUT) </w:t>
      </w:r>
      <w:r w:rsidR="001322F8">
        <w:rPr>
          <w:bCs/>
        </w:rPr>
        <w:t xml:space="preserve">as defined in the introduction to this thesis. </w:t>
      </w:r>
      <w:r w:rsidR="005C4688">
        <w:rPr>
          <w:bCs/>
        </w:rPr>
        <w:t>As previously mentioned, a well-known violation of EUT</w:t>
      </w:r>
      <w:r w:rsidR="00145F6F">
        <w:rPr>
          <w:bCs/>
        </w:rPr>
        <w:t>’s independence axiom</w:t>
      </w:r>
      <w:r w:rsidR="005C4688">
        <w:rPr>
          <w:bCs/>
        </w:rPr>
        <w:t xml:space="preserve"> occurs in Allais’ paradox, where </w:t>
      </w:r>
      <w:r w:rsidR="00145F6F">
        <w:rPr>
          <w:bCs/>
        </w:rPr>
        <w:t xml:space="preserve">subjects overweight small probabilities presented in otherwise comparable lotteries. </w:t>
      </w:r>
      <w:r w:rsidR="00F56616">
        <w:rPr>
          <w:bCs/>
        </w:rPr>
        <w:fldChar w:fldCharType="begin" w:fldLock="1"/>
      </w:r>
      <w:r w:rsidR="00873B64">
        <w:rPr>
          <w:bCs/>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","plainTextFormattedCitation":"(Becker et al., 1964)","previouslyFormattedCitation":"(Becker et al., 1964)"},"properties":{"noteIndex":0},"schema":"https://github.com/citation-style-language/schema/raw/master/csl-citation.json"}</w:instrText>
      </w:r>
      <w:r w:rsidR="00F56616">
        <w:rPr>
          <w:bCs/>
        </w:rPr>
        <w:fldChar w:fldCharType="separate"/>
      </w:r>
      <w:r w:rsidR="00F56616" w:rsidRPr="00F56616">
        <w:rPr>
          <w:bCs/>
          <w:noProof/>
        </w:rPr>
        <w:t xml:space="preserve">Becker et al. </w:t>
      </w:r>
      <w:r w:rsidR="00F56616">
        <w:rPr>
          <w:bCs/>
        </w:rPr>
        <w:fldChar w:fldCharType="end"/>
      </w:r>
      <w:r w:rsidR="001B05E6">
        <w:rPr>
          <w:bCs/>
        </w:rPr>
        <w:t>present lotteries with probabilities of ¼, ½, or ¾ to minimise this effect but it cannot be completely ruled out in lottery-based auction tasks.</w:t>
      </w:r>
      <w:r w:rsidR="00D0416A">
        <w:rPr>
          <w:bCs/>
        </w:rPr>
        <w:t xml:space="preserve"> </w:t>
      </w:r>
    </w:p>
    <w:p w14:paraId="5B256658" w14:textId="44D41243" w:rsidR="00D0416A" w:rsidRDefault="00D0416A" w:rsidP="0043729C">
      <w:pPr>
        <w:rPr>
          <w:bCs/>
        </w:rPr>
      </w:pPr>
    </w:p>
    <w:p w14:paraId="16CD7B72" w14:textId="7B27530C" w:rsidR="00D0416A" w:rsidRDefault="00D0416A" w:rsidP="0043729C">
      <w:pPr>
        <w:rPr>
          <w:bCs/>
        </w:rPr>
      </w:pPr>
      <w:r>
        <w:rPr>
          <w:bCs/>
        </w:rPr>
        <w:t>In our task design we offer riskless rewards we a constant, certain, probability of payout upon winning an auction. This has the dual benefit of overcoming this potential limitation in the BDM and simplifying the task to aid the monkey’s understanding of the link between their bids and the payout of a trial.</w:t>
      </w:r>
    </w:p>
    <w:p w14:paraId="4F9FCFE2" w14:textId="40F6F1D6" w:rsidR="00775998" w:rsidRDefault="00775998" w:rsidP="0043729C">
      <w:pPr>
        <w:rPr>
          <w:bCs/>
        </w:rPr>
      </w:pPr>
    </w:p>
    <w:p w14:paraId="7D81A357" w14:textId="43BE9CAF" w:rsidR="003F1C8C" w:rsidRPr="00B51F29" w:rsidRDefault="002D1186" w:rsidP="0043729C">
      <w:pPr>
        <w:rPr>
          <w:bCs/>
        </w:rPr>
      </w:pPr>
      <w:r>
        <w:rPr>
          <w:bCs/>
        </w:rPr>
        <w:t>It has been proposed that even for non-random goods the BDM may not be truly incentive compatible</w:t>
      </w:r>
      <w:r w:rsidR="004B11B9">
        <w:rPr>
          <w:bCs/>
        </w:rPr>
        <w:t xml:space="preserve"> </w:t>
      </w:r>
      <w:r w:rsidR="004B11B9">
        <w:rPr>
          <w:bCs/>
        </w:rPr>
        <w:fldChar w:fldCharType="begin" w:fldLock="1"/>
      </w:r>
      <w:r w:rsidR="00F56616">
        <w:rPr>
          <w:bCs/>
        </w:rPr>
        <w:instrText>ADDIN CSL_CITATION {"citationItems":[{"id":"ITEM-1","itemData":{"DOI":"10.1016/j.econlet.2006.03.033","ISSN":"01651765","abstract":"This paper uses results from [Karni, E., Safra, Z., 1987, Preference reversals and the observability of preferences by experimental methods, Econometrica 55, 675-685] and [Karni, E., 1989, Generalized expected utility analysis of multivariate risk aversion, International Economic Review 30, 297-305] to show that the Becker-DeGroot-Marschak mechanism is not always incentive compatible, even when the item to be valued involves no uncertainty, contrary to several recent assertions. © 2006 Elsevier B.V. All rights reserved.","author":[{"dropping-particle":"","family":"Horowitz","given":"John K.","non-dropping-particle":"","parse-names":false,"suffix":""}],"container-title":"Economics Letters","id":"ITEM-1","issue":"1","issued":{"date-parts":[["2006"]]},"page":"6-11","title":"The Becker-DeGroot-Marschak mechanism is not necessarily incentive compatible, even for non-random goods","type":"article-journal","volume":"93"},"uris":["http://www.mendeley.com/documents/?uuid=f3b4fc3e-343d-4d6e-a7d8-e75d5d6ef305"]}],"mendeley":{"formattedCitation":"(Horowitz, 2006)","plainTextFormattedCitation":"(Horowitz, 2006)","previouslyFormattedCitation":"(Horowitz, 2006)"},"properties":{"noteIndex":0},"schema":"https://github.com/citation-style-language/schema/raw/master/csl-citation.json"}</w:instrText>
      </w:r>
      <w:r w:rsidR="004B11B9">
        <w:rPr>
          <w:bCs/>
        </w:rPr>
        <w:fldChar w:fldCharType="separate"/>
      </w:r>
      <w:r w:rsidR="004B11B9" w:rsidRPr="004B11B9">
        <w:rPr>
          <w:bCs/>
          <w:noProof/>
        </w:rPr>
        <w:t>(Horowitz, 2006)</w:t>
      </w:r>
      <w:r w:rsidR="004B11B9">
        <w:rPr>
          <w:bCs/>
        </w:rPr>
        <w:fldChar w:fldCharType="end"/>
      </w:r>
      <w:r w:rsidR="004B11B9">
        <w:rPr>
          <w:bCs/>
        </w:rPr>
        <w:t>. This is because</w:t>
      </w:r>
      <w:r>
        <w:rPr>
          <w:bCs/>
        </w:rPr>
        <w:t xml:space="preserve"> the level of bid the subject makes controls the probability of winning the auction. For instance, a subject who submits a bid of 0 will never win the auctioned good, whereas one who submits the maximum possible bid will </w:t>
      </w:r>
      <w:r>
        <w:rPr>
          <w:bCs/>
          <w:i/>
          <w:iCs/>
        </w:rPr>
        <w:t>always</w:t>
      </w:r>
      <w:r>
        <w:rPr>
          <w:bCs/>
        </w:rPr>
        <w:t xml:space="preserve"> win the auction. </w:t>
      </w:r>
      <w:r w:rsidR="003F1C8C">
        <w:rPr>
          <w:bCs/>
        </w:rPr>
        <w:t xml:space="preserve">The participant can therefore alter their own bid, with respect to a known distribution of opponent bids, to maximise </w:t>
      </w:r>
      <w:r w:rsidR="00B51F29">
        <w:rPr>
          <w:bCs/>
        </w:rPr>
        <w:t xml:space="preserve">the utility of </w:t>
      </w:r>
      <w:r w:rsidR="003F1C8C">
        <w:rPr>
          <w:bCs/>
        </w:rPr>
        <w:t xml:space="preserve">both the reward and currency </w:t>
      </w:r>
      <w:r w:rsidR="00B51F29">
        <w:rPr>
          <w:bCs/>
        </w:rPr>
        <w:t xml:space="preserve">but </w:t>
      </w:r>
      <w:r w:rsidR="00B51F29">
        <w:rPr>
          <w:bCs/>
          <w:i/>
          <w:iCs/>
        </w:rPr>
        <w:t>also</w:t>
      </w:r>
      <w:r w:rsidR="00B51F29">
        <w:rPr>
          <w:bCs/>
        </w:rPr>
        <w:t xml:space="preserve"> the chance of winning.</w:t>
      </w:r>
    </w:p>
    <w:p w14:paraId="620EF94A" w14:textId="27915492" w:rsidR="003F1C8C" w:rsidRDefault="003F1C8C" w:rsidP="0043729C">
      <w:pPr>
        <w:rPr>
          <w:bCs/>
        </w:rPr>
      </w:pPr>
    </w:p>
    <w:p w14:paraId="69B2BBDF" w14:textId="586054B3" w:rsidR="00353CF5" w:rsidRDefault="003F1C8C" w:rsidP="0043729C">
      <w:pPr>
        <w:rPr>
          <w:bCs/>
        </w:rPr>
      </w:pPr>
      <w:r>
        <w:rPr>
          <w:bCs/>
        </w:rPr>
        <w:t xml:space="preserve">In the descriptive proof of the BDM as an incentive compatible task, we have assumed that a participant who bids truthfully (i.e. bids exactly their value for a good) and loses the auction to neither lose nor gain any utility from the trial. The small expected profit from each trial of the BDM only comes in cases where the participant wins the auction. </w:t>
      </w:r>
      <w:r w:rsidR="00A02CB3">
        <w:rPr>
          <w:bCs/>
        </w:rPr>
        <w:t>Therefore, in the lose case the participant does actually</w:t>
      </w:r>
      <w:r w:rsidR="00FB497C">
        <w:rPr>
          <w:bCs/>
        </w:rPr>
        <w:t xml:space="preserve"> </w:t>
      </w:r>
      <w:r w:rsidR="00A02CB3">
        <w:rPr>
          <w:bCs/>
        </w:rPr>
        <w:t>suffer some small reward prediction error: they have lost out on some expected profit</w:t>
      </w:r>
      <w:r w:rsidR="0042374D">
        <w:rPr>
          <w:rStyle w:val="FootnoteReference"/>
          <w:bCs/>
        </w:rPr>
        <w:footnoteReference w:id="8"/>
      </w:r>
      <w:r w:rsidR="00A02CB3">
        <w:rPr>
          <w:bCs/>
        </w:rPr>
        <w:t xml:space="preserve">. The introduction to this thesis discusses Prospect theory and how losing out on some expected reward can hurt more than </w:t>
      </w:r>
      <w:r w:rsidR="00353CF5">
        <w:rPr>
          <w:bCs/>
        </w:rPr>
        <w:t>receiving that reward</w:t>
      </w:r>
      <w:r w:rsidR="00F56616">
        <w:rPr>
          <w:bCs/>
        </w:rPr>
        <w:t xml:space="preserve"> </w:t>
      </w:r>
      <w:r w:rsidR="00F56616">
        <w:rPr>
          <w:bCs/>
        </w:rPr>
        <w:fldChar w:fldCharType="begin" w:fldLock="1"/>
      </w:r>
      <w:r w:rsidR="00F56616">
        <w:rPr>
          <w:bCs/>
        </w:rPr>
        <w:instrText>ADDIN CSL_CITATION {"citationItems":[{"id":"ITEM-1","itemData":{"abstract":"Each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This paper presents a critique of expected utility theory as a descriptive model of decision making under risk, and develops an alternative model, called prospect theory. Choices among risky prospects exhibit several pervasive effects that are inconsistent with the basic tenets of utility theory. In particular, people underweight outcomes that are merely probable in comparison with outcomes that are obtained with certainty. This tendency, called the certainty effect, contributes to risk aversion in choices involving sure gains and to risk seeking in choices involving sure losses. In addition, people generally discard components that are shared by all prospects under consideration. This tendency, called the isolation effect, leads to inconsistent preferences when the same choice is presented in different forms. An alternative theory of choice is developed, in which value is assigned to gains and losses rather than to final assets and in which probabilities are replaced by decision weights. The value function is normally concave for gains, commonly convex for losses, and is generally steeper for losses than for gains. Decision weights are generally lower than the corresponding probabilities, except in the range of low prob-abilities. Overweighting of low probabilities may contribute to the attractiveness of both insurance and gambling.","author":[{"dropping-particle":"","family":"Kahneman","given":"Daniel","non-dropping-particle":"","parse-names":false,"suffix":""},{"dropping-particle":"","family":"Tversky","given":"Amos","non-dropping-particle":"","parse-names":false,"suffix":""},{"dropping-particle":"","family":"Kahneman","given":"B Y Daniel","non-dropping-particle":"","parse-names":false,"suffix":""},{"dropping-particle":"","family":"Tversky","given":"Amos","non-dropping-particle":"","parse-names":false,"suffix":""}],"container-title":"Source: Econometrica","id":"ITEM-1","issue":"2","issued":{"date-parts":[["1979"]]},"page":"263-292","title":"Prospect Theory : An Analysis of Decision under Risk Linked references are available on JSTOR for this article : All use subject to http://about.jstor.org/terms E C O N OMETRICA I C I","type":"article-journal","volume":"47"},"uris":["http://www.mendeley.com/documents/?uuid=8ba19cd1-1505-486e-85c6-e6c3063387a6"]}],"mendeley":{"formattedCitation":"(Kahneman et al., 1979)","plainTextFormattedCitation":"(Kahneman et al., 1979)","previouslyFormattedCitation":"(Kahneman et al., 1979)"},"properties":{"noteIndex":0},"schema":"https://github.com/citation-style-language/schema/raw/master/csl-citation.json"}</w:instrText>
      </w:r>
      <w:r w:rsidR="00F56616">
        <w:rPr>
          <w:bCs/>
        </w:rPr>
        <w:fldChar w:fldCharType="separate"/>
      </w:r>
      <w:r w:rsidR="00F56616" w:rsidRPr="00F56616">
        <w:rPr>
          <w:bCs/>
          <w:noProof/>
        </w:rPr>
        <w:t>(Kahneman et al., 1979)</w:t>
      </w:r>
      <w:r w:rsidR="00F56616">
        <w:rPr>
          <w:bCs/>
        </w:rPr>
        <w:fldChar w:fldCharType="end"/>
      </w:r>
      <w:r w:rsidR="00353CF5">
        <w:rPr>
          <w:bCs/>
        </w:rPr>
        <w:t xml:space="preserve">. A hypothetical subject might well be willing to sacrifice some of their budget currency to reduce the chance of losing the auction and suffering this disappointment. </w:t>
      </w:r>
    </w:p>
    <w:p w14:paraId="50EDB30E" w14:textId="77777777" w:rsidR="00353CF5" w:rsidRDefault="00353CF5" w:rsidP="0043729C">
      <w:pPr>
        <w:rPr>
          <w:bCs/>
        </w:rPr>
      </w:pPr>
    </w:p>
    <w:p w14:paraId="0D661F30" w14:textId="506062C4" w:rsidR="003F1C8C" w:rsidRDefault="00353CF5" w:rsidP="0043729C">
      <w:pPr>
        <w:rPr>
          <w:bCs/>
        </w:rPr>
      </w:pPr>
      <w:r>
        <w:rPr>
          <w:bCs/>
        </w:rPr>
        <w:t>As a subject performing successive trials will have some estimation of the probability of opponent bid</w:t>
      </w:r>
      <w:r w:rsidR="00B51F29">
        <w:rPr>
          <w:bCs/>
        </w:rPr>
        <w:t>s. They can therefore calculate the change in probability of winning for any extra increase in their bid. Assuming some disutility</w:t>
      </w:r>
      <w:r w:rsidR="002028B0">
        <w:rPr>
          <w:bCs/>
        </w:rPr>
        <w:t xml:space="preserve"> (‘disappointment’)</w:t>
      </w:r>
      <w:r w:rsidR="00B51F29">
        <w:rPr>
          <w:bCs/>
        </w:rPr>
        <w:t xml:space="preserve"> for any reduction in chance of winning, </w:t>
      </w:r>
      <w:r w:rsidR="002028B0">
        <w:rPr>
          <w:bCs/>
        </w:rPr>
        <w:t>a rational bidder should then alter their bid such that</w:t>
      </w:r>
    </w:p>
    <w:p w14:paraId="1CB9E39B" w14:textId="225D6217" w:rsidR="007B2983" w:rsidRDefault="007B2983" w:rsidP="0043729C">
      <w:pPr>
        <w:rPr>
          <w:bCs/>
        </w:rPr>
      </w:pPr>
    </w:p>
    <w:p w14:paraId="7388C958" w14:textId="77777777" w:rsidR="007B2983" w:rsidRDefault="007B2983" w:rsidP="0043729C">
      <w:pPr>
        <w:rPr>
          <w:bCs/>
        </w:rPr>
      </w:pPr>
    </w:p>
    <w:p w14:paraId="5C0B7118" w14:textId="01607A2A" w:rsidR="005A4D19" w:rsidRDefault="005A4D19" w:rsidP="005A4D19">
      <w:pPr>
        <w:pStyle w:val="Caption"/>
        <w:keepNext/>
      </w:pPr>
      <w:r>
        <w:t xml:space="preserve">Equation </w:t>
      </w:r>
      <w:fldSimple w:instr=" SEQ Equation \* ARABIC ">
        <w:r w:rsidR="00920E5F">
          <w:rPr>
            <w:noProof/>
          </w:rPr>
          <w:t>3</w:t>
        </w:r>
      </w:fldSimple>
    </w:p>
    <w:p w14:paraId="7B141541" w14:textId="6DB48F0C" w:rsidR="002028B0" w:rsidRPr="00440DA4" w:rsidRDefault="00440DA4" w:rsidP="0043729C">
      <w:pPr>
        <w:rPr>
          <w:bCs/>
          <w:i/>
        </w:rPr>
      </w:pPr>
      <m:oMathPara>
        <m:oMath>
          <m:r>
            <w:rPr>
              <w:rFonts w:ascii="Cambria Math" w:hAnsi="Cambria Math"/>
            </w:rPr>
            <m:t>d</m:t>
          </m:r>
          <m:sSub>
            <m:sSubPr>
              <m:ctrlPr>
                <w:rPr>
                  <w:rFonts w:ascii="Cambria Math" w:hAnsi="Cambria Math"/>
                  <w:bCs/>
                  <w:i/>
                </w:rPr>
              </m:ctrlPr>
            </m:sSubPr>
            <m:e>
              <m:r>
                <w:rPr>
                  <w:rFonts w:ascii="Cambria Math" w:hAnsi="Cambria Math"/>
                </w:rPr>
                <m:t>Bid</m:t>
              </m:r>
            </m:e>
            <m:sub>
              <m:r>
                <w:rPr>
                  <w:rFonts w:ascii="Cambria Math" w:hAnsi="Cambria Math"/>
                </w:rPr>
                <m:t>subject</m:t>
              </m:r>
            </m:sub>
          </m:sSub>
          <m:r>
            <w:rPr>
              <w:rFonts w:ascii="Cambria Math" w:hAnsi="Cambria Math"/>
            </w:rPr>
            <m:t>= max</m:t>
          </m:r>
          <m:d>
            <m:dPr>
              <m:ctrlPr>
                <w:rPr>
                  <w:rFonts w:ascii="Cambria Math" w:hAnsi="Cambria Math"/>
                  <w:bCs/>
                  <w:i/>
                </w:rPr>
              </m:ctrlPr>
            </m:dPr>
            <m:e>
              <m:sSub>
                <m:sSubPr>
                  <m:ctrlPr>
                    <w:rPr>
                      <w:rFonts w:ascii="Cambria Math" w:hAnsi="Cambria Math"/>
                      <w:bCs/>
                      <w:i/>
                    </w:rPr>
                  </m:ctrlPr>
                </m:sSubPr>
                <m:e>
                  <m:r>
                    <w:rPr>
                      <w:rFonts w:ascii="Cambria Math" w:hAnsi="Cambria Math"/>
                    </w:rPr>
                    <m:t>p</m:t>
                  </m:r>
                </m:e>
                <m:sub>
                  <m:r>
                    <w:rPr>
                      <w:rFonts w:ascii="Cambria Math" w:hAnsi="Cambria Math"/>
                    </w:rPr>
                    <m:t>win</m:t>
                  </m:r>
                </m:sub>
              </m:sSub>
              <m:r>
                <w:rPr>
                  <w:rFonts w:ascii="Cambria Math" w:hAnsi="Cambria Math"/>
                </w:rPr>
                <m:t xml:space="preserve">⋅G -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p</m:t>
                      </m:r>
                    </m:e>
                    <m:sub>
                      <m:r>
                        <w:rPr>
                          <w:rFonts w:ascii="Cambria Math" w:hAnsi="Cambria Math"/>
                        </w:rPr>
                        <m:t>win</m:t>
                      </m:r>
                    </m:sub>
                  </m:sSub>
                </m:e>
              </m:d>
              <m:r>
                <w:rPr>
                  <w:rFonts w:ascii="Cambria Math" w:hAnsi="Cambria Math"/>
                </w:rPr>
                <m:t>⋅disappointment</m:t>
              </m:r>
            </m:e>
          </m:d>
        </m:oMath>
      </m:oMathPara>
    </w:p>
    <w:p w14:paraId="2D9464F3" w14:textId="30F17D71" w:rsidR="00F56616" w:rsidRDefault="00F56616" w:rsidP="0043729C">
      <w:pPr>
        <w:rPr>
          <w:bCs/>
        </w:rPr>
      </w:pPr>
    </w:p>
    <w:p w14:paraId="3B66369C" w14:textId="6308D7CD" w:rsidR="00F56616" w:rsidRDefault="00F56616" w:rsidP="0043729C">
      <w:pPr>
        <w:rPr>
          <w:bCs/>
        </w:rPr>
      </w:pPr>
      <w:r>
        <w:rPr>
          <w:bCs/>
        </w:rPr>
        <w:t xml:space="preserve">Therefore, the distribution of opponent bids </w:t>
      </w:r>
      <w:r w:rsidR="00440DA4">
        <w:rPr>
          <w:bCs/>
        </w:rPr>
        <w:t>affects</w:t>
      </w:r>
      <w:r>
        <w:rPr>
          <w:bCs/>
        </w:rPr>
        <w:t xml:space="preserve"> a participant</w:t>
      </w:r>
      <w:r w:rsidR="007B2983">
        <w:rPr>
          <w:bCs/>
        </w:rPr>
        <w:t>’</w:t>
      </w:r>
      <w:r>
        <w:rPr>
          <w:bCs/>
        </w:rPr>
        <w:t xml:space="preserve">s bid. If we follow the assumptions of the BDM’s incentive compatibility, this means the distribution of opponent bids has some effect on the </w:t>
      </w:r>
      <w:r>
        <w:rPr>
          <w:bCs/>
          <w:i/>
          <w:iCs/>
        </w:rPr>
        <w:t>internal</w:t>
      </w:r>
      <w:r>
        <w:rPr>
          <w:bCs/>
        </w:rPr>
        <w:t xml:space="preserve"> subjective valuation of the good, which cannot be true. We must accept that the BDM is not necessarily incentive compatible.</w:t>
      </w:r>
    </w:p>
    <w:p w14:paraId="3A9C0349" w14:textId="75C8A428" w:rsidR="00DD131E" w:rsidRDefault="00517EF8" w:rsidP="0043729C">
      <w:pPr>
        <w:rPr>
          <w:bCs/>
        </w:rPr>
      </w:pPr>
      <w:r>
        <w:rPr>
          <w:bCs/>
        </w:rPr>
        <w:t xml:space="preserve">To minimise the effects of this bias, we draw from a uniform distribution for a single opponent bid, so any bias added to the monkey’s bid should be constant across the range of possible bids. A potential rebuke of the ideas presented in </w:t>
      </w:r>
      <w:r>
        <w:rPr>
          <w:bCs/>
        </w:rPr>
        <w:fldChar w:fldCharType="begin" w:fldLock="1"/>
      </w:r>
      <w:r w:rsidR="007D49BA">
        <w:rPr>
          <w:bCs/>
        </w:rPr>
        <w:instrText>ADDIN CSL_CITATION {"citationItems":[{"id":"ITEM-1","itemData":{"DOI":"10.1016/j.econlet.2006.03.033","ISSN":"01651765","abstract":"This paper uses results from [Karni, E., Safra, Z., 1987, Preference reversals and the observability of preferences by experimental methods, Econometrica 55, 675-685] and [Karni, E., 1989, Generalized expected utility analysis of multivariate risk aversion, International Economic Review 30, 297-305] to show that the Becker-DeGroot-Marschak mechanism is not always incentive compatible, even when the item to be valued involves no uncertainty, contrary to several recent assertions. © 2006 Elsevier B.V. All rights reserved.","author":[{"dropping-particle":"","family":"Horowitz","given":"John K.","non-dropping-particle":"","parse-names":false,"suffix":""}],"container-title":"Economics Letters","id":"ITEM-1","issue":"1","issued":{"date-parts":[["2006"]]},"page":"6-11","title":"The Becker-DeGroot-Marschak mechanism is not necessarily incentive compatible, even for non-random goods","type":"article-journal","volume":"93"},"uris":["http://www.mendeley.com/documents/?uuid=f3b4fc3e-343d-4d6e-a7d8-e75d5d6ef305"]}],"mendeley":{"formattedCitation":"(Horowitz, 2006)","manualFormatting":"Horowitz, 2006","plainTextFormattedCitation":"(Horowitz, 2006)","previouslyFormattedCitation":"(Horowitz, 2006)"},"properties":{"noteIndex":0},"schema":"https://github.com/citation-style-language/schema/raw/master/csl-citation.json"}</w:instrText>
      </w:r>
      <w:r>
        <w:rPr>
          <w:bCs/>
        </w:rPr>
        <w:fldChar w:fldCharType="separate"/>
      </w:r>
      <w:r w:rsidRPr="00517EF8">
        <w:rPr>
          <w:bCs/>
          <w:noProof/>
        </w:rPr>
        <w:t>Horowitz, 2006</w:t>
      </w:r>
      <w:r>
        <w:rPr>
          <w:bCs/>
        </w:rPr>
        <w:fldChar w:fldCharType="end"/>
      </w:r>
      <w:r>
        <w:rPr>
          <w:bCs/>
        </w:rPr>
        <w:t xml:space="preserve"> </w:t>
      </w:r>
      <w:r w:rsidR="00CE7E47">
        <w:rPr>
          <w:bCs/>
        </w:rPr>
        <w:t xml:space="preserve">and how they relate to this project </w:t>
      </w:r>
      <w:r>
        <w:rPr>
          <w:bCs/>
        </w:rPr>
        <w:t xml:space="preserve">is presented in </w:t>
      </w:r>
      <w:r w:rsidR="00F56922">
        <w:rPr>
          <w:bCs/>
        </w:rPr>
        <w:t>A</w:t>
      </w:r>
      <w:r>
        <w:rPr>
          <w:bCs/>
        </w:rPr>
        <w:t>ppendix 2</w:t>
      </w:r>
      <w:r w:rsidR="00CE7E47">
        <w:rPr>
          <w:bCs/>
        </w:rPr>
        <w:t>.</w:t>
      </w:r>
    </w:p>
    <w:p w14:paraId="3AA7D72F" w14:textId="53F6F772" w:rsidR="00CE7E47" w:rsidRDefault="00CE7E47" w:rsidP="0043729C">
      <w:pPr>
        <w:rPr>
          <w:bCs/>
        </w:rPr>
      </w:pPr>
    </w:p>
    <w:p w14:paraId="447FB44B" w14:textId="65A5FB2B" w:rsidR="00CE7E47" w:rsidRDefault="008C3CA7" w:rsidP="0043729C">
      <w:pPr>
        <w:rPr>
          <w:bCs/>
        </w:rPr>
      </w:pPr>
      <w:r>
        <w:rPr>
          <w:bCs/>
        </w:rPr>
        <w:t xml:space="preserve">Findings from Prospect theory also underpin another potential concern over the incentive-compatible nature of the BDM concerns: the endowment effect. The endowment effects states that individuals place a higher value on goods they own than goods they do not so, for instance, participants in an economic decision making task </w:t>
      </w:r>
      <w:r w:rsidR="007D49BA">
        <w:rPr>
          <w:bCs/>
        </w:rPr>
        <w:t xml:space="preserve">given a lottery of known value would rather keep hold of this lottery than trade it for the cash equivalent </w:t>
      </w:r>
      <w:r w:rsidR="007D49BA">
        <w:rPr>
          <w:bCs/>
        </w:rPr>
        <w:fldChar w:fldCharType="begin" w:fldLock="1"/>
      </w:r>
      <w:r w:rsidR="000935C7">
        <w:rPr>
          <w:bCs/>
        </w:rPr>
        <w:instrText>ADDIN CSL_CITATION {"citationItems":[{"id":"ITEM-1","itemData":{"ISBN":"9781315196350","author":[{"dropping-particle":"","family":"Kahneman","given":"Daniel","non-dropping-particle":"","parse-names":false,"suffix":""},{"dropping-particle":"","family":"Knetsch","given":"Jack L.","non-dropping-particle":"","parse-names":false,"suffix":""},{"dropping-particle":"","family":"Thaler","given":"Richard H.","non-dropping-particle":"","parse-names":false,"suffix":""}],"container-title":"Experiments in Environmental Economics","id":"ITEM-1","issue":"1","issued":{"date-parts":[["1991"]]},"page":"243-256","title":"The endowment effect, Loss Aversion, and Status Quo Bias","type":"article-journal","volume":"1"},"uris":["http://www.mendeley.com/documents/?uuid=36f2e48d-508d-48e6-9f65-0172b2d40c19"]}],"mendeley":{"formattedCitation":"(Kahneman et al., 1991)","plainTextFormattedCitation":"(Kahneman et al., 1991)","previouslyFormattedCitation":"(Kahneman et al., 1991)"},"properties":{"noteIndex":0},"schema":"https://github.com/citation-style-language/schema/raw/master/csl-citation.json"}</w:instrText>
      </w:r>
      <w:r w:rsidR="007D49BA">
        <w:rPr>
          <w:bCs/>
        </w:rPr>
        <w:fldChar w:fldCharType="separate"/>
      </w:r>
      <w:r w:rsidR="007D49BA" w:rsidRPr="007D49BA">
        <w:rPr>
          <w:bCs/>
          <w:noProof/>
        </w:rPr>
        <w:t>(Kahneman et al., 1991)</w:t>
      </w:r>
      <w:r w:rsidR="007D49BA">
        <w:rPr>
          <w:bCs/>
        </w:rPr>
        <w:fldChar w:fldCharType="end"/>
      </w:r>
      <w:r w:rsidR="007D49BA">
        <w:rPr>
          <w:bCs/>
        </w:rPr>
        <w:t>.</w:t>
      </w:r>
    </w:p>
    <w:p w14:paraId="5EEB9DDE" w14:textId="10142F0F" w:rsidR="007D49BA" w:rsidRDefault="007D49BA" w:rsidP="0043729C">
      <w:pPr>
        <w:rPr>
          <w:bCs/>
        </w:rPr>
      </w:pPr>
    </w:p>
    <w:p w14:paraId="30602D74" w14:textId="6EF8B1CF" w:rsidR="0013145A" w:rsidRDefault="007D49BA" w:rsidP="0043729C">
      <w:pPr>
        <w:rPr>
          <w:bCs/>
        </w:rPr>
      </w:pPr>
      <w:r>
        <w:rPr>
          <w:bCs/>
        </w:rPr>
        <w:t>In the BDM context, this predicts that participants in an auction should place a greater value on the budget they begin each trial with, compared to an equivalent good being auctioned. Therefore, participants should lower their bids compared to their true valuation of an auction good. This can be seen in experimental tests of the BDM, where the WTP for a good is systematically lower than its inverse, the WTA</w:t>
      </w:r>
      <w:r w:rsidR="0013145A">
        <w:rPr>
          <w:bCs/>
        </w:rPr>
        <w:t xml:space="preserve"> </w:t>
      </w:r>
      <w:r w:rsidR="0013145A">
        <w:rPr>
          <w:bCs/>
        </w:rPr>
        <w:fldChar w:fldCharType="begin" w:fldLock="1"/>
      </w:r>
      <w:r w:rsidR="00C4317F">
        <w:rPr>
          <w:bCs/>
        </w:rPr>
        <w:instrText>ADDIN CSL_CITATION {"citationItems":[{"id":"ITEM-1","itemData":{"DOI":"10.1037/bul0000095","ISSN":"00332909","PMID":"28263644","abstract":"A large body of empirical research has examined the impact of trading perspective on pricing of consumer products, with the typical finding being that selling prices exceed buying prices (i.e., the endowment effect). Using a meta-analytic approach, we examine to what extent the endowment effect also emerges in the pricing of monetary lotteries. As monetary lotteries have a clearly defined normative value, we also assess whether one trading perspective is more biased than the other. We consider several indicators of bias: absolute deviation from expected values, rank correlation with expected values, overall variance, and per-unit variance. The meta-analysis, which includes 35 articles, indicates that selling prices considerably exceed buying prices (Cohen's d = 0.58). Importantly, we also find that selling prices deviate less from the lotteries' expected values than buying prices, both in absolute and in relative terms. Selling prices also exhibit lower variance per unit. Hierarchical Bayesian modeling with cumulative prospect theory indicates that buyers have lower probability sensitivity and a more pronounced response bias. The finding that selling prices are more in line with normative standards than buying prices challenges the prominent account whereby sellers' valuations are upward biased due to loss aversion, and supports alternative theoretical accounts.","author":[{"dropping-particle":"","family":"Yechiam","given":"Eldad","non-dropping-particle":"","parse-names":false,"suffix":""},{"dropping-particle":"","family":"Ashby","given":"Nathaniel J.S.","non-dropping-particle":"","parse-names":false,"suffix":""}],"container-title":"Psychological Bulletin","id":"ITEM-1","issue":"5","issued":{"date-parts":[["2017"]]},"page":"543-563","title":"Who's biased? A meta-analysis of buyer-seller differences in the pricing of lotteries","type":"article-journal","volume":"143"},"uris":["http://www.mendeley.com/documents/?uuid=4211435f-188b-4efb-9321-1a1ff5dc7066"]}],"mendeley":{"formattedCitation":"(Yechiam &amp; Ashby, 2017)","plainTextFormattedCitation":"(Yechiam &amp; Ashby, 2017)","previouslyFormattedCitation":"(Yechiam &amp; Ashby, 2017)"},"properties":{"noteIndex":0},"schema":"https://github.com/citation-style-language/schema/raw/master/csl-citation.json"}</w:instrText>
      </w:r>
      <w:r w:rsidR="0013145A">
        <w:rPr>
          <w:bCs/>
        </w:rPr>
        <w:fldChar w:fldCharType="separate"/>
      </w:r>
      <w:r w:rsidR="0013145A" w:rsidRPr="0013145A">
        <w:rPr>
          <w:bCs/>
          <w:noProof/>
        </w:rPr>
        <w:t>(Yechiam &amp; Ashby, 2017)</w:t>
      </w:r>
      <w:r w:rsidR="0013145A">
        <w:rPr>
          <w:bCs/>
        </w:rPr>
        <w:fldChar w:fldCharType="end"/>
      </w:r>
      <w:r>
        <w:rPr>
          <w:bCs/>
        </w:rPr>
        <w:t>.</w:t>
      </w:r>
      <w:r w:rsidR="0013145A">
        <w:rPr>
          <w:bCs/>
        </w:rPr>
        <w:t xml:space="preserve"> </w:t>
      </w:r>
    </w:p>
    <w:p w14:paraId="01C051F4" w14:textId="77777777" w:rsidR="0013145A" w:rsidRDefault="0013145A" w:rsidP="0043729C">
      <w:pPr>
        <w:rPr>
          <w:bCs/>
        </w:rPr>
      </w:pPr>
    </w:p>
    <w:p w14:paraId="07C7B9A6" w14:textId="3F3ABDFC" w:rsidR="00C4317F" w:rsidRDefault="007D49BA" w:rsidP="00C4317F">
      <w:pPr>
        <w:rPr>
          <w:bCs/>
        </w:rPr>
      </w:pPr>
      <w:r>
        <w:rPr>
          <w:bCs/>
        </w:rPr>
        <w:t xml:space="preserve"> </w:t>
      </w:r>
      <w:r w:rsidR="0013145A">
        <w:rPr>
          <w:bCs/>
        </w:rPr>
        <w:t>I</w:t>
      </w:r>
      <w:r w:rsidR="00156CE8">
        <w:rPr>
          <w:bCs/>
        </w:rPr>
        <w:t>t has been argued that the endowment effect in the BDM paradigm is simply an effect of participants not sufficiently understanding the</w:t>
      </w:r>
      <w:r w:rsidR="0013145A">
        <w:rPr>
          <w:bCs/>
        </w:rPr>
        <w:t xml:space="preserve"> BDM</w:t>
      </w:r>
      <w:r w:rsidR="00156CE8">
        <w:rPr>
          <w:bCs/>
        </w:rPr>
        <w:t xml:space="preserve"> task</w:t>
      </w:r>
      <w:r w:rsidR="000935C7">
        <w:rPr>
          <w:bCs/>
        </w:rPr>
        <w:t xml:space="preserve"> </w:t>
      </w:r>
      <w:r w:rsidR="000935C7">
        <w:rPr>
          <w:bCs/>
        </w:rPr>
        <w:fldChar w:fldCharType="begin" w:fldLock="1"/>
      </w:r>
      <w:r w:rsidR="0046265E">
        <w:rPr>
          <w:bCs/>
        </w:rPr>
        <w:instrText>ADDIN CSL_CITATION {"citationItems":[{"id":"ITEM-1","itemData":{"DOI":"10.1257/aer.101.2.1012","ISSN":"00028282","author":[{"dropping-particle":"","family":"Plott","given":"Charles R.","non-dropping-particle":"","parse-names":false,"suffix":""},{"dropping-particle":"","family":"Zeiler","given":"Kathryn","non-dropping-particle":"","parse-names":false,"suffix":""}],"container-title":"American Economic Review","id":"ITEM-1","issue":"3","issued":{"date-parts":[["2005"]]},"page":"530-545","title":"The willingness to pay - Willingness to accept gap, the \"Endowment effect,\" subject misconceptions, and experimental procedures for eliciting valuations","type":"article-journal","volume":"95"},"uris":["http://www.mendeley.com/documents/?uuid=92372e8f-409a-4773-aa21-e95f3789159e"]}],"mendeley":{"formattedCitation":"(Plott &amp; Zeiler, 2005)","plainTextFormattedCitation":"(Plott &amp; Zeiler, 2005)","previouslyFormattedCitation":"(Plott &amp; Zeiler, 2005)"},"properties":{"noteIndex":0},"schema":"https://github.com/citation-style-language/schema/raw/master/csl-citation.json"}</w:instrText>
      </w:r>
      <w:r w:rsidR="000935C7">
        <w:rPr>
          <w:bCs/>
        </w:rPr>
        <w:fldChar w:fldCharType="separate"/>
      </w:r>
      <w:r w:rsidR="0046265E" w:rsidRPr="0046265E">
        <w:rPr>
          <w:bCs/>
          <w:noProof/>
        </w:rPr>
        <w:t>(Plott &amp; Zeiler, 2005)</w:t>
      </w:r>
      <w:r w:rsidR="000935C7">
        <w:rPr>
          <w:bCs/>
        </w:rPr>
        <w:fldChar w:fldCharType="end"/>
      </w:r>
      <w:r w:rsidR="000935C7">
        <w:rPr>
          <w:bCs/>
        </w:rPr>
        <w:t xml:space="preserve">. </w:t>
      </w:r>
      <w:r w:rsidR="0046265E">
        <w:rPr>
          <w:bCs/>
        </w:rPr>
        <w:t xml:space="preserve"> These findings remain contentious </w:t>
      </w:r>
      <w:r w:rsidR="0046265E">
        <w:rPr>
          <w:bCs/>
        </w:rPr>
        <w:fldChar w:fldCharType="begin" w:fldLock="1"/>
      </w:r>
      <w:r w:rsidR="00986D34">
        <w:rPr>
          <w:bCs/>
        </w:rPr>
        <w:instrText>ADDIN CSL_CITATION {"citationItems":[{"id":"ITEM-1","itemData":{"author":[{"dropping-particle":"","family":"Isoni","given":"By Andrea","non-dropping-particle":"","parse-names":false,"suffix":""},{"dropping-particle":"","family":"Loomes","given":"Graham","non-dropping-particle":"","parse-names":false,"suffix":""},{"dropping-particle":"","family":"Sugden","given":"Robert","non-dropping-particle":"","parse-names":false,"suffix":""}],"id":"ITEM-1","issue":"2","issued":{"date-parts":[["2011"]]},"page":"991-1011","title":"The Willingness to Pay — Willingness to Accept Gap , the \" Endowment Effect ,\" Subject Misconceptions , and Experimental Procedures for Eliciting Valuations : Comment Author ( s ): Andrea Isoni , Graham Loomes and Robert Sugden Source : The American Econo","type":"article-journal","volume":"101"},"uris":["http://www.mendeley.com/documents/?uuid=e9a36ab3-3702-411e-bd77-7ac58cd9f4ba"]}],"mendeley":{"formattedCitation":"(Isoni et al., 2011)","manualFormatting":"(Isoni et al., 2011","plainTextFormattedCitation":"(Isoni et al., 2011)","previouslyFormattedCitation":"(Isoni et al., 2011)"},"properties":{"noteIndex":0},"schema":"https://github.com/citation-style-language/schema/raw/master/csl-citation.json"}</w:instrText>
      </w:r>
      <w:r w:rsidR="0046265E">
        <w:rPr>
          <w:bCs/>
        </w:rPr>
        <w:fldChar w:fldCharType="separate"/>
      </w:r>
      <w:r w:rsidR="0046265E" w:rsidRPr="0046265E">
        <w:rPr>
          <w:bCs/>
          <w:noProof/>
        </w:rPr>
        <w:t>(Isoni et al., 2011</w:t>
      </w:r>
      <w:r w:rsidR="0046265E">
        <w:rPr>
          <w:bCs/>
        </w:rPr>
        <w:fldChar w:fldCharType="end"/>
      </w:r>
      <w:r w:rsidR="0046265E">
        <w:rPr>
          <w:bCs/>
        </w:rPr>
        <w:t xml:space="preserve">, </w:t>
      </w:r>
      <w:r w:rsidR="0046265E">
        <w:rPr>
          <w:bCs/>
        </w:rPr>
        <w:fldChar w:fldCharType="begin" w:fldLock="1"/>
      </w:r>
      <w:r w:rsidR="00C4317F">
        <w:rPr>
          <w:bCs/>
        </w:rPr>
        <w:instrText>ADDIN CSL_CITATION {"citationItems":[{"id":"ITEM-1","itemData":{"DOI":"10.1257/aer.101.2.1012","ISSN":"00028282","author":[{"dropping-particle":"","family":"Plott","given":"Charles R.","non-dropping-particle":"","parse-names":false,"suffix":""},{"dropping-particle":"","family":"Zeiler","given":"Kathryn","non-dropping-particle":"","parse-names":false,"suffix":""}],"container-title":"American Economic Review","id":"ITEM-1","issue":"2","issued":{"date-parts":[["2011"]]},"page":"1012-1028","title":"The willingness to pay - Willingness to accept gap, the \"Endowment effect,\" subject misconceptions, and experimental procedures for eliciting valuations: Reply","type":"article-journal","volume":"101"},"uris":["http://www.mendeley.com/documents/?uuid=eab4526d-939b-4229-9a98-04238cc09b80"]}],"mendeley":{"formattedCitation":"(Plott &amp; Zeiler, 2011)","manualFormatting":"Plott &amp; Zeiler, 2011)","plainTextFormattedCitation":"(Plott &amp; Zeiler, 2011)","previouslyFormattedCitation":"(Plott &amp; Zeiler, 2011)"},"properties":{"noteIndex":0},"schema":"https://github.com/citation-style-language/schema/raw/master/csl-citation.json"}</w:instrText>
      </w:r>
      <w:r w:rsidR="0046265E">
        <w:rPr>
          <w:bCs/>
        </w:rPr>
        <w:fldChar w:fldCharType="separate"/>
      </w:r>
      <w:r w:rsidR="0013145A" w:rsidRPr="0013145A">
        <w:rPr>
          <w:bCs/>
          <w:noProof/>
        </w:rPr>
        <w:t>Plott &amp; Zeiler, 2011)</w:t>
      </w:r>
      <w:r w:rsidR="0046265E">
        <w:rPr>
          <w:bCs/>
        </w:rPr>
        <w:fldChar w:fldCharType="end"/>
      </w:r>
      <w:r w:rsidR="00C4317F">
        <w:rPr>
          <w:bCs/>
        </w:rPr>
        <w:t xml:space="preserve">, especially as a meta-analysis by </w:t>
      </w:r>
      <w:r w:rsidR="00C4317F">
        <w:rPr>
          <w:bCs/>
        </w:rPr>
        <w:fldChar w:fldCharType="begin" w:fldLock="1"/>
      </w:r>
      <w:r w:rsidR="00FC0890">
        <w:rPr>
          <w:bCs/>
        </w:rPr>
        <w:instrText>ADDIN CSL_CITATION {"citationItems":[{"id":"ITEM-1","itemData":{"DOI":"10.1016/j.jeem.2014.06.001","ISSN":"10960449","abstract":"This study reports a new meta-analysis of papers that elicit willingness-to-pay (WTP) and willingness-to-accept compensation (WTA) measures of value for the same good. We investigate the effects of type of good and several survey-design features on the WTP/WTA disparity, measured as the logarithm of the ratio of mean WTA to mean WTP. Confirming Horowitz and McConnell's (2002) pioneering meta-analysis, we find the disparity is smaller for ordinary private goods than for public and non-market goods, that it is not solely an artifact of using hypothetical transactions or other weak experimental or survey methods, and that it is smaller for studies using student subjects. In addition, we find that the disparity is smaller when subjects have experience valuing the good in real markets or through repeated experimental trials. In contrast to Horowitz and McConnell, we find the disparity is significantly smaller in studies using incentive-compatible elicitation mechanisms. The disparity is smaller in more recent studies, an effect that is attributable only in part to changes in study characteristics. © 2014 Elsevier Inc.","author":[{"dropping-particle":"","family":"Tunçel","given":"Tuba","non-dropping-particle":"","parse-names":false,"suffix":""},{"dropping-particle":"","family":"Hammitt","given":"James K.","non-dropping-particle":"","parse-names":false,"suffix":""}],"container-title":"Journal of Environmental Economics and Management","id":"ITEM-1","issue":"1","issued":{"date-parts":[["2014"]]},"page":"175-187","publisher":"Elsevier","title":"A new meta-analysis on the WTP/WTA disparity","type":"article-journal","volume":"68"},"uris":["http://www.mendeley.com/documents/?uuid=691747d1-fe91-418b-b764-ad009b4ce686"]}],"mendeley":{"formattedCitation":"(Tunçel &amp; Hammitt, 2014)","manualFormatting":"Tunçel &amp; Hammitt","plainTextFormattedCitation":"(Tunçel &amp; Hammitt, 2014)","previouslyFormattedCitation":"(Tunçel &amp; Hammitt, 2014)"},"properties":{"noteIndex":0},"schema":"https://github.com/citation-style-language/schema/raw/master/csl-citation.json"}</w:instrText>
      </w:r>
      <w:r w:rsidR="00C4317F">
        <w:rPr>
          <w:bCs/>
        </w:rPr>
        <w:fldChar w:fldCharType="separate"/>
      </w:r>
      <w:r w:rsidR="00C4317F" w:rsidRPr="00C4317F">
        <w:rPr>
          <w:bCs/>
          <w:noProof/>
        </w:rPr>
        <w:t>Tunçel &amp; Hammitt</w:t>
      </w:r>
      <w:r w:rsidR="00C4317F">
        <w:rPr>
          <w:bCs/>
        </w:rPr>
        <w:fldChar w:fldCharType="end"/>
      </w:r>
      <w:r w:rsidR="00C4317F">
        <w:rPr>
          <w:bCs/>
        </w:rPr>
        <w:t xml:space="preserve"> showed that the WTA-WTP disparity is </w:t>
      </w:r>
      <w:r w:rsidR="00C4317F">
        <w:rPr>
          <w:bCs/>
          <w:i/>
          <w:iCs/>
        </w:rPr>
        <w:t>greater</w:t>
      </w:r>
      <w:r w:rsidR="00C4317F">
        <w:rPr>
          <w:bCs/>
        </w:rPr>
        <w:t xml:space="preserve"> in simpler, non-incentive-compatible methods. This meta-analysis also found that when subjects had the ability to perform multiple trials to gain familiarity with the results of a BDM study, the WTP-WTA gap shrank.</w:t>
      </w:r>
    </w:p>
    <w:p w14:paraId="577F580C" w14:textId="4B61A1A5" w:rsidR="00C4317F" w:rsidRDefault="00C4317F" w:rsidP="00C4317F">
      <w:pPr>
        <w:rPr>
          <w:bCs/>
        </w:rPr>
      </w:pPr>
    </w:p>
    <w:p w14:paraId="4699878B" w14:textId="63BFFE3F" w:rsidR="00C4317F" w:rsidRDefault="00C4317F" w:rsidP="0043729C">
      <w:pPr>
        <w:rPr>
          <w:bCs/>
        </w:rPr>
      </w:pPr>
      <w:r>
        <w:rPr>
          <w:bCs/>
        </w:rPr>
        <w:t xml:space="preserve">If it is the case that a greater understanding, or at least greater experience with, the task can reduce the disparity between elicited willingness-to-pay and willingness-to-accept values, then experiments using animal participants trained on many thousands of trials should </w:t>
      </w:r>
      <w:r w:rsidR="00380188">
        <w:rPr>
          <w:bCs/>
        </w:rPr>
        <w:t xml:space="preserve">be resistant to the endowment effect. </w:t>
      </w:r>
      <w:r w:rsidR="00F85C1A">
        <w:rPr>
          <w:bCs/>
        </w:rPr>
        <w:t>Additionally,</w:t>
      </w:r>
      <w:r w:rsidR="00380188">
        <w:rPr>
          <w:bCs/>
        </w:rPr>
        <w:t xml:space="preserve"> we hypothesise that the utility signal measured neuronally in this thesis is downstream of such effects and is already ‘priced in</w:t>
      </w:r>
      <w:r w:rsidR="006A4EBE">
        <w:rPr>
          <w:bCs/>
        </w:rPr>
        <w:t>’ to our measurements of utility.</w:t>
      </w:r>
    </w:p>
    <w:p w14:paraId="06097E16" w14:textId="77777777" w:rsidR="001322F8" w:rsidRDefault="001322F8" w:rsidP="0043729C">
      <w:pPr>
        <w:rPr>
          <w:bCs/>
        </w:rPr>
      </w:pPr>
    </w:p>
    <w:p w14:paraId="540585B5" w14:textId="1449CE33" w:rsidR="00645B74" w:rsidRPr="00645B74" w:rsidRDefault="00DE509D" w:rsidP="00645B74">
      <w:pPr>
        <w:rPr>
          <w:bCs/>
        </w:rPr>
      </w:pPr>
      <w:r>
        <w:rPr>
          <w:bCs/>
        </w:rPr>
        <w:t>P</w:t>
      </w:r>
      <w:r w:rsidR="00645B74">
        <w:rPr>
          <w:bCs/>
        </w:rPr>
        <w:t xml:space="preserve">erhaps the fundamental irony </w:t>
      </w:r>
      <w:r w:rsidR="00294CD7">
        <w:rPr>
          <w:bCs/>
        </w:rPr>
        <w:t xml:space="preserve">in studies of the incentive-compatible nature of the BDM </w:t>
      </w:r>
      <w:r w:rsidR="00645B74">
        <w:rPr>
          <w:bCs/>
        </w:rPr>
        <w:t>is that the</w:t>
      </w:r>
      <w:r w:rsidR="00294CD7">
        <w:rPr>
          <w:bCs/>
        </w:rPr>
        <w:t xml:space="preserve"> original</w:t>
      </w:r>
      <w:r w:rsidR="00645B74">
        <w:rPr>
          <w:bCs/>
        </w:rPr>
        <w:t xml:space="preserve"> 1964 paper rejects the ide</w:t>
      </w:r>
      <w:r w:rsidR="00294CD7">
        <w:rPr>
          <w:bCs/>
        </w:rPr>
        <w:t>a</w:t>
      </w:r>
      <w:r w:rsidR="00645B74">
        <w:rPr>
          <w:bCs/>
        </w:rPr>
        <w:t>, though this is hypothesised to be due to the subject’s lack of familiarity and understanding of the task</w:t>
      </w:r>
      <w:r w:rsidR="00E93067">
        <w:rPr>
          <w:bCs/>
        </w:rPr>
        <w:t xml:space="preserve"> (see also </w:t>
      </w:r>
      <w:r w:rsidR="00E93067">
        <w:rPr>
          <w:bCs/>
        </w:rPr>
        <w:fldChar w:fldCharType="begin" w:fldLock="1"/>
      </w:r>
      <w:r w:rsidR="0006242F">
        <w:rPr>
          <w:bCs/>
        </w:rPr>
        <w:instrText>ADDIN CSL_CITATION {"citationItems":[{"id":"ITEM-1","itemData":{"DOI":"10.1086/677254","ISSN":"1537534X","abstract":"This study explores the tension between the standard economic theory of preference and nonstandard theories of preference that are motivated by an underlying theory of framing. A simple experiment fails to measure a known preference. The divergence of the measured preference from the known preference reflects a mistake, arising from some subjects’ misconception of the game form. We conclude that choice data should not be granted an unqualified interpretation of preference revelation. Mistakes in choices obscured by a possible error at the foundation of the theory of framing can masquerade as having been produced by nonstandard preferences.","author":[{"dropping-particle":"","family":"Cason","given":"Timothy N.","non-dropping-particle":"","parse-names":false,"suffix":""},{"dropping-particle":"","family":"Plott","given":"Charles R.","non-dropping-particle":"","parse-names":false,"suffix":""}],"container-title":"Journal of Political Economy","id":"ITEM-1","issue":"6","issued":{"date-parts":[["2014"]]},"page":"1235-1270","title":"Misconceptions and game form recognition: Challenges to theories of revealed preference and framing","type":"article-journal","volume":"122"},"uris":["http://www.mendeley.com/documents/?uuid=6fc21159-1462-4051-89a9-9b69d40eebcf"]}],"mendeley":{"formattedCitation":"(Cason &amp; Plott, 2014)","manualFormatting":"Cason &amp; Plott, 2014","plainTextFormattedCitation":"(Cason &amp; Plott, 2014)","previouslyFormattedCitation":"(Cason &amp; Plott, 2014)"},"properties":{"noteIndex":0},"schema":"https://github.com/citation-style-language/schema/raw/master/csl-citation.json"}</w:instrText>
      </w:r>
      <w:r w:rsidR="00E93067">
        <w:rPr>
          <w:bCs/>
        </w:rPr>
        <w:fldChar w:fldCharType="separate"/>
      </w:r>
      <w:r w:rsidR="00E93067" w:rsidRPr="00E93067">
        <w:rPr>
          <w:bCs/>
          <w:noProof/>
        </w:rPr>
        <w:t>Cason &amp; Plott, 2014</w:t>
      </w:r>
      <w:r w:rsidR="00E93067">
        <w:rPr>
          <w:bCs/>
        </w:rPr>
        <w:fldChar w:fldCharType="end"/>
      </w:r>
      <w:r w:rsidR="00E93067">
        <w:rPr>
          <w:bCs/>
        </w:rPr>
        <w:t>)</w:t>
      </w:r>
      <w:r w:rsidR="00645B74">
        <w:rPr>
          <w:bCs/>
        </w:rPr>
        <w:t>. As the original paper concludes:</w:t>
      </w:r>
      <w:r w:rsidR="00645B74">
        <w:rPr>
          <w:bCs/>
        </w:rPr>
        <w:br/>
      </w:r>
      <w:r w:rsidR="00645B74">
        <w:rPr>
          <w:bCs/>
        </w:rPr>
        <w:br/>
      </w:r>
      <w:r w:rsidR="00645B74" w:rsidRPr="00645B74">
        <w:rPr>
          <w:bCs/>
          <w:i/>
          <w:iCs/>
        </w:rPr>
        <w:t xml:space="preserve">“The inconsistency of the responses of two subjects led to the rejection of the model. However, as the subjects became more familiar with the task their experience appeared to </w:t>
      </w:r>
      <w:r w:rsidR="00645B74" w:rsidRPr="00645B74">
        <w:rPr>
          <w:bCs/>
          <w:i/>
          <w:iCs/>
        </w:rPr>
        <w:lastRenderedPageBreak/>
        <w:t>lead to more consistent behavio</w:t>
      </w:r>
      <w:r w:rsidR="00645B74">
        <w:rPr>
          <w:bCs/>
          <w:i/>
          <w:iCs/>
        </w:rPr>
        <w:t>u</w:t>
      </w:r>
      <w:r w:rsidR="00645B74" w:rsidRPr="00645B74">
        <w:rPr>
          <w:bCs/>
          <w:i/>
          <w:iCs/>
        </w:rPr>
        <w:t>r and less deviation from the results specified by the utility model. Thus, despite the rejection of the model in the strict sense, it is felt that it does, at least, approximate the observed behavio</w:t>
      </w:r>
      <w:r w:rsidR="00645B74">
        <w:rPr>
          <w:bCs/>
          <w:i/>
          <w:iCs/>
        </w:rPr>
        <w:t>u</w:t>
      </w:r>
      <w:r w:rsidR="00645B74" w:rsidRPr="00645B74">
        <w:rPr>
          <w:bCs/>
          <w:i/>
          <w:iCs/>
        </w:rPr>
        <w:t>r.”</w:t>
      </w:r>
    </w:p>
    <w:p w14:paraId="4CDAFD0E" w14:textId="72E745A5" w:rsidR="00645B74" w:rsidRDefault="00645B74" w:rsidP="00645B74">
      <w:pPr>
        <w:widowControl/>
        <w:suppressAutoHyphens w:val="0"/>
        <w:autoSpaceDE w:val="0"/>
        <w:autoSpaceDN w:val="0"/>
        <w:adjustRightInd w:val="0"/>
        <w:rPr>
          <w:bCs/>
        </w:rPr>
      </w:pPr>
    </w:p>
    <w:p w14:paraId="52A5E23B" w14:textId="6EB1D8DF" w:rsidR="00E77EEB" w:rsidRPr="00E77EEB" w:rsidRDefault="00E77EEB" w:rsidP="005D79EA">
      <w:pPr>
        <w:rPr>
          <w:b/>
          <w:u w:val="single"/>
        </w:rPr>
      </w:pPr>
      <w:r>
        <w:rPr>
          <w:b/>
          <w:u w:val="single"/>
        </w:rPr>
        <w:t>Getting a monkey to do your bidding</w:t>
      </w:r>
    </w:p>
    <w:p w14:paraId="6381694D" w14:textId="2B27A074" w:rsidR="00B3463A" w:rsidRDefault="00B3463A" w:rsidP="005D79EA">
      <w:pPr>
        <w:rPr>
          <w:bCs/>
        </w:rPr>
      </w:pPr>
    </w:p>
    <w:p w14:paraId="362F827E" w14:textId="57D0FE14" w:rsidR="00FC0890" w:rsidRDefault="004331F6" w:rsidP="005D79EA">
      <w:pPr>
        <w:rPr>
          <w:bCs/>
        </w:rPr>
      </w:pPr>
      <w:r>
        <w:rPr>
          <w:bCs/>
        </w:rPr>
        <w:t xml:space="preserve">The incentive compatible nature of the BDM means that there is no cost </w:t>
      </w:r>
      <w:r w:rsidR="00C74ABF">
        <w:rPr>
          <w:bCs/>
        </w:rPr>
        <w:t>and (</w:t>
      </w:r>
      <w:r w:rsidR="00FC7586">
        <w:rPr>
          <w:bCs/>
        </w:rPr>
        <w:t>for instance in overcoming the endowment effect</w:t>
      </w:r>
      <w:r w:rsidR="00C74ABF">
        <w:rPr>
          <w:bCs/>
        </w:rPr>
        <w:t xml:space="preserve">) some benefits to fully explaining the task to human participants of economic research. </w:t>
      </w:r>
      <w:r w:rsidR="00FC0890">
        <w:rPr>
          <w:bCs/>
        </w:rPr>
        <w:fldChar w:fldCharType="begin" w:fldLock="1"/>
      </w:r>
      <w:r w:rsidR="00FD7FA5">
        <w:rPr>
          <w:bCs/>
        </w:rPr>
        <w:instrText>ADDIN CSL_CITATION {"citationItems":[{"id":"ITEM-1","itemData":{"DOI":"10.1111/j.1465-7295.1998.tb01713.x","ISSN":"00952583","abstract":"This paper reports on three laboratory experiments designed to investigate the roles of decision costs and rewards on the accuracy of economic decisions. The experimental vehicle is a purchase decision employing the Becker-DeGroot-Marshak (BDM) mechanism. The first experiment verifies the incentive-compatibility of the BDM in a pure induced-value setting; the second tests its performance under different information regimes and payoff schedules ; the third addresses the role of feedback information. Steep payoff schedules are found to be necessary to optimizing behavior only in cases where subjects must search out an optimal strategy rather than being able to deduce it from information provided. (JEL C91, D83).","author":[{"dropping-particle":"","family":"Irwin","given":"Julie R.","non-dropping-particle":"","parse-names":false,"suffix":""},{"dropping-particle":"","family":"McClelland","given":"Gary H.","non-dropping-particle":"","parse-names":false,"suffix":""},{"dropping-particle":"","family":"McKee","given":"Michael","non-dropping-particle":"","parse-names":false,"suffix":""},{"dropping-particle":"","family":"Schulze","given":"William D.","non-dropping-particle":"","parse-names":false,"suffix":""},{"dropping-particle":"","family":"Norden","given":"N. Elizabeth","non-dropping-particle":"","parse-names":false,"suffix":""}],"container-title":"Economic Inquiry","id":"ITEM-1","issue":"2","issued":{"date-parts":[["1998"]]},"page":"272-285","title":"Payoff dominance vs. cognitive transparency in decision making","type":"article-journal","volume":"36"},"uris":["http://www.mendeley.com/documents/?uuid=001557c5-860c-459d-b8df-d9c1e9c62e64"]}],"mendeley":{"formattedCitation":"(Irwin et al., 1998)","manualFormatting":"Irwin et al.","plainTextFormattedCitation":"(Irwin et al., 1998)","previouslyFormattedCitation":"(Irwin et al., 1998)"},"properties":{"noteIndex":0},"schema":"https://github.com/citation-style-language/schema/raw/master/csl-citation.json"}</w:instrText>
      </w:r>
      <w:r w:rsidR="00FC0890">
        <w:rPr>
          <w:bCs/>
        </w:rPr>
        <w:fldChar w:fldCharType="separate"/>
      </w:r>
      <w:r w:rsidR="00FC0890" w:rsidRPr="00FC0890">
        <w:rPr>
          <w:bCs/>
          <w:noProof/>
        </w:rPr>
        <w:t>Irwin et al.</w:t>
      </w:r>
      <w:r w:rsidR="00FC0890">
        <w:rPr>
          <w:bCs/>
        </w:rPr>
        <w:fldChar w:fldCharType="end"/>
      </w:r>
      <w:r w:rsidR="00FC0890">
        <w:rPr>
          <w:bCs/>
        </w:rPr>
        <w:t xml:space="preserve"> studied the effect of this explanation upon WTP values elicited from the BDM by providing one set of participants with ‘full information’ about the task, including the value of the good they were bidding for</w:t>
      </w:r>
      <w:r w:rsidR="00FD7FA5">
        <w:rPr>
          <w:bCs/>
        </w:rPr>
        <w:t>, the distribution of the randomly drawn computer bid, and the results of each trial (the computer bid, whether they won or lost, and the total payoff for that trial)</w:t>
      </w:r>
      <w:r w:rsidR="00FC0890">
        <w:rPr>
          <w:bCs/>
        </w:rPr>
        <w:t xml:space="preserve">. </w:t>
      </w:r>
      <w:r w:rsidR="00FD7FA5">
        <w:rPr>
          <w:bCs/>
        </w:rPr>
        <w:t xml:space="preserve">Full information subjects start with bids around half a dollar (from a range of $6) from optimal and over 13 rounds of bidding steadily improve their bidding until within $0.25 of the optimal bid. In contrast, a second group of </w:t>
      </w:r>
      <w:r w:rsidR="00BC07F1">
        <w:rPr>
          <w:bCs/>
        </w:rPr>
        <w:t xml:space="preserve">‘minimal information’ </w:t>
      </w:r>
      <w:r w:rsidR="00FD7FA5">
        <w:rPr>
          <w:bCs/>
        </w:rPr>
        <w:t>subjects receiving only the payoff from each trial (</w:t>
      </w:r>
      <w:r w:rsidR="00C03145">
        <w:rPr>
          <w:bCs/>
        </w:rPr>
        <w:t>even excluding information signalling whether they won or lost the auction</w:t>
      </w:r>
      <w:r w:rsidR="00FD7FA5">
        <w:rPr>
          <w:bCs/>
        </w:rPr>
        <w:t>) were unable to produce optimal bidding.</w:t>
      </w:r>
    </w:p>
    <w:p w14:paraId="44BA9BFA" w14:textId="77777777" w:rsidR="00FC0890" w:rsidRDefault="00FC0890" w:rsidP="005D79EA">
      <w:pPr>
        <w:rPr>
          <w:bCs/>
        </w:rPr>
      </w:pPr>
    </w:p>
    <w:p w14:paraId="594DB476" w14:textId="096F38AB" w:rsidR="008036FB" w:rsidRDefault="00FC7586" w:rsidP="005D79EA">
      <w:pPr>
        <w:rPr>
          <w:bCs/>
        </w:rPr>
      </w:pPr>
      <w:r>
        <w:rPr>
          <w:bCs/>
        </w:rPr>
        <w:t>This</w:t>
      </w:r>
      <w:r w:rsidR="00C74ABF">
        <w:rPr>
          <w:bCs/>
        </w:rPr>
        <w:t xml:space="preserve"> project </w:t>
      </w:r>
      <w:r>
        <w:rPr>
          <w:bCs/>
        </w:rPr>
        <w:t>required the</w:t>
      </w:r>
      <w:r w:rsidR="00C74ABF">
        <w:rPr>
          <w:bCs/>
        </w:rPr>
        <w:t xml:space="preserve"> record</w:t>
      </w:r>
      <w:r>
        <w:rPr>
          <w:bCs/>
        </w:rPr>
        <w:t>ing of</w:t>
      </w:r>
      <w:r w:rsidR="00C74ABF">
        <w:rPr>
          <w:bCs/>
        </w:rPr>
        <w:t xml:space="preserve"> deep brain structures, and therefore the use of non-human primates as subjects</w:t>
      </w:r>
      <w:r>
        <w:rPr>
          <w:bCs/>
        </w:rPr>
        <w:t>, precluding the possibility of a verbal explanation of strategies</w:t>
      </w:r>
      <w:r w:rsidR="005C1A9F">
        <w:rPr>
          <w:rStyle w:val="FootnoteReference"/>
          <w:bCs/>
        </w:rPr>
        <w:footnoteReference w:id="9"/>
      </w:r>
      <w:r>
        <w:rPr>
          <w:bCs/>
        </w:rPr>
        <w:t xml:space="preserve">. </w:t>
      </w:r>
      <w:r w:rsidR="00FD1B7D">
        <w:rPr>
          <w:bCs/>
        </w:rPr>
        <w:t xml:space="preserve">Instead, we were forced to rely on reinforcement learning to guide the monkeys to the optimal strategy for the BDM. </w:t>
      </w:r>
      <w:r w:rsidR="0030326E">
        <w:rPr>
          <w:bCs/>
        </w:rPr>
        <w:t>Decision policies</w:t>
      </w:r>
      <w:r w:rsidR="00B3463A">
        <w:rPr>
          <w:bCs/>
        </w:rPr>
        <w:t xml:space="preserve"> that yield </w:t>
      </w:r>
      <w:r w:rsidR="0030326E">
        <w:rPr>
          <w:bCs/>
        </w:rPr>
        <w:t xml:space="preserve">positive </w:t>
      </w:r>
      <w:r w:rsidR="00B3463A">
        <w:rPr>
          <w:bCs/>
        </w:rPr>
        <w:t>utility per trial should be reinforced and used on subsequent trials by the animal</w:t>
      </w:r>
      <w:r w:rsidR="0030326E">
        <w:rPr>
          <w:bCs/>
        </w:rPr>
        <w:t xml:space="preserve"> whereas those that yield a less than desirable outcome should be penalised. </w:t>
      </w:r>
      <w:r w:rsidR="00DD64A9">
        <w:rPr>
          <w:bCs/>
        </w:rPr>
        <w:t>Our monkeys face conditions much more analogous to a</w:t>
      </w:r>
      <w:r w:rsidR="00C03145">
        <w:rPr>
          <w:bCs/>
        </w:rPr>
        <w:t xml:space="preserve"> separate experiment conducted by </w:t>
      </w:r>
      <w:r w:rsidR="00AE3497">
        <w:rPr>
          <w:bCs/>
        </w:rPr>
        <w:fldChar w:fldCharType="begin" w:fldLock="1"/>
      </w:r>
      <w:r w:rsidR="00353883">
        <w:rPr>
          <w:bCs/>
        </w:rPr>
        <w:instrText>ADDIN CSL_CITATION {"citationItems":[{"id":"ITEM-1","itemData":{"author":[{"dropping-particle":"","family":"Shogren","given":"Jason F","non-dropping-particle":"","parse-names":false,"suffix":""},{"dropping-particle":"","family":"Margolis","given":"Michael","non-dropping-particle":"","parse-names":false,"suffix":""},{"dropping-particle":"","family":"Koo","given":"Cannon","non-dropping-particle":"","parse-names":false,"suffix":""},{"dropping-particle":"","family":"List","given":"John A","non-dropping-particle":"","parse-names":false,"suffix":""}],"id":"ITEM-1","issued":{"date-parts":[["2001"]]},"page":"409-421","title":"A random n th-price auction","type":"article-journal","volume":"46"},"uris":["http://www.mendeley.com/documents/?uuid=9d8c73d9-a118-4f6f-9968-bb1485cd668f"]}],"mendeley":{"formattedCitation":"(Shogren et al., 2001)","manualFormatting":"Shogren et al.","plainTextFormattedCitation":"(Shogren et al., 2001)","previouslyFormattedCitation":"(Shogren et al., 2001)"},"properties":{"noteIndex":0},"schema":"https://github.com/citation-style-language/schema/raw/master/csl-citation.json"}</w:instrText>
      </w:r>
      <w:r w:rsidR="00AE3497">
        <w:rPr>
          <w:bCs/>
        </w:rPr>
        <w:fldChar w:fldCharType="separate"/>
      </w:r>
      <w:r w:rsidR="00AE3497" w:rsidRPr="00AE3497">
        <w:rPr>
          <w:bCs/>
          <w:noProof/>
        </w:rPr>
        <w:t>Shogren et al.</w:t>
      </w:r>
      <w:r w:rsidR="00AE3497">
        <w:rPr>
          <w:bCs/>
        </w:rPr>
        <w:fldChar w:fldCharType="end"/>
      </w:r>
      <w:r w:rsidR="00C03145">
        <w:rPr>
          <w:bCs/>
        </w:rPr>
        <w:t xml:space="preserve"> </w:t>
      </w:r>
      <w:r w:rsidR="00DD64A9">
        <w:rPr>
          <w:bCs/>
        </w:rPr>
        <w:t>S</w:t>
      </w:r>
      <w:r w:rsidR="00C03145">
        <w:rPr>
          <w:bCs/>
        </w:rPr>
        <w:t xml:space="preserve">ubjects were kept in the ‘minimal information’ paradigm </w:t>
      </w:r>
      <w:r w:rsidR="00DD64A9">
        <w:rPr>
          <w:bCs/>
        </w:rPr>
        <w:t>and asked to bid for tokens of an induced value of cash</w:t>
      </w:r>
      <w:r w:rsidR="00DD64A9">
        <w:rPr>
          <w:rStyle w:val="FootnoteReference"/>
          <w:bCs/>
        </w:rPr>
        <w:footnoteReference w:id="10"/>
      </w:r>
      <w:r w:rsidR="00DD64A9">
        <w:rPr>
          <w:bCs/>
        </w:rPr>
        <w:t xml:space="preserve"> </w:t>
      </w:r>
      <w:r w:rsidR="00C03145">
        <w:rPr>
          <w:bCs/>
        </w:rPr>
        <w:t xml:space="preserve">but also </w:t>
      </w:r>
      <w:r w:rsidR="006B2BC7">
        <w:rPr>
          <w:bCs/>
        </w:rPr>
        <w:t>were given information about the result of each trial (</w:t>
      </w:r>
      <w:r w:rsidR="00AE3497">
        <w:rPr>
          <w:bCs/>
        </w:rPr>
        <w:t xml:space="preserve">the second price and thus </w:t>
      </w:r>
      <w:r w:rsidR="006B2BC7">
        <w:rPr>
          <w:bCs/>
        </w:rPr>
        <w:t xml:space="preserve">whether they won or lost the auction). </w:t>
      </w:r>
      <w:r w:rsidR="00AE3497">
        <w:rPr>
          <w:bCs/>
        </w:rPr>
        <w:t xml:space="preserve">In this setting, </w:t>
      </w:r>
      <w:r w:rsidR="00DD64A9">
        <w:rPr>
          <w:bCs/>
        </w:rPr>
        <w:t xml:space="preserve">participants quickly </w:t>
      </w:r>
      <w:r w:rsidR="00A368E5">
        <w:rPr>
          <w:bCs/>
        </w:rPr>
        <w:t>approached</w:t>
      </w:r>
      <w:r w:rsidR="00DD64A9">
        <w:rPr>
          <w:bCs/>
        </w:rPr>
        <w:t xml:space="preserve"> the optimal strategy, and within 15 trials </w:t>
      </w:r>
      <w:r w:rsidR="00AE3497">
        <w:rPr>
          <w:bCs/>
        </w:rPr>
        <w:t>mean bids shaded the induced value of the auctioned good by $0.2 in a bidding range of $12</w:t>
      </w:r>
      <w:r w:rsidR="008036FB">
        <w:rPr>
          <w:bCs/>
        </w:rPr>
        <w:t>.</w:t>
      </w:r>
      <w:r w:rsidR="000D71EC">
        <w:rPr>
          <w:bCs/>
        </w:rPr>
        <w:t xml:space="preserve"> So long as the monkey has equivalent information about the setup (the good being auctioned and the budget range) and the outcome (the result of the auction and the payoffs), they should similarly be able to learn the optimal BDM strategy.</w:t>
      </w:r>
    </w:p>
    <w:p w14:paraId="28A0FCAB" w14:textId="4309EBCF" w:rsidR="008036FB" w:rsidRDefault="008036FB" w:rsidP="005D79EA">
      <w:pPr>
        <w:rPr>
          <w:bCs/>
        </w:rPr>
      </w:pPr>
    </w:p>
    <w:p w14:paraId="6EA84D2C" w14:textId="1EC31739" w:rsidR="008036FB" w:rsidRDefault="000D71EC" w:rsidP="005D79EA">
      <w:pPr>
        <w:rPr>
          <w:bCs/>
        </w:rPr>
      </w:pPr>
      <w:r>
        <w:rPr>
          <w:bCs/>
        </w:rPr>
        <w:t>When learning an economic task by reinforcement, o</w:t>
      </w:r>
      <w:r w:rsidR="008036FB">
        <w:rPr>
          <w:bCs/>
        </w:rPr>
        <w:t>ur monkeys also have the advantage of being trained over many thousands of trials</w:t>
      </w:r>
      <w:r>
        <w:rPr>
          <w:bCs/>
        </w:rPr>
        <w:t>. Humans have a much greater choice when choosing to participate in decision making research and generally must be tempted with (expensive) monetary rewards. In human studies of the BDM, therefore, task design is a trade of between maximising the number of trials</w:t>
      </w:r>
      <w:r w:rsidR="00C74296">
        <w:rPr>
          <w:bCs/>
        </w:rPr>
        <w:t xml:space="preserve"> for greater sample size or maximising the incentive for participants to pay attention to the task at hand. </w:t>
      </w:r>
      <w:r w:rsidR="00353883">
        <w:rPr>
          <w:bCs/>
        </w:rPr>
        <w:t xml:space="preserve">This has traditionally been resolved by producing trials with hypothetically large incentives for truthful bidding, of which, one is randomly selected to be resolved at the end of the experiment </w:t>
      </w:r>
      <w:r w:rsidR="00353883">
        <w:rPr>
          <w:bCs/>
        </w:rPr>
        <w:fldChar w:fldCharType="begin" w:fldLock="1"/>
      </w:r>
      <w:r w:rsidR="00986D34">
        <w:rPr>
          <w:bCs/>
        </w:rPr>
        <w:instrText>ADDIN CSL_CITATION {"citationItems":[{"id":"ITEM-1","itemData":{"author":[{"dropping-particle":"","family":"Jutta","given":"Roosen","non-dropping-particle":"","parse-names":false,"suffix":""},{"dropping-particle":"","family":"Marette","given":"Stephan","non-dropping-particle":"","parse-names":false,"suffix":""},{"dropping-particle":"","family":"Sandrine","given":"Blanchemanche","non-dropping-particle":"","parse-names":false,"suffix":""}],"container-title":"Economics Bulletin","id":"ITEM-1","issue":"2","issued":{"date-parts":[["2010"]]},"page":"1554-1563","title":"Value Elicitation using BDM and a Discrete Choice Mechanism Volume 30 , Issue 2 Value Elicitation using BDM and a Discrete Choice Mechanism","type":"article-journal","volume":"30"},"uris":["http://www.mendeley.com/documents/?uuid=dc44c45e-9bf1-4451-b118-a3a3dfc6c29e"]}],"mendeley":{"formattedCitation":"(Jutta et al., 2010)","plainTextFormattedCitation":"(Jutta et al., 2010)","previouslyFormattedCitation":"(Jutta et al., 2010)"},"properties":{"noteIndex":0},"schema":"https://github.com/citation-style-language/schema/raw/master/csl-citation.json"}</w:instrText>
      </w:r>
      <w:r w:rsidR="00353883">
        <w:rPr>
          <w:bCs/>
        </w:rPr>
        <w:fldChar w:fldCharType="separate"/>
      </w:r>
      <w:r w:rsidR="00353883" w:rsidRPr="00353883">
        <w:rPr>
          <w:bCs/>
          <w:noProof/>
        </w:rPr>
        <w:t>(Jutta et al., 2010)</w:t>
      </w:r>
      <w:r w:rsidR="00353883">
        <w:rPr>
          <w:bCs/>
        </w:rPr>
        <w:fldChar w:fldCharType="end"/>
      </w:r>
      <w:r w:rsidR="00353883">
        <w:rPr>
          <w:bCs/>
        </w:rPr>
        <w:t>.</w:t>
      </w:r>
      <w:r w:rsidR="006853AB">
        <w:rPr>
          <w:bCs/>
        </w:rPr>
        <w:t xml:space="preserve"> However, this decouples the decision made by a subject from the reinforcing reward signal, as the payoff only comes at the end of each session.</w:t>
      </w:r>
      <w:r w:rsidR="00353883">
        <w:rPr>
          <w:bCs/>
        </w:rPr>
        <w:t xml:space="preserve"> Using liquid-controlled monkeys bidding for juice rewards using a (taste neutral) water budget allows us to circumvent this limitation</w:t>
      </w:r>
      <w:r w:rsidR="007203C1">
        <w:rPr>
          <w:bCs/>
        </w:rPr>
        <w:t>; t</w:t>
      </w:r>
      <w:r w:rsidR="00353883">
        <w:rPr>
          <w:bCs/>
        </w:rPr>
        <w:t xml:space="preserve">rained primates will regularly </w:t>
      </w:r>
      <w:r w:rsidR="007203C1">
        <w:rPr>
          <w:bCs/>
        </w:rPr>
        <w:t xml:space="preserve">complete hundreds of trials for small amounts of </w:t>
      </w:r>
      <w:r w:rsidR="007203C1">
        <w:rPr>
          <w:bCs/>
        </w:rPr>
        <w:lastRenderedPageBreak/>
        <w:t>liquid payment.</w:t>
      </w:r>
      <w:r w:rsidR="00A368E5">
        <w:rPr>
          <w:bCs/>
        </w:rPr>
        <w:t xml:space="preserve">  </w:t>
      </w:r>
    </w:p>
    <w:p w14:paraId="7A1BD197" w14:textId="18448452" w:rsidR="007203C1" w:rsidRDefault="007203C1" w:rsidP="005D79EA">
      <w:pPr>
        <w:rPr>
          <w:bCs/>
        </w:rPr>
      </w:pPr>
    </w:p>
    <w:p w14:paraId="1794F803" w14:textId="3E41737F" w:rsidR="007203C1" w:rsidRDefault="00A368E5" w:rsidP="005D79EA">
      <w:pPr>
        <w:rPr>
          <w:bCs/>
        </w:rPr>
      </w:pPr>
      <w:r>
        <w:rPr>
          <w:bCs/>
        </w:rPr>
        <w:t xml:space="preserve">Despite the promising findings of </w:t>
      </w:r>
      <w:proofErr w:type="spellStart"/>
      <w:r>
        <w:rPr>
          <w:bCs/>
        </w:rPr>
        <w:t>Shogren</w:t>
      </w:r>
      <w:proofErr w:type="spellEnd"/>
      <w:r>
        <w:rPr>
          <w:bCs/>
        </w:rPr>
        <w:t xml:space="preserve"> et al. and Irwin et al., we might still expect to require training the primates across many hundreds, if not thousands, of trials due to the shallow </w:t>
      </w:r>
      <w:r w:rsidR="006853AB">
        <w:rPr>
          <w:bCs/>
        </w:rPr>
        <w:t xml:space="preserve">payoff gradient present in the BDM. </w:t>
      </w:r>
      <w:r w:rsidR="00B759F2">
        <w:rPr>
          <w:bCs/>
        </w:rPr>
        <w:t xml:space="preserve">Figure 3 shows the expected payoff for subjects making bids on a range of 0-10 for goods in the same range (0-8.75 in steps of 1.25) against 3 different strategies of randomly drawn computer bids. The units for the bids, good and (therefore) expected payoff are </w:t>
      </w:r>
      <w:r w:rsidR="00F835AC">
        <w:rPr>
          <w:bCs/>
        </w:rPr>
        <w:t>in unitless ‘utils’</w:t>
      </w:r>
      <w:r w:rsidR="00B759F2">
        <w:rPr>
          <w:bCs/>
        </w:rPr>
        <w:t xml:space="preserve"> in this graph, but for comprehension’s sake, it may be easier to imagine dollar amounts.</w:t>
      </w:r>
    </w:p>
    <w:p w14:paraId="126B703C" w14:textId="3EBD7175" w:rsidR="00B759F2" w:rsidRDefault="00B759F2" w:rsidP="005D79EA">
      <w:pPr>
        <w:rPr>
          <w:bCs/>
        </w:rPr>
      </w:pPr>
    </w:p>
    <w:p w14:paraId="2E0FE463" w14:textId="1BE14DED" w:rsidR="00BC58E7" w:rsidRDefault="00B759F2" w:rsidP="005D79EA">
      <w:pPr>
        <w:rPr>
          <w:bCs/>
        </w:rPr>
      </w:pPr>
      <w:r>
        <w:rPr>
          <w:bCs/>
        </w:rPr>
        <w:t>Regardless of the computer bid distribution, the optimal bid is always bidding one’s true value. This can be seen with the red dots which indicate the maximum expected payoff for each good falling exactly on the breaks of the graph equal to the value level of the auctioned good.</w:t>
      </w:r>
      <w:r w:rsidR="00BC58E7">
        <w:rPr>
          <w:bCs/>
        </w:rPr>
        <w:t xml:space="preserve"> </w:t>
      </w:r>
      <w:r w:rsidR="000F7B29">
        <w:rPr>
          <w:bCs/>
        </w:rPr>
        <w:t xml:space="preserve">However, the distribution of the computer bids </w:t>
      </w:r>
      <w:r w:rsidR="000F7B29">
        <w:rPr>
          <w:bCs/>
          <w:i/>
          <w:iCs/>
        </w:rPr>
        <w:t>does</w:t>
      </w:r>
      <w:r w:rsidR="000F7B29">
        <w:rPr>
          <w:bCs/>
        </w:rPr>
        <w:t xml:space="preserve"> alter the maximum expected payoff as the computer bid determines the payoff for the win condition. Namely:</w:t>
      </w:r>
      <w:r w:rsidR="000F7B29">
        <w:rPr>
          <w:bCs/>
        </w:rPr>
        <w:br/>
      </w:r>
    </w:p>
    <w:p w14:paraId="7901E54C" w14:textId="537FE520" w:rsidR="00920E5F" w:rsidRDefault="00920E5F" w:rsidP="00920E5F">
      <w:pPr>
        <w:pStyle w:val="Caption"/>
        <w:keepNext/>
      </w:pPr>
      <w:r>
        <w:t xml:space="preserve">Equation </w:t>
      </w:r>
      <w:fldSimple w:instr=" SEQ Equation \* ARABIC ">
        <w:r>
          <w:rPr>
            <w:noProof/>
          </w:rPr>
          <w:t>4</w:t>
        </w:r>
      </w:fldSimple>
    </w:p>
    <w:p w14:paraId="201D075F" w14:textId="5D96832A" w:rsidR="00C87EB1" w:rsidRDefault="00FE142F" w:rsidP="005D79EA">
      <w:pPr>
        <w:rPr>
          <w:bCs/>
        </w:rPr>
      </w:pPr>
      <m:oMathPara>
        <m:oMath>
          <m:bar>
            <m:barPr>
              <m:pos m:val="top"/>
              <m:ctrlPr>
                <w:rPr>
                  <w:rFonts w:ascii="Cambria Math" w:hAnsi="Cambria Math"/>
                  <w:bCs/>
                </w:rPr>
              </m:ctrlPr>
            </m:barPr>
            <m:e>
              <m:r>
                <w:rPr>
                  <w:rFonts w:ascii="Cambria Math" w:hAnsi="Cambria Math"/>
                </w:rPr>
                <m:t>P</m:t>
              </m:r>
            </m:e>
          </m:ba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d>
            <m:dPr>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m:t>
                      </m:r>
                    </m:sub>
                  </m:sSub>
                </m:e>
              </m:d>
            </m:e>
          </m:d>
        </m:oMath>
      </m:oMathPara>
    </w:p>
    <w:p w14:paraId="09CA597E" w14:textId="32D7ECDF" w:rsidR="00A62589" w:rsidRDefault="00A62589" w:rsidP="005D79EA">
      <w:pPr>
        <w:rPr>
          <w:bCs/>
        </w:rPr>
      </w:pPr>
    </w:p>
    <w:p w14:paraId="20A70666" w14:textId="09821572" w:rsidR="00A62589" w:rsidRDefault="00A62589" w:rsidP="005D79EA">
      <w:pPr>
        <w:rPr>
          <w:bCs/>
        </w:rPr>
      </w:pPr>
      <w:r>
        <w:rPr>
          <w:bCs/>
        </w:rPr>
        <w:t xml:space="preserve">Where </w:t>
      </w:r>
      <m:oMath>
        <m:r>
          <m:rPr>
            <m:sty m:val="bi"/>
          </m:rPr>
          <w:rPr>
            <w:rFonts w:ascii="Cambria Math" w:hAnsi="Cambria Math"/>
          </w:rPr>
          <m:t>G</m:t>
        </m:r>
      </m:oMath>
      <w:r w:rsidR="00920E5F">
        <w:rPr>
          <w:bCs/>
        </w:rPr>
        <w:t xml:space="preserve"> </w:t>
      </w:r>
      <w:r>
        <w:rPr>
          <w:bCs/>
        </w:rPr>
        <w:t xml:space="preserve">is the utility of a good being auctioned in </w:t>
      </w:r>
      <w:r w:rsidR="00EC4733">
        <w:rPr>
          <w:bCs/>
        </w:rPr>
        <w:t xml:space="preserve">terms of </w:t>
      </w:r>
      <w:r>
        <w:rPr>
          <w:bCs/>
        </w:rPr>
        <w:t xml:space="preserve">the currency of the budget used to bid for it.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max</m:t>
            </m:r>
          </m:sub>
        </m:sSub>
      </m:oMath>
      <w:r w:rsidR="00920E5F">
        <w:rPr>
          <w:b/>
        </w:rPr>
        <w:t xml:space="preserve"> </w:t>
      </w:r>
      <w:r w:rsidRPr="00920E5F">
        <w:rPr>
          <w:bCs/>
        </w:rPr>
        <w:t>i</w:t>
      </w:r>
      <w:r>
        <w:rPr>
          <w:bCs/>
        </w:rPr>
        <w:t xml:space="preserve">s the maximum possible bid a subject can make (assuming the lowest bid is zero, this is equal to the range of the budget).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computer</m:t>
            </m:r>
          </m:sub>
        </m:sSub>
      </m:oMath>
      <w:r w:rsidR="003A154A">
        <w:rPr>
          <w:b/>
        </w:rPr>
        <w:t xml:space="preserve"> </w:t>
      </w:r>
      <w:r>
        <w:rPr>
          <w:bCs/>
        </w:rPr>
        <w:t>is the computer bid, as the subject will pay this amount from their total budget in the win condition.</w:t>
      </w:r>
      <w:r w:rsidR="00B749A3">
        <w:rPr>
          <w:bCs/>
        </w:rPr>
        <w:t xml:space="preserve"> To calculate the </w:t>
      </w:r>
      <w:r w:rsidR="00B749A3">
        <w:rPr>
          <w:bCs/>
          <w:i/>
          <w:iCs/>
        </w:rPr>
        <w:t>expected</w:t>
      </w:r>
      <w:r w:rsidR="00B749A3">
        <w:rPr>
          <w:bCs/>
        </w:rPr>
        <w:t xml:space="preserve"> payoff, </w:t>
      </w:r>
      <m:oMath>
        <m:acc>
          <m:accPr>
            <m:chr m:val="̅"/>
            <m:ctrlPr>
              <w:rPr>
                <w:rFonts w:ascii="Cambria Math" w:hAnsi="Cambria Math"/>
                <w:bCs/>
                <w:i/>
              </w:rPr>
            </m:ctrlPr>
          </m:accPr>
          <m:e>
            <m:r>
              <m:rPr>
                <m:sty m:val="bi"/>
              </m:rPr>
              <w:rPr>
                <w:rFonts w:ascii="Cambria Math" w:hAnsi="Cambria Math"/>
              </w:rPr>
              <m:t>P</m:t>
            </m:r>
          </m:e>
        </m:acc>
      </m:oMath>
      <w:r w:rsidR="00B749A3">
        <w:rPr>
          <w:bCs/>
        </w:rPr>
        <w:t xml:space="preserve">, in this equation we use the </w:t>
      </w:r>
      <w:r w:rsidR="00B749A3">
        <w:rPr>
          <w:bCs/>
          <w:i/>
          <w:iCs/>
        </w:rPr>
        <w:t>expected</w:t>
      </w:r>
      <w:r w:rsidR="00B749A3">
        <w:rPr>
          <w:bCs/>
        </w:rPr>
        <w:t xml:space="preserve"> computer bid</w:t>
      </w:r>
      <w:r w:rsidR="00144C8F">
        <w:rPr>
          <w:bCs/>
        </w:rPr>
        <w:t xml:space="preserve"> (</w:t>
      </w:r>
      <m:oMath>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B</m:t>
                </m:r>
              </m:e>
            </m:acc>
          </m:e>
          <m:sub>
            <m:r>
              <m:rPr>
                <m:sty m:val="bi"/>
              </m:rPr>
              <w:rPr>
                <w:rFonts w:ascii="Cambria Math" w:hAnsi="Cambria Math"/>
              </w:rPr>
              <m:t>computer</m:t>
            </m:r>
          </m:sub>
        </m:sSub>
      </m:oMath>
      <w:r w:rsidR="00144C8F">
        <w:rPr>
          <w:bCs/>
        </w:rPr>
        <w:t>)</w:t>
      </w:r>
      <w:r w:rsidR="00B749A3">
        <w:rPr>
          <w:bCs/>
        </w:rPr>
        <w:t>.</w:t>
      </w:r>
      <w:r>
        <w:rPr>
          <w:bCs/>
        </w:rPr>
        <w:t xml:space="preserve"> Th</w:t>
      </w:r>
      <w:r w:rsidR="00B749A3">
        <w:rPr>
          <w:bCs/>
        </w:rPr>
        <w:t>is</w:t>
      </w:r>
      <w:r>
        <w:rPr>
          <w:bCs/>
        </w:rPr>
        <w:t xml:space="preserve"> expected payoff is then equal to the expected magnitude of the payoff to be won multiplied by a probability,</w:t>
      </w:r>
      <w:r w:rsidR="0035469A">
        <w:rPr>
          <w:b/>
        </w:rPr>
        <w:t xml:space="preserve"> </w:t>
      </w:r>
      <m:oMath>
        <m:sSub>
          <m:sSubPr>
            <m:ctrlPr>
              <w:rPr>
                <w:rFonts w:ascii="Cambria Math" w:hAnsi="Cambria Math"/>
                <w:b/>
                <w:i/>
              </w:rPr>
            </m:ctrlPr>
          </m:sSubPr>
          <m:e>
            <m:r>
              <m:rPr>
                <m:sty m:val="bi"/>
              </m:rPr>
              <w:rPr>
                <w:rFonts w:ascii="Cambria Math" w:hAnsi="Cambria Math"/>
              </w:rPr>
              <m:t>p</m:t>
            </m:r>
          </m:e>
          <m:sub>
            <m:r>
              <m:rPr>
                <m:sty m:val="bi"/>
              </m:rPr>
              <w:rPr>
                <w:rFonts w:ascii="Cambria Math" w:hAnsi="Cambria Math"/>
              </w:rPr>
              <m:t>win</m:t>
            </m:r>
          </m:sub>
        </m:sSub>
      </m:oMath>
      <w:r>
        <w:rPr>
          <w:bCs/>
        </w:rPr>
        <w:t xml:space="preserve">. </w:t>
      </w:r>
    </w:p>
    <w:p w14:paraId="13EE66D4" w14:textId="3BEB82BF" w:rsidR="000F7B29" w:rsidRDefault="000F7B29" w:rsidP="005D79EA">
      <w:pPr>
        <w:rPr>
          <w:bCs/>
        </w:rPr>
      </w:pPr>
    </w:p>
    <w:p w14:paraId="1FF17301" w14:textId="30275E13" w:rsidR="0047557E" w:rsidRDefault="000F7B29" w:rsidP="005D79EA">
      <w:pPr>
        <w:rPr>
          <w:bCs/>
        </w:rPr>
      </w:pPr>
      <w:r>
        <w:rPr>
          <w:bCs/>
        </w:rPr>
        <w:t xml:space="preserve">When the computer bid is drawn from a uniform distribution across the bidding range, </w:t>
      </w:r>
      <w:r w:rsidR="00A62589">
        <w:rPr>
          <w:bCs/>
        </w:rPr>
        <w:t>this chance</w:t>
      </w:r>
      <w:r>
        <w:rPr>
          <w:bCs/>
        </w:rPr>
        <w:t xml:space="preserve"> of winning is equal to the percentage of maximum</w:t>
      </w:r>
      <w:r w:rsidR="00D145AB">
        <w:rPr>
          <w:bCs/>
        </w:rPr>
        <w:t xml:space="preserve"> possible bid</w:t>
      </w:r>
      <w:r>
        <w:rPr>
          <w:bCs/>
        </w:rPr>
        <w:t xml:space="preserve"> that the subject bids, and the expected payment is exactly equal to half </w:t>
      </w:r>
      <w:r w:rsidR="00D145AB">
        <w:rPr>
          <w:bCs/>
        </w:rPr>
        <w:t>of the</w:t>
      </w:r>
      <w:r>
        <w:rPr>
          <w:bCs/>
        </w:rPr>
        <w:t xml:space="preserve"> subjects bid</w:t>
      </w:r>
      <w:r>
        <w:rPr>
          <w:rStyle w:val="FootnoteReference"/>
          <w:bCs/>
        </w:rPr>
        <w:footnoteReference w:id="11"/>
      </w:r>
      <w:r w:rsidR="005179E3">
        <w:rPr>
          <w:bCs/>
        </w:rPr>
        <w:t>.</w:t>
      </w:r>
      <w:r w:rsidR="00691B1C">
        <w:rPr>
          <w:bCs/>
        </w:rPr>
        <w:t xml:space="preserve"> </w:t>
      </w:r>
      <w:r w:rsidR="0027705F">
        <w:rPr>
          <w:bCs/>
        </w:rPr>
        <w:t xml:space="preserve">For any rational bidder who seeks to maximise the payoff for any trial, the greatest possible expected payoff occurs when the good, </w:t>
      </w:r>
      <w:r w:rsidR="0027705F">
        <w:rPr>
          <w:b/>
        </w:rPr>
        <w:t xml:space="preserve">G, </w:t>
      </w:r>
      <w:r w:rsidR="0027705F">
        <w:rPr>
          <w:bCs/>
        </w:rPr>
        <w:t xml:space="preserve">being auctioned has a utility </w:t>
      </w:r>
      <w:r w:rsidR="0027705F">
        <w:rPr>
          <w:bCs/>
          <w:i/>
          <w:iCs/>
        </w:rPr>
        <w:t>U</w:t>
      </w:r>
      <w:r w:rsidR="0027705F">
        <w:rPr>
          <w:bCs/>
        </w:rPr>
        <w:t>(</w:t>
      </w:r>
      <w:r w:rsidR="0027705F">
        <w:rPr>
          <w:b/>
        </w:rPr>
        <w:t>G</w:t>
      </w:r>
      <w:r w:rsidR="0027705F">
        <w:rPr>
          <w:bCs/>
        </w:rPr>
        <w:t xml:space="preserve">) == </w:t>
      </w:r>
      <w:proofErr w:type="spellStart"/>
      <w:r w:rsidR="0027705F">
        <w:rPr>
          <w:b/>
        </w:rPr>
        <w:t>B</w:t>
      </w:r>
      <w:r w:rsidR="0027705F" w:rsidRPr="0027705F">
        <w:rPr>
          <w:b/>
          <w:vertAlign w:val="subscript"/>
        </w:rPr>
        <w:t>max</w:t>
      </w:r>
      <w:proofErr w:type="spellEnd"/>
      <w:r w:rsidR="0027705F" w:rsidRPr="00A9357D">
        <w:rPr>
          <w:rStyle w:val="FootnoteReference"/>
          <w:bCs/>
        </w:rPr>
        <w:footnoteReference w:id="12"/>
      </w:r>
      <w:r w:rsidR="00A9357D">
        <w:rPr>
          <w:bCs/>
        </w:rPr>
        <w:t xml:space="preserve">, and the smallest possible expected payoff occurs when the good has a utility </w:t>
      </w:r>
      <w:r w:rsidR="00A9357D">
        <w:rPr>
          <w:bCs/>
          <w:i/>
          <w:iCs/>
        </w:rPr>
        <w:t>U</w:t>
      </w:r>
      <w:r w:rsidR="00A9357D">
        <w:rPr>
          <w:bCs/>
        </w:rPr>
        <w:t>(</w:t>
      </w:r>
      <w:r w:rsidR="00A9357D">
        <w:rPr>
          <w:b/>
        </w:rPr>
        <w:t>G</w:t>
      </w:r>
      <w:r w:rsidR="00A9357D">
        <w:rPr>
          <w:bCs/>
        </w:rPr>
        <w:t>) == 0. Such a bidder therefore has an expected payoff on any trial of</w:t>
      </w:r>
    </w:p>
    <w:p w14:paraId="7150DCB6" w14:textId="46301BD7" w:rsidR="00180B1A" w:rsidRDefault="00180B1A" w:rsidP="005D79EA">
      <w:pPr>
        <w:rPr>
          <w:bCs/>
        </w:rPr>
      </w:pPr>
    </w:p>
    <w:p w14:paraId="0DD0C703" w14:textId="0BDEF653" w:rsidR="00920E5F" w:rsidRDefault="00920E5F" w:rsidP="00920E5F">
      <w:pPr>
        <w:pStyle w:val="Caption"/>
        <w:keepNext/>
      </w:pPr>
      <w:r>
        <w:t xml:space="preserve">Equation </w:t>
      </w:r>
      <w:fldSimple w:instr=" SEQ Equation \* ARABIC ">
        <w:r>
          <w:rPr>
            <w:noProof/>
          </w:rPr>
          <w:t>5</w:t>
        </w:r>
      </w:fldSimple>
    </w:p>
    <w:p w14:paraId="6A00B4B4" w14:textId="511DB850" w:rsidR="0047557E" w:rsidRPr="00351454" w:rsidRDefault="00FE142F" w:rsidP="005D79EA">
      <m:oMathPara>
        <m:oMath>
          <m:bar>
            <m:barPr>
              <m:pos m:val="top"/>
              <m:ctrlPr>
                <w:rPr>
                  <w:rFonts w:ascii="Cambria Math" w:hAnsi="Cambria Math"/>
                  <w:bCs/>
                </w:rPr>
              </m:ctrlPr>
            </m:barPr>
            <m:e>
              <m:r>
                <w:rPr>
                  <w:rFonts w:ascii="Cambria Math" w:hAnsi="Cambria Math"/>
                </w:rPr>
                <m:t>P</m:t>
              </m:r>
            </m:e>
          </m:ba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G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m:t>
                  </m:r>
                </m:e>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G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0</m:t>
                  </m:r>
                </m:e>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otherwise</m:t>
                  </m:r>
                </m:e>
              </m:eqArr>
            </m:e>
          </m:d>
        </m:oMath>
      </m:oMathPara>
    </w:p>
    <w:p w14:paraId="4F19EEE8" w14:textId="77777777" w:rsidR="00351454" w:rsidRDefault="00351454" w:rsidP="005D79EA">
      <w:pPr>
        <w:rPr>
          <w:bCs/>
        </w:rPr>
      </w:pPr>
    </w:p>
    <w:p w14:paraId="0BC55558" w14:textId="6702BF26" w:rsidR="00F835AC" w:rsidRDefault="00F835AC" w:rsidP="00F835AC">
      <w:pPr>
        <w:rPr>
          <w:bCs/>
        </w:rPr>
      </w:pPr>
      <w:r>
        <w:rPr>
          <w:bCs/>
        </w:rPr>
        <w:lastRenderedPageBreak/>
        <w:t>The derivation for th</w:t>
      </w:r>
      <w:r w:rsidR="000E0724">
        <w:rPr>
          <w:bCs/>
        </w:rPr>
        <w:t>ese</w:t>
      </w:r>
      <w:r>
        <w:rPr>
          <w:bCs/>
        </w:rPr>
        <w:t xml:space="preserve"> formula</w:t>
      </w:r>
      <w:r w:rsidR="000E0724">
        <w:rPr>
          <w:bCs/>
        </w:rPr>
        <w:t>e</w:t>
      </w:r>
      <w:r>
        <w:rPr>
          <w:bCs/>
        </w:rPr>
        <w:t xml:space="preserve"> can be found in Appendix </w:t>
      </w:r>
      <w:r w:rsidR="00A90410">
        <w:rPr>
          <w:bCs/>
        </w:rPr>
        <w:t>3</w:t>
      </w:r>
      <w:r>
        <w:rPr>
          <w:bCs/>
        </w:rPr>
        <w:t>.</w:t>
      </w:r>
    </w:p>
    <w:p w14:paraId="68621902" w14:textId="77777777" w:rsidR="00F835AC" w:rsidRDefault="00F835AC" w:rsidP="00F835AC">
      <w:pPr>
        <w:rPr>
          <w:bCs/>
        </w:rPr>
      </w:pPr>
    </w:p>
    <w:p w14:paraId="034BF066" w14:textId="7263116B" w:rsidR="00EB5EFF" w:rsidRDefault="00991231" w:rsidP="005D79EA">
      <w:pPr>
        <w:rPr>
          <w:bCs/>
        </w:rPr>
      </w:pPr>
      <w:r>
        <w:rPr>
          <w:bCs/>
        </w:rPr>
        <w:t xml:space="preserve">For an unvalued good, any participant on a BDM trial can simply bid the minimum possible amount to keep the budget and maximise their earnings. </w:t>
      </w:r>
      <w:r w:rsidR="001D7B50">
        <w:rPr>
          <w:bCs/>
        </w:rPr>
        <w:t>If the same bidder</w:t>
      </w:r>
      <w:r>
        <w:rPr>
          <w:bCs/>
        </w:rPr>
        <w:t xml:space="preserve"> later face</w:t>
      </w:r>
      <w:r w:rsidR="001D7B50">
        <w:rPr>
          <w:bCs/>
        </w:rPr>
        <w:t>s</w:t>
      </w:r>
      <w:r>
        <w:rPr>
          <w:bCs/>
        </w:rPr>
        <w:t xml:space="preserve"> the best possible trial (for a good which is valued at the maximum possible bid) they can expect to make a profit of one and a half times the bidding range. </w:t>
      </w:r>
      <w:r w:rsidR="00EB5EFF">
        <w:rPr>
          <w:bCs/>
        </w:rPr>
        <w:t xml:space="preserve">Therefore, any hyper-rational participant in the BDM task knows that </w:t>
      </w:r>
      <w:r w:rsidR="00DA3F0C">
        <w:rPr>
          <w:bCs/>
        </w:rPr>
        <w:t>before</w:t>
      </w:r>
      <w:r w:rsidR="00EB5EFF">
        <w:rPr>
          <w:bCs/>
        </w:rPr>
        <w:t xml:space="preserve"> any trial the maximum possible amount that their expected payoff can change is by half the bidding range- a relatively small incentive given the attention and cognition demanded by the BDM paradigm.</w:t>
      </w:r>
    </w:p>
    <w:p w14:paraId="64BE41D6" w14:textId="6FF89F4F" w:rsidR="00303B81" w:rsidRDefault="00303B81" w:rsidP="005D79EA">
      <w:pPr>
        <w:rPr>
          <w:bCs/>
        </w:rPr>
      </w:pPr>
    </w:p>
    <w:p w14:paraId="3004812D" w14:textId="17B5C1A8" w:rsidR="0093620A" w:rsidRDefault="0093620A" w:rsidP="005D79EA">
      <w:pPr>
        <w:rPr>
          <w:bCs/>
        </w:rPr>
      </w:pPr>
      <w:r>
        <w:rPr>
          <w:bCs/>
        </w:rPr>
        <w:t xml:space="preserve">This payoff gradient can also be expressed in an inverse manner as the expected ‘cost of misbehaviour’ for a participant deviating from an optimal bid on a BDM trial. As a comparison to Figure 3, the cost of misbehaviour of a bid, given the utility of a good and the same distributions of computer bids, is shown in Figure 4. On the BDM task the expected cost of misbehaviour is obviously zero when a participant bids exactly their internal utility of a good (red circles) and rises as the bid deviates from this point. </w:t>
      </w:r>
    </w:p>
    <w:p w14:paraId="32D3151C" w14:textId="66DDAD29" w:rsidR="00EA090B" w:rsidRDefault="00EA090B" w:rsidP="005D79EA">
      <w:pPr>
        <w:rPr>
          <w:bCs/>
        </w:rPr>
      </w:pPr>
    </w:p>
    <w:p w14:paraId="45B689EB" w14:textId="78C70799" w:rsidR="00463DAE" w:rsidRDefault="00EA090B" w:rsidP="005D79EA">
      <w:pPr>
        <w:rPr>
          <w:bCs/>
        </w:rPr>
      </w:pPr>
      <w:r>
        <w:rPr>
          <w:bCs/>
        </w:rPr>
        <w:t xml:space="preserve">As Figure 4 points out, only under very poor bidding does this cost of misbehaviour rise to a significant proportion of </w:t>
      </w:r>
      <w:r w:rsidR="0074204C">
        <w:rPr>
          <w:bCs/>
        </w:rPr>
        <w:t xml:space="preserve">initial endowment of 10 utils. Thus, the reinforcing regret signal a monkey might receive when overpaying for a good, or missing out on a potential profit, is weak. </w:t>
      </w:r>
      <w:r w:rsidR="005C1A9F">
        <w:rPr>
          <w:bCs/>
        </w:rPr>
        <w:t>There are two implications of this. Firstly, when learning to perform the BDM, monkeys require intensive training to become reinforced on the optimal strategy</w:t>
      </w:r>
      <w:r w:rsidR="006D0E54">
        <w:rPr>
          <w:bCs/>
        </w:rPr>
        <w:t xml:space="preserve">. Secondly, </w:t>
      </w:r>
      <w:r w:rsidR="005C1A9F">
        <w:rPr>
          <w:bCs/>
        </w:rPr>
        <w:t xml:space="preserve">that even once trained we might expect both human and non-human bids </w:t>
      </w:r>
      <w:r w:rsidR="00463DAE">
        <w:rPr>
          <w:bCs/>
        </w:rPr>
        <w:t>contain a degree of stochasticity around a true utility for any good.</w:t>
      </w:r>
    </w:p>
    <w:p w14:paraId="067B6562" w14:textId="46ED0A30" w:rsidR="00463DAE" w:rsidRDefault="00463DAE" w:rsidP="005D79EA">
      <w:pPr>
        <w:rPr>
          <w:bCs/>
        </w:rPr>
      </w:pPr>
    </w:p>
    <w:p w14:paraId="15CE793F" w14:textId="4226DC56" w:rsidR="00A41307" w:rsidRDefault="00463DAE" w:rsidP="005D79EA">
      <w:pPr>
        <w:rPr>
          <w:bCs/>
        </w:rPr>
      </w:pPr>
      <w:r>
        <w:rPr>
          <w:bCs/>
        </w:rPr>
        <w:t>As the expected</w:t>
      </w:r>
      <w:r w:rsidR="00A41307">
        <w:rPr>
          <w:bCs/>
        </w:rPr>
        <w:t xml:space="preserve"> payoff and the expected</w:t>
      </w:r>
      <w:r>
        <w:rPr>
          <w:bCs/>
        </w:rPr>
        <w:t xml:space="preserve"> cost of misbehaviour in the BDM task depends upon the computer bid faced by a participant, the selection of an appropriate distribution of opposing bids is </w:t>
      </w:r>
      <w:r w:rsidR="001445B1">
        <w:rPr>
          <w:bCs/>
        </w:rPr>
        <w:t>important. Figure</w:t>
      </w:r>
      <w:r w:rsidR="000F7E14">
        <w:rPr>
          <w:bCs/>
        </w:rPr>
        <w:t>s</w:t>
      </w:r>
      <w:r w:rsidR="001445B1">
        <w:rPr>
          <w:bCs/>
        </w:rPr>
        <w:t xml:space="preserve"> 5</w:t>
      </w:r>
      <w:r w:rsidR="000F7E14">
        <w:rPr>
          <w:bCs/>
        </w:rPr>
        <w:t>a and 5b</w:t>
      </w:r>
      <w:r w:rsidR="001445B1">
        <w:rPr>
          <w:bCs/>
        </w:rPr>
        <w:t xml:space="preserve"> show the expected payoff and cost of misbehaviour for a distribution of possible participant and computer bids for a good of a chosen value (6.25 utils)</w:t>
      </w:r>
      <w:r w:rsidR="000F7E14">
        <w:rPr>
          <w:bCs/>
        </w:rPr>
        <w:t xml:space="preserve">, showing how the shape of these functions are dependent upon the distribution of computer bids. </w:t>
      </w:r>
      <w:r w:rsidR="00A41307">
        <w:rPr>
          <w:bCs/>
        </w:rPr>
        <w:t>Distributions of computer bid which follow a normal distribution with a mean either at the midpoint of the budget (‘normal’, sky blue) or the utility of a good (‘matched normal’, green), have a sharper cost of misbehaviour as the participant deviates slightly from their optimal bid, though the ‘uniform’ distribution of computer bids (purple) has a greater cost of misbehaviour at extreme outlier bids.</w:t>
      </w:r>
    </w:p>
    <w:p w14:paraId="12C18182" w14:textId="77777777" w:rsidR="00A41307" w:rsidRDefault="00A41307" w:rsidP="005D79EA">
      <w:pPr>
        <w:rPr>
          <w:bCs/>
        </w:rPr>
      </w:pPr>
    </w:p>
    <w:p w14:paraId="20796F2C" w14:textId="3B95EDA6" w:rsidR="002875C7" w:rsidRDefault="00A84C92">
      <w:r>
        <w:rPr>
          <w:bCs/>
        </w:rPr>
        <w:t xml:space="preserve">As this difference in cost of misbehaviour is slight between these the uniform and normal distributions of computer bid, we decided to use a uniform distribution of computer bids as it provides a greater expected payoff to incentivise the primate per trial, and also for ease of interpreting our neuronal data. A greater behavioural interrogation of the effect of different distributions of computer bid on the bidding behaviour of both human and non-human participants would be an interesting avenue of potential research, though from the literature of human economic studies it’s seems to have </w:t>
      </w:r>
      <w:r w:rsidR="004B024C">
        <w:rPr>
          <w:bCs/>
        </w:rPr>
        <w:t>little to no</w:t>
      </w:r>
      <w:r>
        <w:rPr>
          <w:bCs/>
        </w:rPr>
        <w:t xml:space="preserve"> effect </w:t>
      </w:r>
      <w:r>
        <w:rPr>
          <w:bCs/>
        </w:rPr>
        <w:fldChar w:fldCharType="begin" w:fldLock="1"/>
      </w:r>
      <w:r w:rsidR="00BE4911">
        <w:rPr>
          <w:bCs/>
        </w:rPr>
        <w:instrText>ADDIN CSL_CITATION {"citationItems":[{"id":"ITEM-1","itemData":{"DOI":"10.1111/j.1465-7295.1998.tb01713.x","ISSN":"00952583","abstract":"This paper reports on three laboratory experiments designed to investigate the roles of decision costs and rewards on the accuracy of economic decisions. The experimental vehicle is a purchase decision employing the Becker-DeGroot-Marshak (BDM) mechanism. The first experiment verifies the incentive-compatibility of the BDM in a pure induced-value setting; the second tests its performance under different information regimes and payoff schedules ; the third addresses the role of feedback information. Steep payoff schedules are found to be necessary to optimizing behavior only in cases where subjects must search out an optimal strategy rather than being able to deduce it from information provided. (JEL C91, D83).","author":[{"dropping-particle":"","family":"Irwin","given":"Julie R.","non-dropping-particle":"","parse-names":false,"suffix":""},{"dropping-particle":"","family":"McClelland","given":"Gary H.","non-dropping-particle":"","parse-names":false,"suffix":""},{"dropping-particle":"","family":"McKee","given":"Michael","non-dropping-particle":"","parse-names":false,"suffix":""},{"dropping-particle":"","family":"Schulze","given":"William D.","non-dropping-particle":"","parse-names":false,"suffix":""},{"dropping-particle":"","family":"Norden","given":"N. Elizabeth","non-dropping-particle":"","parse-names":false,"suffix":""}],"container-title":"Economic Inquiry","id":"ITEM-1","issue":"2","issued":{"date-parts":[["1998"]]},"page":"272-285","title":"Payoff dominance vs. cognitive transparency in decision making","type":"article-journal","volume":"36"},"uris":["http://www.mendeley.com/documents/?uuid=001557c5-860c-459d-b8df-d9c1e9c62e64"]}],"mendeley":{"formattedCitation":"(Irwin et al., 1998)","plainTextFormattedCitation":"(Irwin et al., 1998)","previouslyFormattedCitation":"(Irwin et al., 1998)"},"properties":{"noteIndex":0},"schema":"https://github.com/citation-style-language/schema/raw/master/csl-citation.json"}</w:instrText>
      </w:r>
      <w:r>
        <w:rPr>
          <w:bCs/>
        </w:rPr>
        <w:fldChar w:fldCharType="separate"/>
      </w:r>
      <w:r w:rsidRPr="00A84C92">
        <w:rPr>
          <w:bCs/>
          <w:noProof/>
        </w:rPr>
        <w:t>(Irwin et al., 1998)</w:t>
      </w:r>
      <w:r>
        <w:rPr>
          <w:bCs/>
        </w:rPr>
        <w:fldChar w:fldCharType="end"/>
      </w:r>
      <w:r>
        <w:rPr>
          <w:bCs/>
        </w:rPr>
        <w:t>.</w:t>
      </w:r>
    </w:p>
    <w:p w14:paraId="122F831A" w14:textId="3CDA43BE" w:rsidR="00E77EEB" w:rsidRDefault="00E77EEB">
      <w:pPr>
        <w:rPr>
          <w:b/>
          <w:bCs/>
          <w:u w:val="single"/>
        </w:rPr>
      </w:pPr>
    </w:p>
    <w:p w14:paraId="1C65A18C" w14:textId="6A407187" w:rsidR="00EF60B5" w:rsidRDefault="00CE7E47">
      <w:pPr>
        <w:rPr>
          <w:b/>
          <w:bCs/>
          <w:u w:val="single"/>
        </w:rPr>
      </w:pPr>
      <w:r>
        <w:rPr>
          <w:b/>
          <w:bCs/>
          <w:u w:val="single"/>
        </w:rPr>
        <w:t>The BDM as a neuroscientific task</w:t>
      </w:r>
    </w:p>
    <w:p w14:paraId="455025B4" w14:textId="2EC3462E" w:rsidR="00DA3239" w:rsidRDefault="00DA3239">
      <w:pPr>
        <w:rPr>
          <w:b/>
          <w:bCs/>
          <w:u w:val="single"/>
        </w:rPr>
      </w:pPr>
    </w:p>
    <w:p w14:paraId="146819BF" w14:textId="50359849" w:rsidR="00DA3239" w:rsidRPr="00DA3239" w:rsidRDefault="00DA3239">
      <w:r>
        <w:t xml:space="preserve">For the most part, research into the BDM has been undertaken in an economic context, to </w:t>
      </w:r>
      <w:r w:rsidR="00E93067">
        <w:t>access a</w:t>
      </w:r>
      <w:r>
        <w:t xml:space="preserve"> </w:t>
      </w:r>
      <w:r w:rsidR="0017319F">
        <w:t xml:space="preserve">human’s </w:t>
      </w:r>
      <w:r w:rsidR="00E93067">
        <w:t xml:space="preserve">utility function, e.g. to study </w:t>
      </w:r>
      <w:r w:rsidR="0017319F">
        <w:t xml:space="preserve">preference for risk </w:t>
      </w:r>
      <w:r w:rsidR="0017319F">
        <w:fldChar w:fldCharType="begin" w:fldLock="1"/>
      </w:r>
      <w:r w:rsidR="00E93067">
        <w:instrText>ADDIN CSL_CITATION {"citationItems":[{"id":"ITEM-1","itemData":{"DOI":"10.1007/BF00056371","ISSN":"08955646","abstract":"The Becker-DeGroot-Marschak mechanism is widely used to elicit decision makers' selling prices of lotteries. This mechanism leads, however, to the preference reversal phenomenon, which seemed to indicate nontransitive preferences. To solve this puzzle, Karni and Safra (1987) introduced a new interpretation of this mechanism based on two-stage lotteries without the independence axiom. In this article, we suggest a set of empirically testable hypotheses based on their interpretation of the mechanism. One of these tests can be used to find the utility and the probability transformation functions of an anticipated utility maximizer. © 1990 Kluwer Academic Publishers.","author":[{"dropping-particle":"","family":"Safra","given":"Zvi","non-dropping-particle":"","parse-names":false,"suffix":""},{"dropping-particle":"","family":"Segal","given":"Uzi","non-dropping-particle":"","parse-names":false,"suffix":""},{"dropping-particle":"","family":"Spivak","given":"Avia","non-dropping-particle":"","parse-names":false,"suffix":""}],"container-title":"Journal of Risk and Uncertainty","id":"ITEM-1","issue":"2","issued":{"date-parts":[["1990"]]},"page":"177-190","title":"The Becker-DeGroot-Marschak mechanism and nonexpected utility: A testable approach","type":"article-journal","volume":"3"},"uris":["http://www.mendeley.com/documents/?uuid=4caf11e8-4724-4107-9714-97bf7b108e97"]}],"mendeley":{"formattedCitation":"(Safra et al., 1990)","plainTextFormattedCitation":"(Safra et al., 1990)","previouslyFormattedCitation":"(Safra et al., 1990)"},"properties":{"noteIndex":0},"schema":"https://github.com/citation-style-language/schema/raw/master/csl-citation.json"}</w:instrText>
      </w:r>
      <w:r w:rsidR="0017319F">
        <w:fldChar w:fldCharType="separate"/>
      </w:r>
      <w:r w:rsidR="0017319F" w:rsidRPr="0017319F">
        <w:rPr>
          <w:noProof/>
        </w:rPr>
        <w:t>(Safra et al., 1990)</w:t>
      </w:r>
      <w:r w:rsidR="0017319F">
        <w:fldChar w:fldCharType="end"/>
      </w:r>
      <w:r w:rsidR="00E93067">
        <w:t>, or</w:t>
      </w:r>
      <w:r w:rsidR="00E87DF4">
        <w:t xml:space="preserve"> in marketing to</w:t>
      </w:r>
      <w:r w:rsidR="00E93067">
        <w:t xml:space="preserve"> </w:t>
      </w:r>
      <w:r w:rsidR="00E87DF4">
        <w:t xml:space="preserve">elicit usable prices for goods to be later sold </w:t>
      </w:r>
      <w:r w:rsidR="00E87DF4">
        <w:fldChar w:fldCharType="begin" w:fldLock="1"/>
      </w:r>
      <w:r w:rsidR="001A2549">
        <w:instrText xml:space="preserve">ADDIN CSL_CITATION {"citationItems":[{"id":"ITEM-1","itemData":{"author":[{"dropping-particle":"","family":"Bohm","given":"Peter;","non-dropping-particle":"","parse-names":false,"suffix":""},{"dropping-particle":"","family":"Linden","given":"Johan;","non-dropping-particle":"","parse-names":false,"suffix":""},{"dropping-particle":"","family":"Sonnegaard","given":"Joakim","non-dropping-particle":"","parse-names":false,"suffix":""}],"container-title":"The Economic Journal","id":"ITEM-1","issued":{"date-parts":[["1997"]]},"page":"1079-1089","title":"ELICITING RESERVATION PRICES: BECKER–DeGROOT–MARSCHAK MECHANISMS </w:instrText>
      </w:r>
      <w:r w:rsidR="001A2549">
        <w:rPr>
          <w:rFonts w:cs="Times New Roman"/>
        </w:rPr>
        <w:instrText></w:instrText>
      </w:r>
      <w:r w:rsidR="001A2549">
        <w:instrText>s. MARKETS","type":"article-journal","volume":"107"},"uris":["http://www.mendeley.com/documents/?uuid=cf620ab9-b14d-4d1e-8520-682bd555e415"]}],"mendeley":{"formattedCitation":"(Bohm et al., 1997)","plainTextFormattedCitation":"(Bohm et al., 1997)","previouslyFormattedCitation":"(Bohm et al., 1997)"},"properties":{"noteIndex":0},"schema":"https://github.com/citation-style-language/schema/raw/master/csl-citation.json"}</w:instrText>
      </w:r>
      <w:r w:rsidR="00E87DF4">
        <w:fldChar w:fldCharType="separate"/>
      </w:r>
      <w:r w:rsidR="00E87DF4" w:rsidRPr="00E87DF4">
        <w:rPr>
          <w:noProof/>
        </w:rPr>
        <w:t>(Bohm et al., 1997)</w:t>
      </w:r>
      <w:r w:rsidR="00E87DF4">
        <w:fldChar w:fldCharType="end"/>
      </w:r>
      <w:r w:rsidR="00E87DF4">
        <w:t>.</w:t>
      </w:r>
      <w:r w:rsidR="00655706">
        <w:t xml:space="preserve"> We conclude this chapter discussing recent papers studying the neural basis of decision making which have </w:t>
      </w:r>
      <w:r w:rsidR="00655706">
        <w:lastRenderedPageBreak/>
        <w:t>employed the paradigm.</w:t>
      </w:r>
    </w:p>
    <w:p w14:paraId="320B50DF" w14:textId="772A5872" w:rsidR="00DC339C" w:rsidRDefault="00DC339C">
      <w:pPr>
        <w:rPr>
          <w:b/>
          <w:bCs/>
          <w:u w:val="single"/>
        </w:rPr>
      </w:pPr>
    </w:p>
    <w:p w14:paraId="56D10D9C" w14:textId="4507BDAA" w:rsidR="00353883" w:rsidRDefault="00BE4911">
      <w:r>
        <w:t>The</w:t>
      </w:r>
      <w:r w:rsidR="001447FC">
        <w:t xml:space="preserve"> BDM is especially suited to neuroscientific research where</w:t>
      </w:r>
      <w:r>
        <w:t xml:space="preserve"> signals of interest change on a moment-to-moment basis as participants make individual choices. For example </w:t>
      </w:r>
      <w:r>
        <w:fldChar w:fldCharType="begin" w:fldLock="1"/>
      </w:r>
      <w:r w:rsidR="00B3153F">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2007","plainTextFormattedCitation":"(Grether et al., 2007)","previouslyFormattedCitation":"(Grether et al., 2007)"},"properties":{"noteIndex":0},"schema":"https://github.com/citation-style-language/schema/raw/master/csl-citation.json"}</w:instrText>
      </w:r>
      <w:r>
        <w:fldChar w:fldCharType="separate"/>
      </w:r>
      <w:r w:rsidRPr="00BE4911">
        <w:rPr>
          <w:noProof/>
        </w:rPr>
        <w:t>Grether et al., 2007</w:t>
      </w:r>
      <w:r>
        <w:fldChar w:fldCharType="end"/>
      </w:r>
      <w:r>
        <w:t xml:space="preserve"> use the BDM in a functional</w:t>
      </w:r>
      <w:r w:rsidR="00634D66">
        <w:t xml:space="preserve"> magnetic resonance</w:t>
      </w:r>
      <w:r>
        <w:t xml:space="preserve"> imaging</w:t>
      </w:r>
      <w:r w:rsidR="00634D66">
        <w:t xml:space="preserve"> (fMRI)</w:t>
      </w:r>
      <w:r>
        <w:t xml:space="preserve"> study of humans performing sequential BDM auctions to study the changes in blood-oxygen-level-dependent </w:t>
      </w:r>
      <w:r w:rsidR="001E3F21">
        <w:t xml:space="preserve">(BOLD) </w:t>
      </w:r>
      <w:r>
        <w:t>signal across the brain</w:t>
      </w:r>
      <w:r w:rsidR="00BB2B90">
        <w:t xml:space="preserve"> as subjects </w:t>
      </w:r>
      <w:r w:rsidR="00655706">
        <w:t xml:space="preserve">learn the best task strategy and </w:t>
      </w:r>
      <w:r w:rsidR="00BB2B90">
        <w:t xml:space="preserve">converge towards an </w:t>
      </w:r>
      <w:r w:rsidR="00636A62">
        <w:t>(</w:t>
      </w:r>
      <w:r w:rsidR="008F78D2">
        <w:t>‘</w:t>
      </w:r>
      <w:r w:rsidR="00636A62">
        <w:t xml:space="preserve">Nash </w:t>
      </w:r>
      <w:r w:rsidR="00BB2B90">
        <w:t>equilibrium</w:t>
      </w:r>
      <w:r w:rsidR="008F78D2">
        <w:t>’</w:t>
      </w:r>
      <w:r w:rsidR="00636A62">
        <w:t>)</w:t>
      </w:r>
      <w:r w:rsidR="00BB2B90">
        <w:t xml:space="preserve"> optimal bid.</w:t>
      </w:r>
    </w:p>
    <w:p w14:paraId="5DDAD009" w14:textId="2E6BD9F7" w:rsidR="005C6ABF" w:rsidRDefault="005C6ABF"/>
    <w:p w14:paraId="3E4BF7B4" w14:textId="44C1C2DA" w:rsidR="00BB2B90" w:rsidRDefault="005C6ABF">
      <w:r>
        <w:t xml:space="preserve">Though this study reports only tentative changes in BOLD activation of brain areas between the ‘learning’ and ‘equilibrium’ phase of the experiment, it shows us </w:t>
      </w:r>
      <w:r w:rsidR="009F18B6">
        <w:t xml:space="preserve">three distinct </w:t>
      </w:r>
      <w:r w:rsidR="00D87E59">
        <w:t xml:space="preserve">behavioural </w:t>
      </w:r>
      <w:r w:rsidR="009F18B6">
        <w:t>reasons why we believe the BDM to be a natural paradigm for neuroscientific research:</w:t>
      </w:r>
    </w:p>
    <w:p w14:paraId="23F76FE7" w14:textId="668CAE5B" w:rsidR="009F18B6" w:rsidRDefault="009F18B6"/>
    <w:p w14:paraId="76BD8F6C" w14:textId="4FDAD7CB" w:rsidR="005E5894" w:rsidRDefault="00093E29" w:rsidP="009151B7">
      <w:pPr>
        <w:pStyle w:val="ListParagraph"/>
        <w:numPr>
          <w:ilvl w:val="0"/>
          <w:numId w:val="6"/>
        </w:numPr>
        <w:spacing w:before="240"/>
      </w:pPr>
      <w:r>
        <w:t xml:space="preserve">The BDM is a cognitively demanding task with a rich behavioural output. </w:t>
      </w:r>
      <w:r w:rsidR="005C3768">
        <w:t>For each bid, the participant is calculating both the value of the good and the probability of winning or losing the auction</w:t>
      </w:r>
      <w:r w:rsidR="008E4BF1">
        <w:t>, instead of ‘simply’ picking an option</w:t>
      </w:r>
      <w:r w:rsidR="00931644">
        <w:t>.</w:t>
      </w:r>
      <w:r w:rsidR="008E4BF1">
        <w:t xml:space="preserve"> Each small increase in a participants bid contributes to their chance of winning an auction but also their chance of overpaying for a good and so a precise calibration between risk and reward is necessary, even when the auction is for a good with a certain payout. </w:t>
      </w:r>
      <w:r w:rsidR="005E5894">
        <w:t>Compare this to the binary choice paradigm where</w:t>
      </w:r>
      <w:r w:rsidR="00DE7078">
        <w:t xml:space="preserve"> the value</w:t>
      </w:r>
      <w:r w:rsidR="005E5894">
        <w:t xml:space="preserve"> offered good</w:t>
      </w:r>
      <w:r w:rsidR="00404998">
        <w:t>s</w:t>
      </w:r>
      <w:r w:rsidR="005E5894">
        <w:t xml:space="preserve"> also m</w:t>
      </w:r>
      <w:r w:rsidR="00404998">
        <w:t>u</w:t>
      </w:r>
      <w:r w:rsidR="005E5894">
        <w:t>st be compared but may differ wildly; the</w:t>
      </w:r>
      <w:r w:rsidR="00F23F85">
        <w:t>re</w:t>
      </w:r>
      <w:r w:rsidR="005E5894">
        <w:t xml:space="preserve"> are no </w:t>
      </w:r>
      <w:r w:rsidR="00F23F85">
        <w:t>easy ‘black or white’</w:t>
      </w:r>
      <w:r w:rsidR="005E5894">
        <w:t xml:space="preserve"> choices on the BDM</w:t>
      </w:r>
      <w:r w:rsidR="00F23F85">
        <w:t xml:space="preserve">, and instead an animal must choose </w:t>
      </w:r>
      <w:r w:rsidR="00F23F85">
        <w:rPr>
          <w:i/>
          <w:iCs/>
        </w:rPr>
        <w:t>how much</w:t>
      </w:r>
      <w:r w:rsidR="00F23F85">
        <w:t xml:space="preserve"> of a budget good to invest in order to achieve a goal (winning the offered good)</w:t>
      </w:r>
      <w:r w:rsidR="005E5894">
        <w:t>.</w:t>
      </w:r>
    </w:p>
    <w:p w14:paraId="26CC8370" w14:textId="77777777" w:rsidR="005E5894" w:rsidRDefault="005E5894" w:rsidP="005E5894">
      <w:pPr>
        <w:pStyle w:val="ListParagraph"/>
        <w:spacing w:before="240"/>
      </w:pPr>
    </w:p>
    <w:p w14:paraId="3CDDC7FF" w14:textId="21A53B3D" w:rsidR="009151B7" w:rsidRDefault="00931644" w:rsidP="00AE7BEF">
      <w:pPr>
        <w:pStyle w:val="ListParagraph"/>
        <w:spacing w:before="240"/>
      </w:pPr>
      <w:r>
        <w:fldChar w:fldCharType="begin" w:fldLock="1"/>
      </w:r>
      <w:r w:rsidR="001B1A1C">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","plainTextFormattedCitation":"(Grether et al., 2007)","previouslyFormattedCitation":"(Grether et al., 2007)"},"properties":{"noteIndex":0},"schema":"https://github.com/citation-style-language/schema/raw/master/csl-citation.json"}</w:instrText>
      </w:r>
      <w:r>
        <w:fldChar w:fldCharType="separate"/>
      </w:r>
      <w:r w:rsidRPr="00931644">
        <w:rPr>
          <w:noProof/>
        </w:rPr>
        <w:t xml:space="preserve">Grether et al. </w:t>
      </w:r>
      <w:r>
        <w:fldChar w:fldCharType="end"/>
      </w:r>
      <w:r>
        <w:t>report increases in BOLD signal increases in Brodmann’s Area 10</w:t>
      </w:r>
      <w:r w:rsidR="00C96EA9">
        <w:t xml:space="preserve"> between the two phases of the experiment. Area 10 makes up a significant proportion of the </w:t>
      </w:r>
      <w:r w:rsidR="004343FA">
        <w:t>human analogue of the primate medial orbitofrontal cortex which</w:t>
      </w:r>
      <w:r w:rsidR="001B1A1C">
        <w:t xml:space="preserve"> has previously been found </w:t>
      </w:r>
      <w:r w:rsidR="003A3848">
        <w:t xml:space="preserve">to track multiple decision variables including value of the chosen good, the probability of winning the chosen good, and the cost involved with that choice </w:t>
      </w:r>
      <w:r w:rsidR="003A3848">
        <w:fldChar w:fldCharType="begin" w:fldLock="1"/>
      </w:r>
      <w:r w:rsidR="00983E9D">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2009)","plainTextFormattedCitation":"(Kennerley et al., 2009)","previouslyFormattedCitation":"(Kennerley et al., 2009)"},"properties":{"noteIndex":0},"schema":"https://github.com/citation-style-language/schema/raw/master/csl-citation.json"}</w:instrText>
      </w:r>
      <w:r w:rsidR="003A3848">
        <w:fldChar w:fldCharType="separate"/>
      </w:r>
      <w:r w:rsidR="003A3848" w:rsidRPr="003A3848">
        <w:rPr>
          <w:noProof/>
        </w:rPr>
        <w:t>(Kennerley et al., 2009)</w:t>
      </w:r>
      <w:r w:rsidR="003A3848">
        <w:fldChar w:fldCharType="end"/>
      </w:r>
      <w:r w:rsidR="003A3848">
        <w:t xml:space="preserve">. </w:t>
      </w:r>
    </w:p>
    <w:p w14:paraId="5ADE5A57" w14:textId="77777777" w:rsidR="00AE7BEF" w:rsidRDefault="00AE7BEF" w:rsidP="00AE7BEF">
      <w:pPr>
        <w:pStyle w:val="ListParagraph"/>
        <w:spacing w:before="240"/>
      </w:pPr>
    </w:p>
    <w:p w14:paraId="2EF3853B" w14:textId="0103766B" w:rsidR="009151B7" w:rsidRDefault="00B4268C" w:rsidP="0017790F">
      <w:pPr>
        <w:pStyle w:val="ListParagraph"/>
        <w:numPr>
          <w:ilvl w:val="0"/>
          <w:numId w:val="6"/>
        </w:numPr>
        <w:spacing w:before="240"/>
      </w:pPr>
      <w:r>
        <w:t>The bidding strategy per subject is clear to see even over only 8 trials</w:t>
      </w:r>
      <w:r>
        <w:rPr>
          <w:rStyle w:val="FootnoteReference"/>
        </w:rPr>
        <w:footnoteReference w:id="13"/>
      </w:r>
      <w:r w:rsidR="00233328">
        <w:t xml:space="preserve">; the mean bids of </w:t>
      </w:r>
      <w:r w:rsidR="00C22F36">
        <w:t xml:space="preserve">the majority of </w:t>
      </w:r>
      <w:r w:rsidR="00233328">
        <w:t xml:space="preserve">subjects line up with the </w:t>
      </w:r>
      <w:r w:rsidR="00E00F64">
        <w:t>known value</w:t>
      </w:r>
      <w:r w:rsidR="00233328">
        <w:t xml:space="preserve"> of the offered good</w:t>
      </w:r>
      <w:r>
        <w:t xml:space="preserve">. A binary-choice paradigm requiring the averaging of choices to find an individual’s utility function would almost certainly require </w:t>
      </w:r>
      <w:r>
        <w:rPr>
          <w:i/>
          <w:iCs/>
        </w:rPr>
        <w:t xml:space="preserve">at least </w:t>
      </w:r>
      <w:r>
        <w:t xml:space="preserve">all 32 choices to be made under the same strategy to find a useful indifference point. </w:t>
      </w:r>
      <w:r w:rsidR="005C3768">
        <w:t xml:space="preserve">Moreover, instead of using multiple trials per </w:t>
      </w:r>
      <w:r w:rsidR="00FB2B40">
        <w:t xml:space="preserve">combination of </w:t>
      </w:r>
      <w:r w:rsidR="005C3768">
        <w:t>offered good</w:t>
      </w:r>
      <w:r w:rsidR="00FB2B40">
        <w:t>s</w:t>
      </w:r>
      <w:r w:rsidR="005C3768">
        <w:t xml:space="preserve"> to calculate a precise and accurate indifference point for each</w:t>
      </w:r>
      <w:r w:rsidR="00FB2B40">
        <w:t xml:space="preserve"> in a binary choice paradigm</w:t>
      </w:r>
      <w:r w:rsidR="005C3768">
        <w:t>, an experimenter could instead test a greater range of offered good</w:t>
      </w:r>
      <w:r w:rsidR="00EE6644">
        <w:t>s</w:t>
      </w:r>
      <w:r w:rsidR="005C3768">
        <w:t xml:space="preserve"> to </w:t>
      </w:r>
      <w:r w:rsidR="00EE6644">
        <w:t xml:space="preserve">generate a richer description of how an animal/brain region/neuron calculates value over a greater </w:t>
      </w:r>
      <w:r w:rsidR="003C1911">
        <w:t>sample</w:t>
      </w:r>
      <w:r w:rsidR="00EE6644">
        <w:t xml:space="preserve"> of contexts</w:t>
      </w:r>
      <w:r w:rsidR="00EE6644">
        <w:rPr>
          <w:rStyle w:val="FootnoteReference"/>
        </w:rPr>
        <w:footnoteReference w:id="14"/>
      </w:r>
      <w:r w:rsidR="00EE6644">
        <w:t>.</w:t>
      </w:r>
      <w:r w:rsidR="00FB2B40">
        <w:t xml:space="preserve"> </w:t>
      </w:r>
    </w:p>
    <w:p w14:paraId="0C9AEFF0" w14:textId="77777777" w:rsidR="009151B7" w:rsidRDefault="009151B7" w:rsidP="009151B7">
      <w:pPr>
        <w:pStyle w:val="ListParagraph"/>
        <w:spacing w:before="240"/>
      </w:pPr>
    </w:p>
    <w:p w14:paraId="301EDCB7" w14:textId="279C5E46" w:rsidR="00983E9D" w:rsidRDefault="00B4268C" w:rsidP="00310FD6">
      <w:pPr>
        <w:pStyle w:val="ListParagraph"/>
        <w:numPr>
          <w:ilvl w:val="0"/>
          <w:numId w:val="6"/>
        </w:numPr>
        <w:spacing w:before="240"/>
      </w:pPr>
      <w:r>
        <w:lastRenderedPageBreak/>
        <w:t xml:space="preserve">The </w:t>
      </w:r>
      <w:r w:rsidRPr="00B4268C">
        <w:rPr>
          <w:i/>
          <w:iCs/>
        </w:rPr>
        <w:t>changes</w:t>
      </w:r>
      <w:r>
        <w:t xml:space="preserve"> in bidding strategy over sets of 8 trials is also plain to see as subjects learn and become familiar with the BDM. Though we might not expect NHPs which have been trained extensively on the BDM task to show such large learning-related changes in strategy, we would expect liquid-controlled animals to show changes in strategy (e.g.) as they become stated with liquid. In the introduction to this thesis we discuss Bernoulli’s formulation of utility theory around the marginal utility of money to an already-rich man. In animal experiment’s which receive the good as they bid/choose it, we might expect non-thirsty animals to ‘spend’ liquid volume to receive a ‘more expensive’ liquid taste.</w:t>
      </w:r>
      <w:r w:rsidR="00010E4D">
        <w:t xml:space="preserve"> There are myriad reasons why a participant might change their choice/bidding behaviour during an experiment, which could occur over a wide range of timescales, so being able to place each single trial within a context of observed behaviour is crucial.</w:t>
      </w:r>
      <w:r w:rsidR="00495D27">
        <w:t xml:space="preserve"> As might be expected, </w:t>
      </w:r>
      <w:r w:rsidR="00495D27">
        <w:fldChar w:fldCharType="begin" w:fldLock="1"/>
      </w:r>
      <w:r w:rsidR="003A3848">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","plainTextFormattedCitation":"(Grether et al., 2007)","previouslyFormattedCitation":"(Grether et al., 2007)"},"properties":{"noteIndex":0},"schema":"https://github.com/citation-style-language/schema/raw/master/csl-citation.json"}</w:instrText>
      </w:r>
      <w:r w:rsidR="00495D27">
        <w:fldChar w:fldCharType="separate"/>
      </w:r>
      <w:r w:rsidR="00495D27" w:rsidRPr="00495D27">
        <w:rPr>
          <w:noProof/>
        </w:rPr>
        <w:t xml:space="preserve">Grether et al. </w:t>
      </w:r>
      <w:r w:rsidR="00495D27">
        <w:fldChar w:fldCharType="end"/>
      </w:r>
      <w:r w:rsidR="00495D27">
        <w:t>found that these changes in bidding strategy were accompanied by changes in patterns of brain activity measured via the BOLD signal.</w:t>
      </w:r>
    </w:p>
    <w:p w14:paraId="3A7E425C" w14:textId="2EA4A1BB" w:rsidR="0058433B" w:rsidRDefault="00983E9D" w:rsidP="0027036B">
      <w:pPr>
        <w:spacing w:before="240"/>
      </w:pPr>
      <w:r>
        <w:t xml:space="preserve">The changes in bidding strategy under an intervention were further studied by </w:t>
      </w:r>
      <w:r>
        <w:fldChar w:fldCharType="begin" w:fldLock="1"/>
      </w:r>
      <w:r w:rsidR="001A2549">
        <w:instrText>ADDIN CSL_CITATION {"citationItems":[{"id":"ITEM-1","itemData":{"DOI":"10.1523/JNEUROSCI.2051-14.2014","ISSN":"15292401","PMID":"25505337","abstract":"Although there is a rich literature on the role of dopamine in value learning, much less is known about its role in using established value estimations to shape decision-making. Here we investigated the effect of dopaminergic modulation on value-based decision-making for food items in fasted healthy human participants. The Becker-deGroot-Marschak auction, which assesses subjective value, was examined in conjunction with pharmacological fMRI using a dopaminergic agonist and an antagonist. We found that dopamine enhanced the neural response to value in the inferior parietal gyrus/intraparietal sulcus, and that this effect predominated toward the end of the valuation process when an action was needed to record the value. Our results suggest that dopamine is involved in acting upon the decision, providing additional insight to the mechanisms underlying impaired decision-making in healthy individuals and clinical populations with reduced dopamine levels.","author":[{"dropping-particle":"","family":"Medic","given":"Nenad","non-dropping-particle":"","parse-names":false,"suffix":""},{"dropping-particle":"","family":"Ziauddeen","given":"Hisham","non-dropping-particle":"","parse-names":false,"suffix":""},{"dropping-particle":"","family":"Vestergaard","given":"Martin D.","non-dropping-particle":"","parse-names":false,"suffix":""},{"dropping-particle":"","family":"Henning","given":"Elana","non-dropping-particle":"","parse-names":false,"suffix":""},{"dropping-particle":"","family":"Schultz","given":"Wolfram","non-dropping-particle":"","parse-names":false,"suffix":""},{"dropping-particle":"","family":"Sadaf Farooqi","given":"I.","non-dropping-particle":"","parse-names":false,"suffix":""},{"dropping-particle":"","family":"Fletcher","given":"Paul C.","non-dropping-particle":"","parse-names":false,"suffix":""}],"container-title":"Journal of Neuroscience","id":"ITEM-1","issue":"50","issued":{"date-parts":[["2014"]]},"page":"16856-16864","title":"Dopamine modulates the neural representation of subjective value of food in hungry subjects","type":"article-journal","volume":"34"},"uris":["http://www.mendeley.com/documents/?uuid=e9856e95-5762-4798-89b6-b975b86d5479"]}],"mendeley":{"formattedCitation":"(Medic et al., 2014)","manualFormatting":"Medic et al., 2014","plainTextFormattedCitation":"(Medic et al., 2014)","previouslyFormattedCitation":"(Medic et al., 2014)"},"properties":{"noteIndex":0},"schema":"https://github.com/citation-style-language/schema/raw/master/csl-citation.json"}</w:instrText>
      </w:r>
      <w:r>
        <w:fldChar w:fldCharType="separate"/>
      </w:r>
      <w:r w:rsidRPr="00983E9D">
        <w:rPr>
          <w:noProof/>
        </w:rPr>
        <w:t>Medic et al., 2014</w:t>
      </w:r>
      <w:r>
        <w:fldChar w:fldCharType="end"/>
      </w:r>
      <w:r>
        <w:t xml:space="preserve">. </w:t>
      </w:r>
      <w:r w:rsidR="00E71498">
        <w:t>Forty-s</w:t>
      </w:r>
      <w:r w:rsidR="001931E1">
        <w:t>ix</w:t>
      </w:r>
      <w:r w:rsidR="00E71498">
        <w:t xml:space="preserve"> hungry human subjects in an fMRI machine were shown images of appealing foods and asked to place bids with the chance to win (and eat) the foods directly after a recording session. </w:t>
      </w:r>
      <w:r w:rsidR="001931E1">
        <w:t xml:space="preserve">These subjects were also split into groups of sixteen, each receiving either a dose of a D2 receptor antagonist </w:t>
      </w:r>
      <w:proofErr w:type="spellStart"/>
      <w:r w:rsidR="001931E1">
        <w:t>sulpiride</w:t>
      </w:r>
      <w:proofErr w:type="spellEnd"/>
      <w:r w:rsidR="001931E1">
        <w:t xml:space="preserve">, a D2 receptor agonist bromocriptine, or a placebo. Again, results from this study were </w:t>
      </w:r>
      <w:r w:rsidR="00DB04D7">
        <w:t>relatively weak, without a significant change in mean bids between condition</w:t>
      </w:r>
      <w:r w:rsidR="00DB04D7">
        <w:rPr>
          <w:rStyle w:val="FootnoteReference"/>
        </w:rPr>
        <w:footnoteReference w:id="15"/>
      </w:r>
      <w:r w:rsidR="004564DF">
        <w:t xml:space="preserve"> (frustratingly, </w:t>
      </w:r>
      <w:r w:rsidR="0027036B">
        <w:t>the intervention means results can</w:t>
      </w:r>
      <w:r w:rsidR="004564DF">
        <w:t xml:space="preserve"> only compared between treatment groups and not within single subjects)</w:t>
      </w:r>
      <w:r w:rsidR="00E11DAF">
        <w:t xml:space="preserve">, </w:t>
      </w:r>
      <w:r w:rsidR="0027036B">
        <w:t>and though the authors find increases in the BOLD signal in the ventromedial prefrontal cortex, there is no effect of the treatment on this signal</w:t>
      </w:r>
      <w:r w:rsidR="0027036B">
        <w:rPr>
          <w:rStyle w:val="FootnoteReference"/>
        </w:rPr>
        <w:footnoteReference w:id="16"/>
      </w:r>
      <w:r w:rsidR="0027036B">
        <w:t>.</w:t>
      </w:r>
    </w:p>
    <w:p w14:paraId="4B854A31" w14:textId="56C3A7FE" w:rsidR="002D2540" w:rsidRDefault="0058433B" w:rsidP="0027036B">
      <w:pPr>
        <w:spacing w:before="240"/>
      </w:pPr>
      <w:r>
        <w:t xml:space="preserve">The findings of </w:t>
      </w: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al.","plainTextFormattedCitation":"(Grether et al., 2007)","previouslyFormattedCitation":"(Grether et al., 2007)"},"properties":{"noteIndex":0},"schema":"https://github.com/citation-style-language/schema/raw/master/csl-citation.json"}</w:instrText>
      </w:r>
      <w:r>
        <w:fldChar w:fldCharType="separate"/>
      </w:r>
      <w:r w:rsidRPr="0058433B">
        <w:rPr>
          <w:noProof/>
        </w:rPr>
        <w:t>Grether et al.</w:t>
      </w:r>
      <w:r>
        <w:fldChar w:fldCharType="end"/>
      </w:r>
      <w:r>
        <w:t xml:space="preserve"> and </w:t>
      </w:r>
      <w:r>
        <w:fldChar w:fldCharType="begin" w:fldLock="1"/>
      </w:r>
      <w:r w:rsidR="001A2549">
        <w:instrText>ADDIN CSL_CITATION {"citationItems":[{"id":"ITEM-1","itemData":{"DOI":"10.1523/JNEUROSCI.2051-14.2014","ISSN":"15292401","PMID":"25505337","abstract":"Although there is a rich literature on the role of dopamine in value learning, much less is known about its role in using established value estimations to shape decision-making. Here we investigated the effect of dopaminergic modulation on value-based decision-making for food items in fasted healthy human participants. The Becker-deGroot-Marschak auction, which assesses subjective value, was examined in conjunction with pharmacological fMRI using a dopaminergic agonist and an antagonist. We found that dopamine enhanced the neural response to value in the inferior parietal gyrus/intraparietal sulcus, and that this effect predominated toward the end of the valuation process when an action was needed to record the value. Our results suggest that dopamine is involved in acting upon the decision, providing additional insight to the mechanisms underlying impaired decision-making in healthy individuals and clinical populations with reduced dopamine levels.","author":[{"dropping-particle":"","family":"Medic","given":"Nenad","non-dropping-particle":"","parse-names":false,"suffix":""},{"dropping-particle":"","family":"Ziauddeen","given":"Hisham","non-dropping-particle":"","parse-names":false,"suffix":""},{"dropping-particle":"","family":"Vestergaard","given":"Martin D.","non-dropping-particle":"","parse-names":false,"suffix":""},{"dropping-particle":"","family":"Henning","given":"Elana","non-dropping-particle":"","parse-names":false,"suffix":""},{"dropping-particle":"","family":"Schultz","given":"Wolfram","non-dropping-particle":"","parse-names":false,"suffix":""},{"dropping-particle":"","family":"Sadaf Farooqi","given":"I.","non-dropping-particle":"","parse-names":false,"suffix":""},{"dropping-particle":"","family":"Fletcher","given":"Paul C.","non-dropping-particle":"","parse-names":false,"suffix":""}],"container-title":"Journal of Neuroscience","id":"ITEM-1","issue":"50","issued":{"date-parts":[["2014"]]},"page":"16856-16864","title":"Dopamine modulates the neural representation of subjective value of food in hungry subjects","type":"article-journal","volume":"34"},"uris":["http://www.mendeley.com/documents/?uuid=e9856e95-5762-4798-89b6-b975b86d5479"]}],"mendeley":{"formattedCitation":"(Medic et al., 2014)","manualFormatting":"Medic et al., ","plainTextFormattedCitation":"(Medic et al., 2014)","previouslyFormattedCitation":"(Medic et al., 2014)"},"properties":{"noteIndex":0},"schema":"https://github.com/citation-style-language/schema/raw/master/csl-citation.json"}</w:instrText>
      </w:r>
      <w:r>
        <w:fldChar w:fldCharType="separate"/>
      </w:r>
      <w:r w:rsidRPr="0058433B">
        <w:rPr>
          <w:noProof/>
        </w:rPr>
        <w:t xml:space="preserve">Medic et al., </w:t>
      </w:r>
      <w:r>
        <w:fldChar w:fldCharType="end"/>
      </w:r>
      <w:r>
        <w:t xml:space="preserve">that humans participating in BDM auctions show BOLD activity in the prefrontal cortex has been repeated across further studies </w:t>
      </w:r>
      <w:r>
        <w:fldChar w:fldCharType="begin" w:fldLock="1"/>
      </w:r>
      <w:r w:rsidR="006E57AA">
        <w:instrText>ADDIN CSL_CITATION {"citationItems":[{"id":"ITEM-1","itemData":{"DOI":"10.1523/JNEUROSCI.2131-07.2007","ISSN":"02706474","PMID":"17855612","abstract":"An essential component of every economic transaction is a willingness-to-pay (WTP) computation in which buyers calculate the maximum amount of financial resources that they are willing to give up in exchange for the object being sold. Despite its pervasiveness, little is known about how the brain makes this computation. We investigated the neural basis of the WTP computation by scanning hungry subjects' brains using functional magnetic resonance imaging while they placed real bids for the right to eat different foods. We found that activity in the medial orbitofrontal cortex and in the dorsolateral prefrontal cortex encodes subjects' WTP for the items. Our results support the hypothesis that the medial orbitofrontal cortex encodes the value of goals in decision making. Copyright © 2007 Society for Neuroscience.","author":[{"dropping-particle":"","family":"Plassmann","given":"Hilke","non-dropping-particle":"","parse-names":false,"suffix":""},{"dropping-particle":"","family":"O'Doherty","given":"John","non-dropping-particle":"","parse-names":false,"suffix":""},{"dropping-particle":"","family":"Rangel","given":"Antonio","non-dropping-particle":"","parse-names":false,"suffix":""}],"container-title":"Journal of Neuroscience","id":"ITEM-1","issue":"37","issued":{"date-parts":[["2007"]]},"page":"9984-9988","title":"Orbitofrontal cortex encodes willingness to pay in everyday economic transactions","type":"article-journal","volume":"27"},"uris":["http://www.mendeley.com/documents/?uuid=42f30921-b7af-4640-a1cc-3388530fa748"]},{"id":"ITEM-2","itemData":{"DOI":"10.1523/JNEUROSCI.4832-08.2009","ISSN":"02706474","PMID":"19321780","abstract":"A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Neuroscience","id":"ITEM-2","issue":"12","issued":{"date-parts":[["2009"]]},"page":"3833-3842","title":"The neurobiology of reference-dependent value computation","type":"article-journal","volume":"29"},"uris":["http://www.mendeley.com/documents/?uuid=090c6baa-185d-47dc-a716-8f6a0e1de965"]},{"id":"ITEM-3","itemData":{"DOI":"10.1523/JNEUROSCI.1309-08.2008","ISSN":"02706474","PMID":"18509023","abstract":"To make sound economic decisions, the brain needs to compute several different value-related signals. These include goal values that measure the predicted reward that results from the outcome generated by each of the actions under consideration, decision values that measure the net value of taking the different actions, and prediction errors that measure deviations from individuals' previous reward expectations. We used functional magnetic resonance imaging and a novel decision-making paradigm to dissociate the neural basis of these three computations. Our results show that they are supported by different neural substrates: goal values are correlated with activity in the medial orbitofrontal cortex, decision values are correlated with activity in the central orbitofrontal cortex, and prediction errors are correlated with activity in the ventral striatum. Copyright © 2008 Society for Neuroscience.","author":[{"dropping-particle":"","family":"Hare","given":"Todd A.","non-dropping-particle":"","parse-names":false,"suffix":""},{"dropping-particle":"","family":"O'Doherty","given":"John","non-dropping-particle":"","parse-names":false,"suffix":""},{"dropping-particle":"","family":"Camerer","given":"Colin F.","non-dropping-particle":"","parse-names":false,"suffix":""},{"dropping-particle":"","family":"Schultz","given":"Wolfram","non-dropping-particle":"","parse-names":false,"suffix":""},{"dropping-particle":"","family":"Rangel","given":"Antonio","non-dropping-particle":"","parse-names":false,"suffix":""}],"container-title":"Journal of Neuroscience","id":"ITEM-3","issue":"22","issued":{"date-parts":[["2008"]]},"page":"5623-5630","title":"Dissociating the role of the orbitofrontal cortex and the striatum in the computation of goal values and prediction errors","type":"article-journal","volume":"28"},"uris":["http://www.mendeley.com/documents/?uuid=6c50fe6d-8b4d-4914-8508-dc92d0770c3b"]},{"id":"ITEM-4","itemData":{"DOI":"10.1523/JNEUROSCI.2575-09.2009","ISSN":"02706474","PMID":"19793990","abstract":"To make economic choices between goods, the brain needs to compute representations of their values. A great deal of research has been performed to determine the neural correlates of value representations in the human brain. However, it is still unknown whether there exists a region of the brain that commonly encodes decision values for different types of goods, or if, in contrast, the values of different types of goods are represented in distinct brain regions. We addressed this question by scanning subjects with functional magnetic resonance imaging while they made real purchasing decisions among different categories of goods (food, nonfood consumables, and monetary gambles). We found activity in a key brain region previously implicated in encoding goal-values: the ventromedial prefrontal cortex (vmPFC) was correlated with the subjects' value for each category of good. Moreover, we found a single area in vmPFC to be correlated with the subjects' valuations for all categories of goods. Our results provide evidence that the brain encodes a \"common currency\" that allows for a shared valuation for different categories of goods. Copyright © 2009 Society for Neuroscience.","author":[{"dropping-particle":"","family":"Chib","given":"Vikram S.","non-dropping-particle":"","parse-names":false,"suffix":""},{"dropping-particle":"","family":"Rangel","given":"Antonio","non-dropping-particle":"","parse-names":false,"suffix":""},{"dropping-particle":"","family":"Shimojo","given":"Shinsuke","non-dropping-particle":"","parse-names":false,"suffix":""},{"dropping-particle":"","family":"O'Doherty","given":"John P.","non-dropping-particle":"","parse-names":false,"suffix":""}],"container-title":"Journal of Neuroscience","id":"ITEM-4","issue":"39","issued":{"date-parts":[["2009"]]},"page":"12315-12320","title":"Evidence for a common representation of decision values for dissimilar goods in human ventromedial prefrontal cortex","type":"article-journal","volume":"29"},"uris":["http://www.mendeley.com/documents/?uuid=45b2d169-3e14-4c7a-8b75-0c75028c6201"]}],"mendeley":{"formattedCitation":"(Chib et al., 2009; De Martino et al., 2009; Hare et al., 2008; Plassmann et al., 2007)","plainTextFormattedCitation":"(Chib et al., 2009; De Martino et al., 2009; Hare et al., 2008; Plassmann et al., 2007)","previouslyFormattedCitation":"(Chib et al., 2009; De Martino et al., 2009; Hare et al., 2008; Plassmann et al., 2007)"},"properties":{"noteIndex":0},"schema":"https://github.com/citation-style-language/schema/raw/master/csl-citation.json"}</w:instrText>
      </w:r>
      <w:r>
        <w:fldChar w:fldCharType="separate"/>
      </w:r>
      <w:r w:rsidR="00C00D73" w:rsidRPr="00C00D73">
        <w:rPr>
          <w:noProof/>
        </w:rPr>
        <w:t>(Chib et al., 2009; De Martino et al., 2009; Hare et al., 2008; Plassmann et al., 2007)</w:t>
      </w:r>
      <w:r>
        <w:fldChar w:fldCharType="end"/>
      </w:r>
      <w:r>
        <w:t xml:space="preserve">. </w:t>
      </w:r>
      <w:r w:rsidR="00500DA2">
        <w:t xml:space="preserve">These findings </w:t>
      </w:r>
      <w:r w:rsidR="002D2540">
        <w:t>might</w:t>
      </w:r>
      <w:r w:rsidR="00500DA2">
        <w:t xml:space="preserve"> be of little surprise; in the </w:t>
      </w:r>
      <w:r w:rsidR="000C6100">
        <w:t>appendix 3</w:t>
      </w:r>
      <w:r w:rsidR="008906EC">
        <w:rPr>
          <w:rStyle w:val="FootnoteReference"/>
        </w:rPr>
        <w:footnoteReference w:id="17"/>
      </w:r>
      <w:r w:rsidR="000C6100">
        <w:t xml:space="preserve"> </w:t>
      </w:r>
      <w:r w:rsidR="00500DA2">
        <w:t xml:space="preserve">of this thesis we </w:t>
      </w:r>
      <w:r w:rsidR="002D2540">
        <w:t>discussed</w:t>
      </w:r>
      <w:r w:rsidR="00500DA2">
        <w:t xml:space="preserve"> at how single neurons in the orbitofrontal cortex of macaques have been shown to encode economic value </w:t>
      </w:r>
      <w:r w:rsidR="00500DA2">
        <w:fldChar w:fldCharType="begin" w:fldLock="1"/>
      </w:r>
      <w:r w:rsidR="00D04E51">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2006)","plainTextFormattedCitation":"(Padoa-Schioppa &amp; Assad, 2006)","previouslyFormattedCitation":"(Padoa-Schioppa &amp; Assad, 2006)"},"properties":{"noteIndex":0},"schema":"https://github.com/citation-style-language/schema/raw/master/csl-citation.json"}</w:instrText>
      </w:r>
      <w:r w:rsidR="00500DA2">
        <w:fldChar w:fldCharType="separate"/>
      </w:r>
      <w:r w:rsidR="00500DA2" w:rsidRPr="00500DA2">
        <w:rPr>
          <w:noProof/>
        </w:rPr>
        <w:t>(Padoa-Schioppa &amp; Assad, 2006)</w:t>
      </w:r>
      <w:r w:rsidR="00500DA2">
        <w:fldChar w:fldCharType="end"/>
      </w:r>
      <w:r w:rsidR="005A48D8">
        <w:t xml:space="preserve">. </w:t>
      </w:r>
      <w:r w:rsidR="002D2540">
        <w:t>Though the evidence for differential activity</w:t>
      </w:r>
      <w:r w:rsidR="009C7812">
        <w:t xml:space="preserve"> in economic decision-making</w:t>
      </w:r>
      <w:r w:rsidR="002D2540">
        <w:t xml:space="preserve"> between </w:t>
      </w:r>
      <w:proofErr w:type="spellStart"/>
      <w:r w:rsidR="002D2540">
        <w:t>vmPFC</w:t>
      </w:r>
      <w:proofErr w:type="spellEnd"/>
      <w:r w:rsidR="002D2540">
        <w:t xml:space="preserve"> in humans and OFC in non-human primate studies is confusing </w:t>
      </w:r>
      <w:r w:rsidR="002D2540">
        <w:fldChar w:fldCharType="begin" w:fldLock="1"/>
      </w:r>
      <w:r w:rsidR="00091CCE">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2017)","plainTextFormattedCitation":"(Padoa-Schioppa &amp; Conen, 2017)","previouslyFormattedCitation":"(Padoa-Schioppa &amp; Conen, 2017)"},"properties":{"noteIndex":0},"schema":"https://github.com/citation-style-language/schema/raw/master/csl-citation.json"}</w:instrText>
      </w:r>
      <w:r w:rsidR="002D2540">
        <w:fldChar w:fldCharType="separate"/>
      </w:r>
      <w:r w:rsidR="002D2540" w:rsidRPr="002D2540">
        <w:rPr>
          <w:noProof/>
        </w:rPr>
        <w:t>(Padoa-Schioppa &amp; Conen, 2017)</w:t>
      </w:r>
      <w:r w:rsidR="002D2540">
        <w:fldChar w:fldCharType="end"/>
      </w:r>
      <w:r w:rsidR="002D2540">
        <w:t xml:space="preserve">, explanations have been offered as to why </w:t>
      </w:r>
      <w:r w:rsidR="00091CCE">
        <w:t xml:space="preserve">this might occur. </w:t>
      </w:r>
      <w:r w:rsidR="00091CCE">
        <w:fldChar w:fldCharType="begin" w:fldLock="1"/>
      </w:r>
      <w:r w:rsidR="001A2549">
        <w:instrText>ADDIN CSL_CITATION {"citationItems":[{"id":"ITEM-1","itemData":{"DOI":"10.1038/nn.2956","ISSN":"10976256","PMID":"22101646","abstract":"Recent work has emphasized the role that orbitofrontal cortex (OFC) has in value-based decision-making. However, it is also clear that a number of discrepancies have arisen when comparing the findings from animal models to those from humans. Here, we examine several possibilities that might explain these discrepancies, including anatomical difference between species, the behavioral tasks used to probe decision-making and the methodologies used to assess neural function. Understanding how these differences affect the interpretation of experimental results will help us to better integrate future results from animal models. This will enable us to fully realize the benefits of using multiple approaches to understand OFC function. © 2012 Nature America, Inc. All rights reserved.","author":[{"dropping-particle":"","family":"Wallis","given":"Jonathan D.","non-dropping-particle":"","parse-names":false,"suffix":""}],"container-title":"Nature Neuroscience","id":"ITEM-1","issue":"1","issued":{"date-parts":[["2012"]]},"page":"13-19","publisher":"Nature Publishing Group","title":"Cross-species studies of orbitofrontal cortex and value-based decision-making","type":"article-journal","volume":"15"},"uris":["http://www.mendeley.com/documents/?uuid=56955601-1728-48fd-a308-c95979f3e3c3"]}],"mendeley":{"formattedCitation":"(Wallis, 2012)","manualFormatting":"Wallis, 2012","plainTextFormattedCitation":"(Wallis, 2012)","previouslyFormattedCitation":"(Wallis, 2012)"},"properties":{"noteIndex":0},"schema":"https://github.com/citation-style-language/schema/raw/master/csl-citation.json"}</w:instrText>
      </w:r>
      <w:r w:rsidR="00091CCE">
        <w:fldChar w:fldCharType="separate"/>
      </w:r>
      <w:r w:rsidR="00091CCE" w:rsidRPr="00091CCE">
        <w:rPr>
          <w:noProof/>
        </w:rPr>
        <w:t>Wallis, 2012</w:t>
      </w:r>
      <w:r w:rsidR="00091CCE">
        <w:fldChar w:fldCharType="end"/>
      </w:r>
      <w:r w:rsidR="00091CCE">
        <w:t xml:space="preserve"> posits that anatomical differences between species, or differences between the tasks presented might account for the differences in brain region activity.</w:t>
      </w:r>
    </w:p>
    <w:p w14:paraId="3952B7EF" w14:textId="02F5A5DF" w:rsidR="00063734" w:rsidRDefault="006B1E49" w:rsidP="00373A32">
      <w:pPr>
        <w:spacing w:before="240"/>
      </w:pPr>
      <w:r>
        <w:t>Perhaps</w:t>
      </w:r>
      <w:r w:rsidR="005D206D">
        <w:t xml:space="preserve"> more</w:t>
      </w:r>
      <w:r>
        <w:t xml:space="preserve"> surprisingly, these studies </w:t>
      </w:r>
      <w:r>
        <w:rPr>
          <w:i/>
          <w:iCs/>
        </w:rPr>
        <w:t>did not</w:t>
      </w:r>
      <w:r>
        <w:t xml:space="preserve"> show value correlated BOLD activity in the dopaminergic midbrai</w:t>
      </w:r>
      <w:r w:rsidR="00F8036E">
        <w:t>n</w:t>
      </w:r>
      <w:r>
        <w:t>. Single dopamine neuron</w:t>
      </w:r>
      <w:r w:rsidR="001A2549">
        <w:t xml:space="preserve"> recordings</w:t>
      </w:r>
      <w:r>
        <w:t xml:space="preserve"> in this area have </w:t>
      </w:r>
      <w:r w:rsidR="001A2549">
        <w:t>shown cells</w:t>
      </w:r>
      <w:r>
        <w:t xml:space="preserve"> to </w:t>
      </w:r>
      <w:r>
        <w:lastRenderedPageBreak/>
        <w:t xml:space="preserve">encode the marginal utility of a choice </w:t>
      </w:r>
      <w:r w:rsidR="006E57AA">
        <w:t xml:space="preserve">across multiple reward dimensions </w:t>
      </w:r>
      <w:r>
        <w:t xml:space="preserve">on a moment to moment basis </w:t>
      </w:r>
      <w:r>
        <w:fldChar w:fldCharType="begin" w:fldLock="1"/>
      </w:r>
      <w:r w:rsidR="00383822">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utility","type":"article-journal","volume":"24"},"uris":["http://www.mendeley.com/documents/?uuid=7c4277a4-4814-491b-afd5-67ddc993078e"]},{"id":"ITEM-2","itemData":{"DOI":"10.1073/pnas.1321596111","ISBN":"1321596111","ISSN":"00278424","PMID":"24453218","abstract":"Prediction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America","id":"ITEM-2","issue":"6","issued":{"date-parts":[["2014"]]},"page":"2343-2348","title":"Dopamine prediction error responses integrate subjective value from different reward dimensions","type":"article-journal","volume":"111"},"uris":["http://www.mendeley.com/documents/?uuid=5cb1b60f-88f0-41e1-8202-49439bfc522b"]}],"mendeley":{"formattedCitation":"(Lak et al., 2014; Stauffer et al., 2014)","plainTextFormattedCitation":"(Lak et al., 2014; Stauffer et al., 2014)","previouslyFormattedCitation":"(Lak et al., 2014; Stauffer et al., 2014)"},"properties":{"noteIndex":0},"schema":"https://github.com/citation-style-language/schema/raw/master/csl-citation.json"}</w:instrText>
      </w:r>
      <w:r>
        <w:fldChar w:fldCharType="separate"/>
      </w:r>
      <w:r w:rsidR="006E57AA" w:rsidRPr="006E57AA">
        <w:rPr>
          <w:noProof/>
        </w:rPr>
        <w:t>(Lak et al., 2014; Stauffer et al., 2014)</w:t>
      </w:r>
      <w:r>
        <w:fldChar w:fldCharType="end"/>
      </w:r>
      <w:r w:rsidR="006E57AA">
        <w:t>.</w:t>
      </w:r>
      <w:r w:rsidR="0080225D">
        <w:t xml:space="preserve"> We would expect activity in these neurons to correlate with the with the utility of an offered good (and thus the bid made by a participant), </w:t>
      </w:r>
      <w:r w:rsidR="003A634C">
        <w:t>just as activity in the prefrontal cortex seems to.</w:t>
      </w:r>
    </w:p>
    <w:p w14:paraId="1706865A" w14:textId="77777777" w:rsidR="00F8036E" w:rsidRDefault="00A512B7" w:rsidP="00373A32">
      <w:pPr>
        <w:spacing w:before="240"/>
      </w:pPr>
      <w:r>
        <w:t>Some</w:t>
      </w:r>
      <w:r w:rsidR="000C126D">
        <w:t xml:space="preserve"> reasons these crucial, utility-signalling neurons might not show up as regions of interest in analysis of the BOLD signal in fMRI studies of human decision making are outline</w:t>
      </w:r>
      <w:r w:rsidR="00383822">
        <w:t xml:space="preserve">d in </w:t>
      </w:r>
      <w:r w:rsidR="00383822">
        <w:fldChar w:fldCharType="begin" w:fldLock="1"/>
      </w:r>
      <w:r w:rsidR="00727578">
        <w:instrText>ADDIN CSL_CITATION {"citationItems":[{"id":"ITEM-1","itemData":{"author":[{"dropping-particle":"","family":"D’Ardenne","given":"Kimberlee","non-dropping-particle":"","parse-names":false,"suffix":""},{"dropping-particle":"","family":"McClure","given":"Samuel M","non-dropping-particle":"","parse-names":false,"suffix":""},{"dropping-particle":"","family":"Nystrom","given":"Leigh E","non-dropping-particle":"","parse-names":false,"suffix":""},{"dropping-particle":"","family":"Cohen","given":"Jonathan D","non-dropping-particle":"","parse-names":false,"suffix":""}],"container-title":"Science","id":"ITEM-1","issue":"February","issued":{"date-parts":[["2008"]]},"page":"1264-1267","title":"BOLD Responses Reflecting Dopaminergic Signals in the Human Ventral Tegmental Area","type":"article-journal","volume":"319"},"uris":["http://www.mendeley.com/documents/?uuid=2945e8cd-f67a-45e2-86c5-27fbe65f45bc"]}],"mendeley":{"formattedCitation":"(D’Ardenne et al., 2008)","manualFormatting":"D’Ardenne et al., 2008","plainTextFormattedCitation":"(D’Ardenne et al., 2008)","previouslyFormattedCitation":"(D’Ardenne et al., 2008)"},"properties":{"noteIndex":0},"schema":"https://github.com/citation-style-language/schema/raw/master/csl-citation.json"}</w:instrText>
      </w:r>
      <w:r w:rsidR="00383822">
        <w:fldChar w:fldCharType="separate"/>
      </w:r>
      <w:r w:rsidR="00383822" w:rsidRPr="00383822">
        <w:rPr>
          <w:noProof/>
        </w:rPr>
        <w:t>D’Ardenne et al., 2008</w:t>
      </w:r>
      <w:r w:rsidR="00383822">
        <w:fldChar w:fldCharType="end"/>
      </w:r>
      <w:r w:rsidR="00383822">
        <w:t>.</w:t>
      </w:r>
      <w:r w:rsidR="00925BE6">
        <w:t xml:space="preserve"> </w:t>
      </w:r>
      <w:r w:rsidR="00F82761">
        <w:t xml:space="preserve">Midbrain dopaminergic nuclei are extremely small and located near large blood vessels whose pulses create movement artefacts. </w:t>
      </w:r>
      <w:r w:rsidR="000E0E72">
        <w:t>Even using a simple paradigm of imaging human brains under the expected or unexpected receipt of monetary rewards, only small effect sizes were seen in the change of BOLD signal.</w:t>
      </w:r>
      <w:r w:rsidR="00F8036E">
        <w:t xml:space="preserve"> </w:t>
      </w:r>
    </w:p>
    <w:p w14:paraId="1B1FA9BC" w14:textId="51CADF75" w:rsidR="009375DE" w:rsidRPr="00322410" w:rsidRDefault="00F8036E" w:rsidP="009375DE">
      <w:pPr>
        <w:spacing w:before="240"/>
      </w:pPr>
      <w:proofErr w:type="spellStart"/>
      <w:r>
        <w:t>Futhermore</w:t>
      </w:r>
      <w:proofErr w:type="spellEnd"/>
      <w:r>
        <w:t>, the BOLD signal reported by fMRI is known to have significantly greater variability than</w:t>
      </w:r>
      <w:r w:rsidR="001A2549">
        <w:t xml:space="preserve"> electrophysiological recordings at the same location </w:t>
      </w:r>
      <w:r w:rsidR="001A2549">
        <w:fldChar w:fldCharType="begin" w:fldLock="1"/>
      </w:r>
      <w:r w:rsidR="00322410">
        <w:instrText>ADDIN CSL_CITATION {"citationItems":[{"id":"ITEM-1","itemData":{"DOI":"10.1098/rstb.2002.1114","ISSN":"09628436","PMID":"12217171","abstract":"Magnetic resonance imaging (MRI) has rapidly become an important tool in clinical medicine and biological research. Its functional variant (functional magnetic resonance imaging; fMRI) is currently the most widely used method for brain mapping and studying the neural basis of human cognition. While the method is widespread, there is insufficient knowledge of the physiological basis of the fMRI signal to interpret the data confidently with respect to neural activity. This paper reviews the basic principles of MRI and fMRI, and subsequently discusses in some detail the relationship between the blood-oxygen-level-dependent (BOLD) fMRI signal and the neural activity elicited during sensory stimulation. To examine this relationship, we conducted the first simultaneous intracortical recordings of neural signals and BOLD responses. Depending on the temporal characteristics of the stimulus, a moderate to strong correlation was found between the neural activity measured with microelectrodes and the BOLD signal averaged over a small area around the microelectrode tips. However, the BOLD signal had significantly higher variability than the neural activity, indicating that human fMRI combined with traditional statistical methods underestimates the reliability of the neuronal activity. To understand the relative contribution of several types of neuronal signals to the haemodynamic response, we compared local field potentials (LFPs), single- and multi-unit activity (MUA) with high spatio-temporal fMRI responses recorded simultaneously in monkey visual cortex. At recording sites characterized by transient responses, only the LFP signal was significantly correlated with the haemodynamic response. Furthermore, the LFPs had the largest magnitude signal and linear systems analysis showed that the LFPs were better than the MUAs at predicting the fMRI responses. These findings, together with an analysis of the neural signals, indicate that the BOLD signal primarily measures the input and processing of neuronal information within a region and not the output signal transmitted to other brain regions.","author":[{"dropping-particle":"","family":"Logothetis","given":"Nikos K.","non-dropping-particle":"","parse-names":false,"suffix":""}],"container-title":"Philosophical Transactions of the Royal Society B: Biological Sciences","id":"ITEM-1","issue":"1424","issued":{"date-parts":[["2002"]]},"page":"1003-1037","title":"The neural basis of the blood-oxygen-level-dependent functional magnetic resonance imaging signal","type":"article-journal","volume":"357"},"uris":["http://www.mendeley.com/documents/?uuid=82361c53-7557-4900-a542-c92566576df7"]}],"mendeley":{"formattedCitation":"(Logothetis, 2002)","plainTextFormattedCitation":"(Logothetis, 2002)","previouslyFormattedCitation":"(Logothetis, 2002)"},"properties":{"noteIndex":0},"schema":"https://github.com/citation-style-language/schema/raw/master/csl-citation.json"}</w:instrText>
      </w:r>
      <w:r w:rsidR="001A2549">
        <w:fldChar w:fldCharType="separate"/>
      </w:r>
      <w:r w:rsidR="001A2549" w:rsidRPr="001A2549">
        <w:rPr>
          <w:noProof/>
        </w:rPr>
        <w:t>(Logothetis, 2002)</w:t>
      </w:r>
      <w:r w:rsidR="001A2549">
        <w:fldChar w:fldCharType="end"/>
      </w:r>
      <w:r w:rsidR="001A2549">
        <w:t xml:space="preserve"> and so is not as suitable for studying the sparser </w:t>
      </w:r>
      <w:r w:rsidR="00A71B96">
        <w:t>density and</w:t>
      </w:r>
      <w:r w:rsidR="001A2549">
        <w:t xml:space="preserve"> subtler </w:t>
      </w:r>
      <w:r w:rsidR="00A71B96">
        <w:t xml:space="preserve">phasic </w:t>
      </w:r>
      <w:r w:rsidR="001A2549">
        <w:t>activity of midbrain dopaminergic neurons.</w:t>
      </w:r>
      <w:r w:rsidR="00322410">
        <w:t xml:space="preserve"> This may in part be because the BOLD signal reflects the synaptic, rather than spiking, activity of neurons </w:t>
      </w:r>
      <w:r w:rsidR="00322410">
        <w:fldChar w:fldCharType="begin" w:fldLock="1"/>
      </w:r>
      <w:r w:rsidR="00322410">
        <w:instrText>ADDIN CSL_CITATION {"citationItems":[{"id":"ITEM-1","itemData":{"DOI":"10.1038/nn1977","ISSN":"10976256","PMID":"17828254","abstract":"In noninvasive neuroimaging, neural activity is inferred from local fluctuations in deoxyhemoglobin. A fundamental question of functional magnetic resonance imaging (fMRI) is whether the inferred neural activity is driven primarily by synaptic or spiking activity. The answer is critical for the interpretation of the blood oxygen level-dependent (BOLD) signal in fMRI. Here, we have used well-established visual-system circuitry to create a stimulus that elicits synaptic activity without associated spike discharge. In colocalized recordings of neural and metabolic activity in cat primary visual cortex, we observed strong coupling between local field potentials (LFPs) and changes in tissue oxygen concentration in the absence of spikes. These results imply that the BOLD signal is more closely coupled to synaptic activity. © 2007 Nature Publishing Group.","author":[{"dropping-particle":"","family":"Viswanathan","given":"Ahalya","non-dropping-particle":"","parse-names":false,"suffix":""},{"dropping-particle":"","family":"Freeman","given":"Ralph D.","non-dropping-particle":"","parse-names":false,"suffix":""}],"container-title":"Nature Neuroscience","id":"ITEM-1","issue":"10","issued":{"date-parts":[["2007"]]},"page":"1308-1312","title":"Neurometabolic coupling in cerebral cortex reflects synaptic more than spiking activity","type":"article-journal","volume":"10"},"uris":["http://www.mendeley.com/documents/?uuid=47bc5beb-1c73-4428-8afe-ded0023ed6bd"]}],"mendeley":{"formattedCitation":"(Viswanathan &amp; Freeman, 2007)","plainTextFormattedCitation":"(Viswanathan &amp; Freeman, 2007)","previouslyFormattedCitation":"(Viswanathan &amp; Freeman, 2007)"},"properties":{"noteIndex":0},"schema":"https://github.com/citation-style-language/schema/raw/master/csl-citation.json"}</w:instrText>
      </w:r>
      <w:r w:rsidR="00322410">
        <w:fldChar w:fldCharType="separate"/>
      </w:r>
      <w:r w:rsidR="00322410" w:rsidRPr="00322410">
        <w:rPr>
          <w:noProof/>
        </w:rPr>
        <w:t>(Viswanathan &amp; Freeman, 2007)</w:t>
      </w:r>
      <w:r w:rsidR="00322410">
        <w:fldChar w:fldCharType="end"/>
      </w:r>
      <w:r w:rsidR="00322410">
        <w:t xml:space="preserve">, which may be of considerable interest when studying striatal dopamine signalling where only one third of dopaminergic varicosities may contain the key scaffolding proteins required for release of the neurotransmitter and synaptic signalling </w:t>
      </w:r>
      <w:r w:rsidR="00322410">
        <w:fldChar w:fldCharType="begin" w:fldLock="1"/>
      </w:r>
      <w:r w:rsidR="00382FBA">
        <w:instrText xml:space="preserve">ADDIN CSL_CITATION {"citationItems":[{"id":"ITEM-1","itemData":{"DOI":"10.1016/j.cell.2018.01.008","ISSN":"10974172","PMID":"29398114","abstract":"Dopamine controls essential brain functions through volume transmission. Different from fast synaptic transmission, where neurotransmitter release and receptor activation are tightly coupled by an active zone, dopamine transmission is widespread and may not necessitate these organized release sites. Here, we determine whether striatal dopamine secretion employs specialized machinery for release. Using super resolution microscopy, we identified co-clustering of the active zone scaffolding proteins bassoon, RIM and ELKS in </w:instrText>
      </w:r>
      <w:r w:rsidR="00382FBA">
        <w:rPr>
          <w:rFonts w:ascii="Cambria Math" w:hAnsi="Cambria Math" w:cs="Cambria Math"/>
        </w:rPr>
        <w:instrText>∼</w:instrText>
      </w:r>
      <w:r w:rsidR="00382FBA">
        <w:instrText>30% of dopamine varicosities. Conditional RIM knockout disrupted this scaffold and, unexpectedly, abolished dopamine release, while ELKS knockout had no effect. Optogenetic experiments revealed that dopamine release was fast and had a high release probability, indicating the presence of protein scaffolds for coupling Ca2+ influx to vesicle fusion. Hence, dopamine secretion is mediated by sparse, mechanistically specialized active zone-like release sites. This architecture supports spatially and temporally precise coding for dopamine and provides molecular machinery for regulation. Secretion of dopamine requires specialized release machinery.","author":[{"dropping-particle":"","family":"Liu","given":"Changliang","non-dropping-particle":"","parse-names":false,"suffix":""},{"dropping-particle":"","family":"Kershberg","given":"Lauren","non-dropping-particle":"","parse-names":false,"suffix":""},{"dropping-particle":"","family":"Wang","given":"Jiexin","non-dropping-particle":"","parse-names":false,"suffix":""},{"dropping-particle":"","family":"Schneeberger","given":"Shirin","non-dropping-particle":"","parse-names":false,"suffix":""},{"dropping-particle":"","family":"Kaeser","given":"Pascal S.","non-dropping-particle":"","parse-names":false,"suffix":""}],"container-title":"Cell","id":"ITEM-1","issue":"4","issued":{"date-parts":[["2018"]]},"page":"706-718.e15","publisher":"Elsevier Inc.","title":"Dopamine Secretion Is Mediated by Sparse Active Zone-like Release Sites","type":"article-journal","volume":"172"},"uris":["http://www.mendeley.com/documents/?uuid=520327ef-2f4a-47c6-91b3-cbd5f0c388de"]}],"mendeley":{"formattedCitation":"(Liu et al., 2018)","plainTextFormattedCitation":"(Liu et al., 2018)","previouslyFormattedCitation":"(Liu et al., 2018)"},"properties":{"noteIndex":0},"schema":"https://github.com/citation-style-language/schema/raw/master/csl-citation.json"}</w:instrText>
      </w:r>
      <w:r w:rsidR="00322410">
        <w:fldChar w:fldCharType="separate"/>
      </w:r>
      <w:r w:rsidR="00322410" w:rsidRPr="00322410">
        <w:rPr>
          <w:noProof/>
        </w:rPr>
        <w:t>(Liu et al., 2018)</w:t>
      </w:r>
      <w:r w:rsidR="00322410">
        <w:fldChar w:fldCharType="end"/>
      </w:r>
      <w:r w:rsidR="00322410">
        <w:t>.</w:t>
      </w:r>
    </w:p>
    <w:p w14:paraId="71217822" w14:textId="47753FF9" w:rsidR="00E177BC" w:rsidRPr="009375DE" w:rsidRDefault="00382FBA" w:rsidP="009375DE">
      <w:pPr>
        <w:spacing w:before="240"/>
        <w:rPr>
          <w:noProof/>
          <w:u w:val="single"/>
        </w:rPr>
      </w:pPr>
      <w:r>
        <w:t>Recording the spiking activity of these midbrain dopaminergic cells requires direct access to the brain and precludes recording from humans</w:t>
      </w:r>
      <w:r>
        <w:rPr>
          <w:rStyle w:val="FootnoteReference"/>
        </w:rPr>
        <w:footnoteReference w:id="18"/>
      </w:r>
      <w:r w:rsidR="003575C6">
        <w:t xml:space="preserve">. </w:t>
      </w:r>
      <w:r w:rsidR="009375DE" w:rsidRPr="009375DE">
        <w:t xml:space="preserve">By training non-human primates on the BDM task we could overcome </w:t>
      </w:r>
      <w:r w:rsidR="003575C6">
        <w:t>the</w:t>
      </w:r>
      <w:r w:rsidR="009375DE" w:rsidRPr="009375DE">
        <w:t xml:space="preserve"> limitations </w:t>
      </w:r>
      <w:r w:rsidR="003575C6">
        <w:t xml:space="preserve">of fMRI </w:t>
      </w:r>
      <w:r w:rsidR="009375DE" w:rsidRPr="009375DE">
        <w:t xml:space="preserve">and gain direct access to the single-cell neuronal signal of midbrain dopaminergic neurons. </w:t>
      </w:r>
      <w:r w:rsidR="00C921DF">
        <w:rPr>
          <w:noProof/>
        </w:rPr>
        <w:t>In the following chapter we present a task designed to be suitable for primate learning and behvaioural data showing that trained macaques are able to understand the BDM paradigm.</w:t>
      </w:r>
      <w:r w:rsidR="00556AFC" w:rsidRPr="009375DE">
        <w:rPr>
          <w:noProof/>
          <w:u w:val="single"/>
        </w:rPr>
        <w:br w:type="page"/>
      </w:r>
    </w:p>
    <w:p w14:paraId="1354FBE4" w14:textId="422763D3" w:rsidR="00556AFC" w:rsidRPr="00E177BC" w:rsidRDefault="00E177BC">
      <w:pPr>
        <w:widowControl/>
        <w:suppressAutoHyphens w:val="0"/>
        <w:spacing w:after="160" w:line="259" w:lineRule="auto"/>
      </w:pPr>
      <w:r w:rsidRPr="00E177BC">
        <w:rPr>
          <w:noProof/>
          <w:u w:val="single"/>
        </w:rPr>
        <w:lastRenderedPageBreak/>
        <mc:AlternateContent>
          <mc:Choice Requires="wps">
            <w:drawing>
              <wp:anchor distT="45720" distB="45720" distL="114300" distR="114300" simplePos="0" relativeHeight="251665408" behindDoc="0" locked="0" layoutInCell="1" allowOverlap="1" wp14:anchorId="74F1B13B" wp14:editId="366C43E3">
                <wp:simplePos x="0" y="0"/>
                <wp:positionH relativeFrom="margin">
                  <wp:align>left</wp:align>
                </wp:positionH>
                <wp:positionV relativeFrom="paragraph">
                  <wp:posOffset>5389245</wp:posOffset>
                </wp:positionV>
                <wp:extent cx="5770245" cy="2508250"/>
                <wp:effectExtent l="0" t="0" r="20955" b="2540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0245" cy="2508738"/>
                        </a:xfrm>
                        <a:prstGeom prst="rect">
                          <a:avLst/>
                        </a:prstGeom>
                        <a:solidFill>
                          <a:srgbClr val="FFFFFF"/>
                        </a:solidFill>
                        <a:ln w="9525">
                          <a:solidFill>
                            <a:srgbClr val="000000"/>
                          </a:solidFill>
                          <a:miter lim="800000"/>
                          <a:headEnd/>
                          <a:tailEnd/>
                        </a:ln>
                      </wps:spPr>
                      <wps:txbx>
                        <w:txbxContent>
                          <w:p w14:paraId="06309EC9" w14:textId="50ACE880" w:rsidR="00FE142F" w:rsidRPr="00330E57" w:rsidRDefault="00FE142F">
                            <w:r w:rsidRPr="009B278B">
                              <w:rPr>
                                <w:b/>
                                <w:bCs/>
                              </w:rPr>
                              <w:t>Figures 1a-d): The repeated binary choice paradigm has multiple undesirable features.</w:t>
                            </w:r>
                            <w:r>
                              <w:rPr>
                                <w:b/>
                                <w:bCs/>
                              </w:rPr>
                              <w:t xml:space="preserve"> </w:t>
                            </w:r>
                            <w:r>
                              <w:t>All four figures show a simulated indifference curve (black) of hypothetical choices between a sure 10 utils and an offered good whose utility varies from 0 – 20 utils. We assume that the ‘true’ indifference point of a participant is when they must choose between the sure 10 utils and an offered 10 utils (dashed red line at 50% proportion of choices). Figure 1a) shows average choices (blue circles) which follow a perfect logistic distribution, though with an indifference point that is not directly sampled by the offered choices. Figures 1b) and 1c) show the constraint of 300 trials (a reasonable session for a trained non-human primate) where a researcher is faced with a trade-off between maximising accuracy by reducing the number of distinct choices (1b) or precision by reducing the number of choices made at each distinct offered choice (1c). Figure 1d) shows a hypothetical effect of satiety on the choices of a participant, where the value of the offered good decreases by 15% relative to the sure 10 utils after each block of 75 trials.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F1B13B" id="_x0000_t202" coordsize="21600,21600" o:spt="202" path="m,l,21600r21600,l21600,xe">
                <v:stroke joinstyle="miter"/>
                <v:path gradientshapeok="t" o:connecttype="rect"/>
              </v:shapetype>
              <v:shape id="Text Box 2" o:spid="_x0000_s1026" type="#_x0000_t202" style="position:absolute;margin-left:0;margin-top:424.35pt;width:454.35pt;height:19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">
                <v:textbox>
                  <w:txbxContent>
                    <w:p w14:paraId="06309EC9" w14:textId="50ACE880" w:rsidR="00FE142F" w:rsidRPr="00330E57" w:rsidRDefault="00FE142F">
                      <w:r w:rsidRPr="009B278B">
                        <w:rPr>
                          <w:b/>
                          <w:bCs/>
                        </w:rPr>
                        <w:t>Figures 1a-d): The repeated binary choice paradigm has multiple undesirable features.</w:t>
                      </w:r>
                      <w:r>
                        <w:rPr>
                          <w:b/>
                          <w:bCs/>
                        </w:rPr>
                        <w:t xml:space="preserve"> </w:t>
                      </w:r>
                      <w:r>
                        <w:t>All four figures show a simulated indifference curve (black) of hypothetical choices between a sure 10 utils and an offered good whose utility varies from 0 – 20 utils. We assume that the ‘true’ indifference point of a participant is when they must choose between the sure 10 utils and an offered 10 utils (dashed red line at 50% proportion of choices). Figure 1a) shows average choices (blue circles) which follow a perfect logistic distribution, though with an indifference point that is not directly sampled by the offered choices. Figures 1b) and 1c) show the constraint of 300 trials (a reasonable session for a trained non-human primate) where a researcher is faced with a trade-off between maximising accuracy by reducing the number of distinct choices (1b) or precision by reducing the number of choices made at each distinct offered choice (1c). Figure 1d) shows a hypothetical effect of satiety on the choices of a participant, where the value of the offered good decreases by 15% relative to the sure 10 utils after each block of 75 trials.</w:t>
                      </w:r>
                    </w:p>
                  </w:txbxContent>
                </v:textbox>
                <w10:wrap type="square" anchorx="margin"/>
              </v:shape>
            </w:pict>
          </mc:Fallback>
        </mc:AlternateContent>
      </w:r>
      <w:r w:rsidR="00330ECE">
        <w:rPr>
          <w:noProof/>
        </w:rPr>
        <w:drawing>
          <wp:inline distT="0" distB="0" distL="0" distR="0" wp14:anchorId="7C2D734F" wp14:editId="08A524E5">
            <wp:extent cx="5731510" cy="5089525"/>
            <wp:effectExtent l="0" t="0" r="2540" b="0"/>
            <wp:docPr id="17" name="Picture 1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76090FD2" w14:textId="77777777" w:rsidR="00556AFC" w:rsidRDefault="00556AFC">
      <w:pPr>
        <w:rPr>
          <w:noProof/>
          <w:u w:val="single"/>
        </w:rPr>
      </w:pPr>
    </w:p>
    <w:p w14:paraId="18F88C35" w14:textId="77777777" w:rsidR="00CB0F88" w:rsidRDefault="00CB0F88">
      <w:pPr>
        <w:widowControl/>
        <w:suppressAutoHyphens w:val="0"/>
        <w:spacing w:after="160" w:line="259" w:lineRule="auto"/>
        <w:rPr>
          <w:noProof/>
          <w:u w:val="single"/>
        </w:rPr>
      </w:pPr>
      <w:r>
        <w:rPr>
          <w:noProof/>
          <w:u w:val="single"/>
        </w:rPr>
        <w:br w:type="page"/>
      </w:r>
    </w:p>
    <w:p w14:paraId="221ED455" w14:textId="697248E2" w:rsidR="007A1F33" w:rsidRDefault="00CB0F88">
      <w:pPr>
        <w:widowControl/>
        <w:suppressAutoHyphens w:val="0"/>
        <w:spacing w:after="160" w:line="259" w:lineRule="auto"/>
        <w:rPr>
          <w:noProof/>
          <w:u w:val="single"/>
        </w:rPr>
      </w:pPr>
      <w:r w:rsidRPr="00963719">
        <w:rPr>
          <w:noProof/>
        </w:rPr>
        <w:lastRenderedPageBreak/>
        <mc:AlternateContent>
          <mc:Choice Requires="wps">
            <w:drawing>
              <wp:anchor distT="45720" distB="45720" distL="114300" distR="114300" simplePos="0" relativeHeight="251669504" behindDoc="0" locked="0" layoutInCell="1" allowOverlap="1" wp14:anchorId="6062FA9D" wp14:editId="6E6F8458">
                <wp:simplePos x="0" y="0"/>
                <wp:positionH relativeFrom="margin">
                  <wp:align>right</wp:align>
                </wp:positionH>
                <wp:positionV relativeFrom="paragraph">
                  <wp:posOffset>5810250</wp:posOffset>
                </wp:positionV>
                <wp:extent cx="5715000" cy="300990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009900"/>
                        </a:xfrm>
                        <a:prstGeom prst="rect">
                          <a:avLst/>
                        </a:prstGeom>
                        <a:solidFill>
                          <a:srgbClr val="FFFFFF"/>
                        </a:solidFill>
                        <a:ln w="9525">
                          <a:solidFill>
                            <a:srgbClr val="000000"/>
                          </a:solidFill>
                          <a:miter lim="800000"/>
                          <a:headEnd/>
                          <a:tailEnd/>
                        </a:ln>
                      </wps:spPr>
                      <wps:txbx>
                        <w:txbxContent>
                          <w:p w14:paraId="03CB13F6" w14:textId="38366F6F" w:rsidR="00FE142F" w:rsidRPr="006D2CCD" w:rsidRDefault="00FE142F" w:rsidP="00CB0F88">
                            <w:r w:rsidRPr="00314CA8">
                              <w:rPr>
                                <w:b/>
                                <w:bCs/>
                              </w:rPr>
                              <w:t>Figure</w:t>
                            </w:r>
                            <w:r>
                              <w:rPr>
                                <w:b/>
                                <w:bCs/>
                              </w:rPr>
                              <w:t>s</w:t>
                            </w:r>
                            <w:r w:rsidRPr="00314CA8">
                              <w:rPr>
                                <w:b/>
                                <w:bCs/>
                              </w:rPr>
                              <w:t xml:space="preserve"> </w:t>
                            </w:r>
                            <w:r>
                              <w:rPr>
                                <w:b/>
                                <w:bCs/>
                              </w:rPr>
                              <w:t>2a-g)</w:t>
                            </w:r>
                            <w:r w:rsidRPr="00314CA8">
                              <w:rPr>
                                <w:b/>
                                <w:bCs/>
                              </w:rPr>
                              <w:t xml:space="preserve">: </w:t>
                            </w:r>
                            <w:r>
                              <w:rPr>
                                <w:b/>
                                <w:bCs/>
                              </w:rPr>
                              <w:t xml:space="preserve">The optimal strategy in a sealed-second price auction such as the BDM is to bid one’s true utility. </w:t>
                            </w:r>
                            <w:r>
                              <w:t xml:space="preserve">In a hypothetical bidding range between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t>and</w:t>
                            </w:r>
                            <w:r w:rsidRPr="006D2CCD">
                              <w:rPr>
                                <w:b/>
                                <w:bCs/>
                              </w:rPr>
                              <w:t xml:space="preserv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rPr>
                                <w:b/>
                                <w:bCs/>
                              </w:rPr>
                              <w:t xml:space="preserve"> </w:t>
                            </w:r>
                            <w:r>
                              <w:t>(represented here as a grey bar, for comparison with the task we present to monkeys in chapter 3), a subject</w:t>
                            </w:r>
                            <w:r w:rsidRPr="006D2CCD">
                              <w:rPr>
                                <w:b/>
                                <w:bCs/>
                              </w:rPr>
                              <w:t xml:space="preserve">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1</m:t>
                                  </m:r>
                                </m:sub>
                              </m:sSub>
                            </m:oMath>
                            <w:r>
                              <w:t xml:space="preserve">has a utility for an auctioned good that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rPr>
                                <w:b/>
                                <w:bCs/>
                              </w:rPr>
                              <w:t xml:space="preserve"> </w:t>
                            </w:r>
                            <w:r w:rsidRPr="00764A51">
                              <w:t>(blue bar in a) and in subsequent panels)</w:t>
                            </w:r>
                            <w:r w:rsidRPr="006D2CCD">
                              <w:t>.</w:t>
                            </w:r>
                            <w:r>
                              <w:t xml:space="preserve"> A subject can place their bid anywhere along the bidding range, but optimally should bid their utility for the auctioned good. In b) the subject’s bid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which is higher than the highest opposing bid</w:t>
                            </w:r>
                            <w:r w:rsidRPr="00764A51">
                              <w:rPr>
                                <w:b/>
                                <w:bCs/>
                              </w:rPr>
                              <w:t xml:space="preserv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(orange bar), so the subject wins the auction and pays the ‘second-price’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 xml:space="preserve">). In c) the subject makes the same,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but this is lower than the largest opposing bid, so the subject does not win the auctioned good but keeps their entire endowment. In d-g) the subject deviates from their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(blue bar as previously) to raise their bid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t>, d-e)), or lower their bid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 f-g)), represented by a green bar. In d) raising one’s bid has no effect on the outcome, but in e) we can see that this means risking overpaying for the good when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 In f-g) the subject decides instead to lower their bid to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(green bar again), which has no effect on the outcome when the subject loses the auction, but gives rise to the possibility of missing out on profit when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2FA9D" id="_x0000_s1027" type="#_x0000_t202" style="position:absolute;margin-left:398.8pt;margin-top:457.5pt;width:450pt;height:237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">
                <v:textbox>
                  <w:txbxContent>
                    <w:p w14:paraId="03CB13F6" w14:textId="38366F6F" w:rsidR="00FE142F" w:rsidRPr="006D2CCD" w:rsidRDefault="00FE142F" w:rsidP="00CB0F88">
                      <w:r w:rsidRPr="00314CA8">
                        <w:rPr>
                          <w:b/>
                          <w:bCs/>
                        </w:rPr>
                        <w:t>Figure</w:t>
                      </w:r>
                      <w:r>
                        <w:rPr>
                          <w:b/>
                          <w:bCs/>
                        </w:rPr>
                        <w:t>s</w:t>
                      </w:r>
                      <w:r w:rsidRPr="00314CA8">
                        <w:rPr>
                          <w:b/>
                          <w:bCs/>
                        </w:rPr>
                        <w:t xml:space="preserve"> </w:t>
                      </w:r>
                      <w:r>
                        <w:rPr>
                          <w:b/>
                          <w:bCs/>
                        </w:rPr>
                        <w:t>2a-g)</w:t>
                      </w:r>
                      <w:r w:rsidRPr="00314CA8">
                        <w:rPr>
                          <w:b/>
                          <w:bCs/>
                        </w:rPr>
                        <w:t xml:space="preserve">: </w:t>
                      </w:r>
                      <w:r>
                        <w:rPr>
                          <w:b/>
                          <w:bCs/>
                        </w:rPr>
                        <w:t xml:space="preserve">The optimal strategy in a sealed-second price auction such as the BDM is to bid one’s true utility. </w:t>
                      </w:r>
                      <w:r>
                        <w:t xml:space="preserve">In a hypothetical bidding range between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t>and</w:t>
                      </w:r>
                      <w:r w:rsidRPr="006D2CCD">
                        <w:rPr>
                          <w:b/>
                          <w:bCs/>
                        </w:rPr>
                        <w:t xml:space="preserv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rPr>
                          <w:b/>
                          <w:bCs/>
                        </w:rPr>
                        <w:t xml:space="preserve"> </w:t>
                      </w:r>
                      <w:r>
                        <w:t>(represented here as a grey bar, for comparison with the task we present to monkeys in chapter 3), a subject</w:t>
                      </w:r>
                      <w:r w:rsidRPr="006D2CCD">
                        <w:rPr>
                          <w:b/>
                          <w:bCs/>
                        </w:rPr>
                        <w:t xml:space="preserve">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1</m:t>
                            </m:r>
                          </m:sub>
                        </m:sSub>
                      </m:oMath>
                      <w:r>
                        <w:t xml:space="preserve">has a utility for an auctioned good that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rPr>
                          <w:b/>
                          <w:bCs/>
                        </w:rPr>
                        <w:t xml:space="preserve"> </w:t>
                      </w:r>
                      <w:r w:rsidRPr="00764A51">
                        <w:t>(blue bar in a) and in subsequent panels)</w:t>
                      </w:r>
                      <w:r w:rsidRPr="006D2CCD">
                        <w:t>.</w:t>
                      </w:r>
                      <w:r>
                        <w:t xml:space="preserve"> A subject can place their bid anywhere along the bidding range, but optimally should bid their utility for the auctioned good. In b) the subject’s bid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which is higher than the highest opposing bid</w:t>
                      </w:r>
                      <w:r w:rsidRPr="00764A51">
                        <w:rPr>
                          <w:b/>
                          <w:bCs/>
                        </w:rPr>
                        <w:t xml:space="preserv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(orange bar), so the subject wins the auction and pays the ‘second-price’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 xml:space="preserve">). In c) the subject makes the same,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but this is lower than the largest opposing bid, so the subject does not win the auctioned good but keeps their entire endowment. In d-g) the subject deviates from their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(blue bar as previously) to raise their bid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t>, d-e)), or lower their bid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 f-g)), represented by a green bar. In d) raising one’s bid has no effect on the outcome, but in e) we can see that this means risking overpaying for the good when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 In f-g) the subject decides instead to lower their bid to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(green bar again), which has no effect on the outcome when the subject loses the auction, but gives rise to the possibility of missing out on profit when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w:t>
                      </w:r>
                    </w:p>
                  </w:txbxContent>
                </v:textbox>
                <w10:wrap type="square" anchorx="margin"/>
              </v:shape>
            </w:pict>
          </mc:Fallback>
        </mc:AlternateContent>
      </w:r>
      <w:r w:rsidRPr="00CB0F88">
        <w:rPr>
          <w:noProof/>
        </w:rPr>
        <w:drawing>
          <wp:inline distT="0" distB="0" distL="0" distR="0" wp14:anchorId="4DCF6434" wp14:editId="7E484A5C">
            <wp:extent cx="5731510" cy="5740400"/>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740400"/>
                    </a:xfrm>
                    <a:prstGeom prst="rect">
                      <a:avLst/>
                    </a:prstGeom>
                  </pic:spPr>
                </pic:pic>
              </a:graphicData>
            </a:graphic>
          </wp:inline>
        </w:drawing>
      </w:r>
      <w:r w:rsidR="007A1F33">
        <w:rPr>
          <w:noProof/>
          <w:u w:val="single"/>
        </w:rPr>
        <w:br w:type="page"/>
      </w:r>
    </w:p>
    <w:p w14:paraId="03F1D82D" w14:textId="77777777" w:rsidR="00556AFC" w:rsidRDefault="00556AFC">
      <w:pPr>
        <w:rPr>
          <w:noProof/>
          <w:u w:val="single"/>
        </w:rPr>
      </w:pPr>
    </w:p>
    <w:p w14:paraId="30E7AC20" w14:textId="335B9CA9" w:rsidR="00556AFC" w:rsidRPr="00963719" w:rsidRDefault="00556AFC">
      <w:pPr>
        <w:rPr>
          <w:noProof/>
        </w:rPr>
      </w:pPr>
      <w:r w:rsidRPr="00963719">
        <w:rPr>
          <w:noProof/>
        </w:rPr>
        <w:drawing>
          <wp:inline distT="0" distB="0" distL="0" distR="0" wp14:anchorId="7ABCC741" wp14:editId="00A9D009">
            <wp:extent cx="5731510" cy="5089525"/>
            <wp:effectExtent l="0" t="0" r="254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77289CDD" w14:textId="6669A0BA" w:rsidR="003C4203" w:rsidRDefault="00E4330C" w:rsidP="00AC3F41">
      <w:r w:rsidRPr="00963719">
        <w:rPr>
          <w:noProof/>
        </w:rPr>
        <mc:AlternateContent>
          <mc:Choice Requires="wps">
            <w:drawing>
              <wp:anchor distT="45720" distB="45720" distL="114300" distR="114300" simplePos="0" relativeHeight="251659264" behindDoc="0" locked="0" layoutInCell="1" allowOverlap="1" wp14:anchorId="6BAE5377" wp14:editId="685E4218">
                <wp:simplePos x="0" y="0"/>
                <wp:positionH relativeFrom="margin">
                  <wp:align>left</wp:align>
                </wp:positionH>
                <wp:positionV relativeFrom="paragraph">
                  <wp:posOffset>221615</wp:posOffset>
                </wp:positionV>
                <wp:extent cx="5440680" cy="3025140"/>
                <wp:effectExtent l="0" t="0" r="2667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0680" cy="3025140"/>
                        </a:xfrm>
                        <a:prstGeom prst="rect">
                          <a:avLst/>
                        </a:prstGeom>
                        <a:solidFill>
                          <a:srgbClr val="FFFFFF"/>
                        </a:solidFill>
                        <a:ln w="9525">
                          <a:solidFill>
                            <a:srgbClr val="000000"/>
                          </a:solidFill>
                          <a:miter lim="800000"/>
                          <a:headEnd/>
                          <a:tailEnd/>
                        </a:ln>
                      </wps:spPr>
                      <wps:txbx>
                        <w:txbxContent>
                          <w:p w14:paraId="540B4F12" w14:textId="588EB1F7" w:rsidR="00FE142F" w:rsidRPr="00556AFC" w:rsidRDefault="00FE142F">
                            <w:r w:rsidRPr="00314CA8">
                              <w:rPr>
                                <w:b/>
                                <w:bCs/>
                              </w:rPr>
                              <w:t>Figure 3: The expected payoff for a BDM auction given an initial endowment of 10 utils.</w:t>
                            </w:r>
                            <w:r>
                              <w:t xml:space="preserve"> Expected payoff is calculated analytically and is the mean total utility received at the end of a trial from a potentially won good and what remains of the initial endowment.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Red circles indicate the maximum possible payoff per situation and are found when a participant’s bid is equal to the utility of the good. The dashed black line is at 10 utils, indicating the utility a participant would gain if they could simply keep their endowment and not participate in the auction.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E5377" id="_x0000_s1028" type="#_x0000_t202" style="position:absolute;margin-left:0;margin-top:17.45pt;width:428.4pt;height:238.2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">
                <v:textbox>
                  <w:txbxContent>
                    <w:p w14:paraId="540B4F12" w14:textId="588EB1F7" w:rsidR="00FE142F" w:rsidRPr="00556AFC" w:rsidRDefault="00FE142F">
                      <w:r w:rsidRPr="00314CA8">
                        <w:rPr>
                          <w:b/>
                          <w:bCs/>
                        </w:rPr>
                        <w:t>Figure 3: The expected payoff for a BDM auction given an initial endowment of 10 utils.</w:t>
                      </w:r>
                      <w:r>
                        <w:t xml:space="preserve"> Expected payoff is calculated analytically and is the mean total utility received at the end of a trial from a potentially won good and what remains of the initial endowment.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Red circles indicate the maximum possible payoff per situation and are found when a participant’s bid is equal to the utility of the good. The dashed black line is at 10 utils, indicating the utility a participant would gain if they could simply keep their endowment and not participate in the auction.</w:t>
                      </w:r>
                    </w:p>
                  </w:txbxContent>
                </v:textbox>
                <w10:wrap type="square" anchorx="margin"/>
              </v:shape>
            </w:pict>
          </mc:Fallback>
        </mc:AlternateContent>
      </w:r>
      <w:r w:rsidR="003C4203">
        <w:tab/>
      </w:r>
    </w:p>
    <w:p w14:paraId="33671753" w14:textId="0B9CBCD4" w:rsidR="003C4203" w:rsidRDefault="003C4203">
      <w:pPr>
        <w:widowControl/>
        <w:suppressAutoHyphens w:val="0"/>
        <w:spacing w:after="160" w:line="259" w:lineRule="auto"/>
      </w:pPr>
    </w:p>
    <w:p w14:paraId="333E8364" w14:textId="1704BD27" w:rsidR="003C4203" w:rsidRPr="003C4203" w:rsidRDefault="00E4330C" w:rsidP="003C4203">
      <w:pPr>
        <w:tabs>
          <w:tab w:val="left" w:pos="7236"/>
        </w:tabs>
      </w:pPr>
      <w:r w:rsidRPr="00963719">
        <w:rPr>
          <w:noProof/>
        </w:rPr>
        <w:lastRenderedPageBreak/>
        <mc:AlternateContent>
          <mc:Choice Requires="wps">
            <w:drawing>
              <wp:anchor distT="45720" distB="45720" distL="114300" distR="114300" simplePos="0" relativeHeight="251661312" behindDoc="0" locked="0" layoutInCell="1" allowOverlap="1" wp14:anchorId="47AD9C2C" wp14:editId="2BD9341F">
                <wp:simplePos x="0" y="0"/>
                <wp:positionH relativeFrom="margin">
                  <wp:align>left</wp:align>
                </wp:positionH>
                <wp:positionV relativeFrom="paragraph">
                  <wp:posOffset>5212715</wp:posOffset>
                </wp:positionV>
                <wp:extent cx="5440680" cy="3284220"/>
                <wp:effectExtent l="0" t="0" r="2667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0680" cy="3284220"/>
                        </a:xfrm>
                        <a:prstGeom prst="rect">
                          <a:avLst/>
                        </a:prstGeom>
                        <a:solidFill>
                          <a:srgbClr val="FFFFFF"/>
                        </a:solidFill>
                        <a:ln w="9525">
                          <a:solidFill>
                            <a:srgbClr val="000000"/>
                          </a:solidFill>
                          <a:miter lim="800000"/>
                          <a:headEnd/>
                          <a:tailEnd/>
                        </a:ln>
                      </wps:spPr>
                      <wps:txbx>
                        <w:txbxContent>
                          <w:p w14:paraId="2B90D75B" w14:textId="0836FC50" w:rsidR="00FE142F" w:rsidRPr="00556AFC" w:rsidRDefault="00FE142F" w:rsidP="00E4330C">
                            <w:r w:rsidRPr="00314CA8">
                              <w:rPr>
                                <w:b/>
                                <w:bCs/>
                              </w:rPr>
                              <w:t>Figure 4: The expected cost of misbehaviour in a BDM auction given an initial endowment of 10 utils.</w:t>
                            </w:r>
                            <w:r>
                              <w:t xml:space="preserve"> Expected cost of misbehaviour is calculated analytically and represents the difference between the expected payoff from a trial given the participants bid, and the expected payoff of a trial where the participant bids optimally (bid == utility). Red circles indicate the cost of misbehaviour for a hyper-rational bidder who always bids their utility and show an expected cost of misbehaviour equal to zero.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The dashed black line is at 10 utils, indicating the maximum possible misbehaviour of a participant who refuses to interact with the task and does not get to keep their ‘endowment’.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D9C2C" id="_x0000_s1029" type="#_x0000_t202" style="position:absolute;margin-left:0;margin-top:410.45pt;width:428.4pt;height:258.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">
                <v:textbox>
                  <w:txbxContent>
                    <w:p w14:paraId="2B90D75B" w14:textId="0836FC50" w:rsidR="00FE142F" w:rsidRPr="00556AFC" w:rsidRDefault="00FE142F" w:rsidP="00E4330C">
                      <w:r w:rsidRPr="00314CA8">
                        <w:rPr>
                          <w:b/>
                          <w:bCs/>
                        </w:rPr>
                        <w:t>Figure 4: The expected cost of misbehaviour in a BDM auction given an initial endowment of 10 utils.</w:t>
                      </w:r>
                      <w:r>
                        <w:t xml:space="preserve"> Expected cost of misbehaviour is calculated analytically and represents the difference between the expected payoff from a trial given the participants bid, and the expected payoff of a trial where the participant bids optimally (bid == utility). Red circles indicate the cost of misbehaviour for a hyper-rational bidder who always bids their utility and show an expected cost of misbehaviour equal to zero.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The dashed black line is at 10 utils, indicating the maximum possible misbehaviour of a participant who refuses to interact with the task and does not get to keep their ‘endowment’.</w:t>
                      </w:r>
                    </w:p>
                  </w:txbxContent>
                </v:textbox>
                <w10:wrap type="square" anchorx="margin"/>
              </v:shape>
            </w:pict>
          </mc:Fallback>
        </mc:AlternateContent>
      </w:r>
      <w:r>
        <w:rPr>
          <w:noProof/>
        </w:rPr>
        <w:drawing>
          <wp:inline distT="0" distB="0" distL="0" distR="0" wp14:anchorId="53D9141C" wp14:editId="19A85E8B">
            <wp:extent cx="5731510" cy="5089525"/>
            <wp:effectExtent l="0" t="0" r="2540" b="0"/>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hist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3EA58EB6" w14:textId="2013B2A6" w:rsidR="003C4203" w:rsidRPr="003C4203" w:rsidRDefault="003C4203" w:rsidP="003C4203"/>
    <w:p w14:paraId="4B64B054" w14:textId="2D550F66" w:rsidR="003C4203" w:rsidRPr="003C4203" w:rsidRDefault="006B4AC2" w:rsidP="003C4203">
      <w:r>
        <w:rPr>
          <w:noProof/>
        </w:rPr>
        <w:lastRenderedPageBreak/>
        <mc:AlternateContent>
          <mc:Choice Requires="wps">
            <w:drawing>
              <wp:anchor distT="45720" distB="45720" distL="114300" distR="114300" simplePos="0" relativeHeight="251663360" behindDoc="0" locked="0" layoutInCell="1" allowOverlap="1" wp14:anchorId="3490718E" wp14:editId="348F6215">
                <wp:simplePos x="0" y="0"/>
                <wp:positionH relativeFrom="margin">
                  <wp:align>left</wp:align>
                </wp:positionH>
                <wp:positionV relativeFrom="paragraph">
                  <wp:posOffset>5273040</wp:posOffset>
                </wp:positionV>
                <wp:extent cx="5623560" cy="2735580"/>
                <wp:effectExtent l="0" t="0" r="15240" b="266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2735580"/>
                        </a:xfrm>
                        <a:prstGeom prst="rect">
                          <a:avLst/>
                        </a:prstGeom>
                        <a:solidFill>
                          <a:srgbClr val="FFFFFF"/>
                        </a:solidFill>
                        <a:ln w="9525">
                          <a:solidFill>
                            <a:srgbClr val="000000"/>
                          </a:solidFill>
                          <a:miter lim="800000"/>
                          <a:headEnd/>
                          <a:tailEnd/>
                        </a:ln>
                      </wps:spPr>
                      <wps:txbx>
                        <w:txbxContent>
                          <w:p w14:paraId="554B477F" w14:textId="3270D593" w:rsidR="00FE142F" w:rsidRPr="006B4AC2" w:rsidRDefault="00FE142F">
                            <w:r>
                              <w:rPr>
                                <w:b/>
                                <w:bCs/>
                              </w:rPr>
                              <w:t xml:space="preserve">Figures 5a-c): How the distribution of computer bids defines the shape of the payoff and cost curves for a good of known utility. </w:t>
                            </w:r>
                            <w:r>
                              <w:t>In a) and b) a good of known utility of 6.25 utils and show the expected payoff from a BDM auction where a participant is endowed with a budget of 10 utils. Payoffs and cost of misbehaviour are calculated as in Figures 3 and 4. Red circles indicate the maximum payoffs (a) and minimum expected cost of misbehaviour (b). These are observed where the participant bids the exact value of the offered good (6.25 utils). Expected payoff and cost of misbehaviour curves are shown for the three different distributions of computer bids described in Figures 3 and 4. In c) the mean cost of misbehaviour for a monkey which bids uniformly randomly across the endowment budget range is shown for a range of offered good utilities. Colours of bars indicate the opposing computer bid distribution and error bars represent the standard error of the mean. The ‘matched normal’ distribution of bids is not shown in c) as it requires a separate distribution for each given utility of an offered good.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0718E" id="_x0000_s1030" type="#_x0000_t202" style="position:absolute;margin-left:0;margin-top:415.2pt;width:442.8pt;height:215.4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">
                <v:textbox>
                  <w:txbxContent>
                    <w:p w14:paraId="554B477F" w14:textId="3270D593" w:rsidR="00FE142F" w:rsidRPr="006B4AC2" w:rsidRDefault="00FE142F">
                      <w:r>
                        <w:rPr>
                          <w:b/>
                          <w:bCs/>
                        </w:rPr>
                        <w:t xml:space="preserve">Figures 5a-c): How the distribution of computer bids defines the shape of the payoff and cost curves for a good of known utility. </w:t>
                      </w:r>
                      <w:r>
                        <w:t>In a) and b) a good of known utility of 6.25 utils and show the expected payoff from a BDM auction where a participant is endowed with a budget of 10 utils. Payoffs and cost of misbehaviour are calculated as in Figures 3 and 4. Red circles indicate the maximum payoffs (a) and minimum expected cost of misbehaviour (b). These are observed where the participant bids the exact value of the offered good (6.25 utils). Expected payoff and cost of misbehaviour curves are shown for the three different distributions of computer bids described in Figures 3 and 4. In c) the mean cost of misbehaviour for a monkey which bids uniformly randomly across the endowment budget range is shown for a range of offered good utilities. Colours of bars indicate the opposing computer bid distribution and error bars represent the standard error of the mean. The ‘matched normal’ distribution of bids is not shown in c) as it requires a separate distribution for each given utility of an offered good.</w:t>
                      </w:r>
                    </w:p>
                  </w:txbxContent>
                </v:textbox>
                <w10:wrap type="square" anchorx="margin"/>
              </v:shape>
            </w:pict>
          </mc:Fallback>
        </mc:AlternateContent>
      </w:r>
      <w:r w:rsidR="009D2F41">
        <w:rPr>
          <w:noProof/>
        </w:rPr>
        <w:drawing>
          <wp:inline distT="0" distB="0" distL="0" distR="0" wp14:anchorId="333C9778" wp14:editId="5B347EDA">
            <wp:extent cx="5731510" cy="5089525"/>
            <wp:effectExtent l="0" t="0" r="2540" b="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119A58DF" w14:textId="073B3D83" w:rsidR="003C4203" w:rsidRPr="003C4203" w:rsidRDefault="003C4203" w:rsidP="003C4203"/>
    <w:p w14:paraId="42F3EEA1" w14:textId="6F529BEF" w:rsidR="003C4203" w:rsidRPr="003C4203" w:rsidRDefault="003C4203" w:rsidP="003C4203"/>
    <w:p w14:paraId="3F8E722F" w14:textId="21C57568" w:rsidR="002350E8" w:rsidRDefault="002350E8">
      <w:pPr>
        <w:widowControl/>
        <w:suppressAutoHyphens w:val="0"/>
        <w:spacing w:after="160" w:line="259" w:lineRule="auto"/>
      </w:pPr>
      <w:r>
        <w:br w:type="page"/>
      </w:r>
    </w:p>
    <w:p w14:paraId="0FC19CDC" w14:textId="77777777" w:rsidR="00CD411B" w:rsidRPr="00B61776" w:rsidRDefault="00CD411B" w:rsidP="00CD411B">
      <w:pPr>
        <w:rPr>
          <w:b/>
        </w:rPr>
      </w:pPr>
      <w:r w:rsidRPr="00B61776">
        <w:rPr>
          <w:b/>
        </w:rPr>
        <w:lastRenderedPageBreak/>
        <w:t xml:space="preserve">Appendix </w:t>
      </w:r>
      <w:r>
        <w:rPr>
          <w:b/>
        </w:rPr>
        <w:t>1</w:t>
      </w:r>
      <w:r w:rsidRPr="00B61776">
        <w:rPr>
          <w:b/>
        </w:rPr>
        <w:t xml:space="preserve">- </w:t>
      </w:r>
      <w:r>
        <w:rPr>
          <w:b/>
        </w:rPr>
        <w:t>Derivations of payoff and expected cost of misbehaviour on a BDM auction trial</w:t>
      </w:r>
      <w:r w:rsidRPr="00B61776">
        <w:rPr>
          <w:b/>
        </w:rPr>
        <w:t xml:space="preserve"> </w:t>
      </w:r>
    </w:p>
    <w:p w14:paraId="11AB6736" w14:textId="77777777" w:rsidR="00CD411B" w:rsidRDefault="00CD411B" w:rsidP="00CD411B"/>
    <w:p w14:paraId="77A33A70" w14:textId="4E7E5E8C" w:rsidR="00CD411B" w:rsidRDefault="00CD411B" w:rsidP="00CD411B">
      <w:r>
        <w:t xml:space="preserve">For a more formal proof of the incentive-compatibility of the BDM task, we present a proof, originally adapted from </w:t>
      </w:r>
      <w:r>
        <w:fldChar w:fldCharType="begin" w:fldLock="1"/>
      </w:r>
      <w: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J.","non-dropping-particle":"","parse-names":false,"suffix":""}],"container-title":"Econometrica","id":"ITEM-1","issue":"5","issued":{"date-parts":[["1982"]]},"page":"1089","title":"A Theory of Auctions and Competitive Bidding","type":"article-journal","volume":"50"},"uris":["http://www.mendeley.com/documents/?uuid=3dfe22a3-266a-41e6-8d78-c1f7b6058a43"]}],"mendeley":{"formattedCitation":"(Milgrom &amp; Weber, 1982)","manualFormatting":"Milgrom &amp; Weber, 1982","plainTextFormattedCitation":"(Milgrom &amp; Weber, 1982)","previouslyFormattedCitation":"(Milgrom &amp; Weber, 1982)"},"properties":{"noteIndex":0},"schema":"https://github.com/citation-style-language/schema/raw/master/csl-citation.json"}</w:instrText>
      </w:r>
      <w:r>
        <w:fldChar w:fldCharType="separate"/>
      </w:r>
      <w:r w:rsidRPr="00AF5259">
        <w:rPr>
          <w:noProof/>
        </w:rPr>
        <w:t>Milgrom &amp; Weber, 1982</w:t>
      </w:r>
      <w:r>
        <w:fldChar w:fldCharType="end"/>
      </w:r>
      <w:r>
        <w:t xml:space="preserve"> in </w:t>
      </w:r>
      <w:r>
        <w:fldChar w:fldCharType="begin" w:fldLock="1"/>
      </w:r>
      <w:r w:rsidR="0017319F">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fldChar w:fldCharType="separate"/>
      </w:r>
      <w:r w:rsidRPr="00AF5259">
        <w:rPr>
          <w:noProof/>
        </w:rPr>
        <w:t>Al-Mohammad &amp; Schultz, 2019</w:t>
      </w:r>
      <w:r>
        <w:fldChar w:fldCharType="end"/>
      </w:r>
      <w:r>
        <w:t>. Terms have been edited slightly to reflect their usage in this thesis, but the proof otherwise remains the same.</w:t>
      </w:r>
    </w:p>
    <w:p w14:paraId="4C05C0E4" w14:textId="77777777" w:rsidR="00CD411B" w:rsidRDefault="00CD411B" w:rsidP="00CD411B"/>
    <w:p w14:paraId="13C5BB61" w14:textId="77777777" w:rsidR="00CD411B" w:rsidRDefault="00CD411B" w:rsidP="00CD411B">
      <w:r>
        <w:t xml:space="preserve">We assume that any participant has smooth, continuous, and differentiable utility function. An example is shown in figure 6, where the red lines shows the expected utility of hypothetical participants for bids increasing along the x axis. The black straight lines show the differentiation of this utility function with respect to bid at certain points along this curve. </w:t>
      </w:r>
    </w:p>
    <w:p w14:paraId="23B235D5" w14:textId="77777777" w:rsidR="00CD411B" w:rsidRDefault="00CD411B" w:rsidP="00CD411B"/>
    <w:p w14:paraId="06C7EBB2" w14:textId="77777777" w:rsidR="00CD411B" w:rsidRDefault="00CD411B" w:rsidP="00CD411B">
      <w:r>
        <w:t>We know that the expected utility a participant has is the expected utility of winning the auction multiplied by the probability of winning the auction, plus the expected utility of losing the auction multiplied by the chance of losing the auction.</w:t>
      </w:r>
    </w:p>
    <w:p w14:paraId="3EA9D1CC" w14:textId="77777777" w:rsidR="00CD411B" w:rsidRDefault="00CD411B" w:rsidP="00CD411B"/>
    <w:p w14:paraId="13E2598D" w14:textId="77777777" w:rsidR="00CD411B" w:rsidRDefault="00CD411B" w:rsidP="00CD411B"/>
    <w:p w14:paraId="6D9232EA" w14:textId="77777777" w:rsidR="00CD411B" w:rsidRPr="00017524" w:rsidRDefault="00CD411B" w:rsidP="00CD411B">
      <w:pPr>
        <w:rPr>
          <w:bCs/>
        </w:rPr>
      </w:pPr>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 xml:space="preserve"> + (1 - </m:t>
          </m:r>
          <m:sSub>
            <m:sSubPr>
              <m:ctrlPr>
                <w:rPr>
                  <w:rFonts w:ascii="Cambria Math" w:hAnsi="Cambria Math"/>
                  <w:i/>
                </w:rPr>
              </m:ctrlPr>
            </m:sSubPr>
            <m:e>
              <m:r>
                <w:rPr>
                  <w:rFonts w:ascii="Cambria Math" w:hAnsi="Cambria Math"/>
                </w:rPr>
                <m:t>p</m:t>
              </m:r>
            </m:e>
            <m:sub>
              <m:r>
                <w:rPr>
                  <w:rFonts w:ascii="Cambria Math" w:hAnsi="Cambria Math"/>
                </w:rPr>
                <m:t>win</m:t>
              </m:r>
            </m:sub>
          </m:sSub>
          <m:r>
            <w:rPr>
              <w:rFonts w:ascii="Cambria Math" w:hAnsi="Cambria Math"/>
            </w:rPr>
            <m:t>)</m:t>
          </m:r>
          <m:r>
            <m:rPr>
              <m:sty m:val="p"/>
            </m:rPr>
            <w:rPr>
              <w:rFonts w:ascii="Cambria Math" w:hAnsi="Cambria Math"/>
            </w:rPr>
            <m:t>⋅</m:t>
          </m:r>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|loss</m:t>
              </m:r>
            </m:e>
          </m:d>
        </m:oMath>
      </m:oMathPara>
    </w:p>
    <w:p w14:paraId="1CB819CB" w14:textId="77777777" w:rsidR="00CD411B" w:rsidRDefault="00CD411B" w:rsidP="00CD411B">
      <w:pPr>
        <w:rPr>
          <w:bCs/>
        </w:rPr>
      </w:pPr>
    </w:p>
    <w:p w14:paraId="5DC2520B" w14:textId="77777777" w:rsidR="00CD411B" w:rsidRDefault="00CD411B" w:rsidP="00CD411B">
      <w:pPr>
        <w:rPr>
          <w:bCs/>
        </w:rPr>
      </w:pPr>
      <w:r>
        <w:rPr>
          <w:bCs/>
        </w:rPr>
        <w:t xml:space="preserve">In the main text of Chapter 2, and in Appendix 3 we discuss the closed form solutions to this expected utility when participants make bids against one computer randomly drawing its bid from a uniform distribution. Here we consider a participant bidding in a ‘life-like’ auction where a participant bids against any number of other bidders with unknown utility functions of their own. </w:t>
      </w:r>
    </w:p>
    <w:p w14:paraId="02D24CE9" w14:textId="77777777" w:rsidR="00CD411B" w:rsidRDefault="00CD411B" w:rsidP="00CD411B">
      <w:pPr>
        <w:rPr>
          <w:bCs/>
        </w:rPr>
      </w:pPr>
    </w:p>
    <w:p w14:paraId="58DD431C" w14:textId="77777777" w:rsidR="00CD411B" w:rsidRDefault="00CD411B" w:rsidP="00CD411B">
      <w:r>
        <w:rPr>
          <w:bCs/>
        </w:rPr>
        <w:t xml:space="preserve">This participant places a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B0104A">
        <w:t>,</w:t>
      </w:r>
      <w:r>
        <w:t xml:space="preserve"> which determines whether they win an auction against any number of other bids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opps</m:t>
            </m:r>
          </m:sub>
        </m:sSub>
      </m:oMath>
      <w:r w:rsidRPr="00B0104A">
        <w:t>,</w:t>
      </w:r>
      <w:r>
        <w:t xml:space="preserve"> where the maximum of these,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B</m:t>
                </m:r>
              </m:e>
            </m:acc>
          </m:e>
          <m:sub>
            <m:r>
              <m:rPr>
                <m:sty m:val="bi"/>
              </m:rPr>
              <w:rPr>
                <w:rFonts w:ascii="Cambria Math" w:hAnsi="Cambria Math"/>
              </w:rPr>
              <m:t>opps</m:t>
            </m:r>
          </m:sub>
        </m:sSub>
      </m:oMath>
      <w:r>
        <w:rPr>
          <w:b/>
          <w:bCs/>
        </w:rPr>
        <w:t xml:space="preserve"> </w:t>
      </w:r>
      <w:r w:rsidRPr="008A2BB2">
        <w:t>determines</w:t>
      </w:r>
      <w:r>
        <w:t xml:space="preserve"> the price paid in the event of the participant winning the auction. The probability of winning or losing any auction trial is therefore a cumulative distribution function of the opposing bids, </w:t>
      </w:r>
      <m:oMath>
        <m:r>
          <w:rPr>
            <w:rFonts w:ascii="Cambria Math" w:hAnsi="Cambria Math"/>
          </w:rPr>
          <m:t>f</m:t>
        </m:r>
      </m:oMath>
      <w:r>
        <w:t>(</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xml:space="preserve">) bounded by the minimum possible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rsidRPr="00B0104A">
        <w:t>,</w:t>
      </w:r>
      <w:r>
        <w:t xml:space="preserve"> and the subjects bid.</w:t>
      </w:r>
    </w:p>
    <w:p w14:paraId="3B64796B" w14:textId="77777777" w:rsidR="00CD411B" w:rsidRPr="00B0104A" w:rsidRDefault="00CD411B" w:rsidP="00CD411B">
      <w:pPr>
        <w:rPr>
          <w:iCs/>
        </w:rPr>
      </w:pPr>
    </w:p>
    <w:p w14:paraId="1892CC19" w14:textId="77777777" w:rsidR="00CD411B" w:rsidRPr="00FF344A" w:rsidRDefault="00CD411B" w:rsidP="00CD411B">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r>
                <w:rPr>
                  <w:rFonts w:ascii="Cambria Math" w:hAnsi="Cambria Math"/>
                </w:rPr>
                <m:t xml:space="preserve">+ </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subject</m:t>
                      </m:r>
                    </m:sub>
                  </m:sSub>
                </m:sub>
                <m:sup>
                  <m:sSub>
                    <m:sSubPr>
                      <m:ctrlPr>
                        <w:rPr>
                          <w:rFonts w:ascii="Cambria Math" w:hAnsi="Cambria Math"/>
                          <w:i/>
                        </w:rPr>
                      </m:ctrlPr>
                    </m:sSubPr>
                    <m:e>
                      <m:r>
                        <w:rPr>
                          <w:rFonts w:ascii="Cambria Math" w:hAnsi="Cambria Math"/>
                        </w:rPr>
                        <m:t>B</m:t>
                      </m:r>
                    </m:e>
                    <m:sub>
                      <m:r>
                        <w:rPr>
                          <w:rFonts w:ascii="Cambria Math" w:hAnsi="Cambria Math"/>
                        </w:rPr>
                        <m:t>max</m:t>
                      </m:r>
                    </m:sub>
                  </m:sSub>
                </m:sup>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|loss</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e>
          </m:nary>
        </m:oMath>
      </m:oMathPara>
    </w:p>
    <w:p w14:paraId="52ACA6D5" w14:textId="77777777" w:rsidR="00CD411B" w:rsidRDefault="00CD411B" w:rsidP="00CD411B"/>
    <w:p w14:paraId="44892BB8" w14:textId="77777777" w:rsidR="00CD411B" w:rsidRDefault="00CD411B" w:rsidP="00CD411B">
      <w:r>
        <w:t>As we are considering auctions as commonly understood in the marketplace (and not as carried out in economic/psychological/neuroscientific contexts)</w:t>
      </w:r>
      <w:r>
        <w:rPr>
          <w:rStyle w:val="FootnoteReference"/>
        </w:rPr>
        <w:footnoteReference w:id="19"/>
      </w:r>
      <w:r>
        <w:t xml:space="preserve">, we assume that the utility </w:t>
      </w:r>
      <m:oMath>
        <m:r>
          <m:rPr>
            <m:sty m:val="bi"/>
          </m:rPr>
          <w:rPr>
            <w:rFonts w:ascii="Cambria Math" w:hAnsi="Cambria Math"/>
          </w:rPr>
          <m:t>U</m:t>
        </m:r>
        <m:d>
          <m:dPr>
            <m:ctrlPr>
              <w:rPr>
                <w:rFonts w:ascii="Cambria Math" w:hAnsi="Cambria Math"/>
                <w:b/>
                <w:bCs/>
                <w:i/>
              </w:rPr>
            </m:ctrlPr>
          </m:dPr>
          <m:e>
            <m:bar>
              <m:barPr>
                <m:pos m:val="top"/>
                <m:ctrlPr>
                  <w:rPr>
                    <w:rFonts w:ascii="Cambria Math" w:hAnsi="Cambria Math"/>
                    <w:b/>
                    <w:bCs/>
                  </w:rPr>
                </m:ctrlPr>
              </m:barPr>
              <m:e>
                <m:r>
                  <m:rPr>
                    <m:sty m:val="bi"/>
                  </m:rPr>
                  <w:rPr>
                    <w:rFonts w:ascii="Cambria Math" w:hAnsi="Cambria Math"/>
                  </w:rPr>
                  <m:t>P</m:t>
                </m:r>
              </m:e>
            </m:bar>
            <m:r>
              <m:rPr>
                <m:sty m:val="bi"/>
              </m:rPr>
              <w:rPr>
                <w:rFonts w:ascii="Cambria Math" w:hAnsi="Cambria Math"/>
              </w:rPr>
              <m:t>|loss</m:t>
            </m:r>
          </m:e>
        </m:d>
      </m:oMath>
      <w:r>
        <w:rPr>
          <w:b/>
          <w:bCs/>
        </w:rPr>
        <w:t xml:space="preserve"> </w:t>
      </w:r>
      <w:r>
        <w:t>is zero; the participant neither wins, nor pays anything for an auctioned good</w:t>
      </w:r>
      <w:r>
        <w:rPr>
          <w:rStyle w:val="FootnoteReference"/>
        </w:rPr>
        <w:footnoteReference w:id="20"/>
      </w:r>
      <w:r>
        <w:t>.</w:t>
      </w:r>
    </w:p>
    <w:p w14:paraId="5D5F12B9" w14:textId="77777777" w:rsidR="00CD411B" w:rsidRDefault="00CD411B" w:rsidP="00CD411B"/>
    <w:p w14:paraId="235E3E17" w14:textId="77777777" w:rsidR="00CD411B" w:rsidRPr="00FF344A" w:rsidRDefault="00CD411B" w:rsidP="00CD411B">
      <m:oMathPara>
        <m:oMath>
          <m:r>
            <w:rPr>
              <w:rFonts w:ascii="Cambria Math" w:hAnsi="Cambria Math"/>
            </w:rPr>
            <w:lastRenderedPageBreak/>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r>
                <w:rPr>
                  <w:rFonts w:ascii="Cambria Math" w:hAnsi="Cambria Math"/>
                </w:rPr>
                <m:t xml:space="preserve">+ </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subject</m:t>
                      </m:r>
                    </m:sub>
                  </m:sSub>
                </m:sub>
                <m:sup>
                  <m:sSub>
                    <m:sSubPr>
                      <m:ctrlPr>
                        <w:rPr>
                          <w:rFonts w:ascii="Cambria Math" w:hAnsi="Cambria Math"/>
                          <w:i/>
                        </w:rPr>
                      </m:ctrlPr>
                    </m:sSubPr>
                    <m:e>
                      <m:r>
                        <w:rPr>
                          <w:rFonts w:ascii="Cambria Math" w:hAnsi="Cambria Math"/>
                        </w:rPr>
                        <m:t>B</m:t>
                      </m:r>
                    </m:e>
                    <m:sub>
                      <m:r>
                        <w:rPr>
                          <w:rFonts w:ascii="Cambria Math" w:hAnsi="Cambria Math"/>
                        </w:rPr>
                        <m:t>max</m:t>
                      </m:r>
                    </m:sub>
                  </m:sSub>
                </m:sup>
                <m:e>
                  <m:r>
                    <w:rPr>
                      <w:rFonts w:ascii="Cambria Math" w:hAnsi="Cambria Math"/>
                    </w:rPr>
                    <m:t>0 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e>
          </m:nary>
        </m:oMath>
      </m:oMathPara>
    </w:p>
    <w:p w14:paraId="7180CDFF" w14:textId="77777777" w:rsidR="00CD411B" w:rsidRPr="00984640" w:rsidRDefault="00CD411B" w:rsidP="00CD411B"/>
    <w:p w14:paraId="756BA113" w14:textId="77777777" w:rsidR="00CD411B" w:rsidRPr="00FF344A" w:rsidRDefault="00CD411B" w:rsidP="00CD411B">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oMath>
      </m:oMathPara>
    </w:p>
    <w:p w14:paraId="3D0F5668" w14:textId="77777777" w:rsidR="00CD411B" w:rsidRDefault="00CD411B" w:rsidP="00CD411B"/>
    <w:p w14:paraId="10729B0B" w14:textId="77777777" w:rsidR="00CD411B" w:rsidRDefault="00CD411B" w:rsidP="00CD411B">
      <w:r>
        <w:t>The expected utility of the payoff, given that the participant wins the auction is equal to the utility of the won good (</w:t>
      </w:r>
      <m:oMath>
        <m:r>
          <m:rPr>
            <m:sty m:val="bi"/>
          </m:rPr>
          <w:rPr>
            <w:rFonts w:ascii="Cambria Math" w:hAnsi="Cambria Math"/>
          </w:rPr>
          <m:t>G</m:t>
        </m:r>
      </m:oMath>
      <w:r>
        <w:rPr>
          <w:b/>
          <w:bCs/>
        </w:rPr>
        <w:t xml:space="preserve">), </w:t>
      </w:r>
      <w:r>
        <w:t>minus the payment for the good</w:t>
      </w:r>
    </w:p>
    <w:p w14:paraId="17B29E82" w14:textId="77777777" w:rsidR="00CD411B" w:rsidRDefault="00CD411B" w:rsidP="00CD411B"/>
    <w:p w14:paraId="3A77ACD4" w14:textId="77777777" w:rsidR="00CD411B" w:rsidRPr="00FF344A" w:rsidRDefault="00CD411B" w:rsidP="00CD411B">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r>
                <w:rPr>
                  <w:rFonts w:ascii="Cambria Math" w:hAnsi="Cambria Math"/>
                </w:rPr>
                <m:t>U</m:t>
              </m:r>
              <m:d>
                <m:dPr>
                  <m:ctrlPr>
                    <w:rPr>
                      <w:rFonts w:ascii="Cambria Math" w:hAnsi="Cambria Math"/>
                      <w:bCs/>
                      <w:i/>
                    </w:rPr>
                  </m:ctrlPr>
                </m:dPr>
                <m:e>
                  <m:r>
                    <w:rPr>
                      <w:rFonts w:ascii="Cambria Math" w:hAnsi="Cambria Math"/>
                    </w:rPr>
                    <m:t xml:space="preserve">G - </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oMath>
      </m:oMathPara>
    </w:p>
    <w:p w14:paraId="1C2E256C" w14:textId="77777777" w:rsidR="00CD411B" w:rsidRDefault="00CD411B" w:rsidP="00CD411B"/>
    <w:p w14:paraId="315E62FF" w14:textId="77777777" w:rsidR="00CD411B" w:rsidRDefault="00CD411B" w:rsidP="00CD411B">
      <w:r>
        <w:t xml:space="preserve">The maximum utility to a participant, </w:t>
      </w:r>
      <m:oMath>
        <m:r>
          <m:rPr>
            <m:sty m:val="bi"/>
          </m:rPr>
          <w:rPr>
            <w:rFonts w:ascii="Cambria Math" w:hAnsi="Cambria Math"/>
          </w:rPr>
          <m:t>U</m:t>
        </m:r>
        <m:d>
          <m:dPr>
            <m:ctrlPr>
              <w:rPr>
                <w:rFonts w:ascii="Cambria Math" w:hAnsi="Cambria Math"/>
                <w:b/>
                <w:bCs/>
                <w:i/>
              </w:rPr>
            </m:ctrlPr>
          </m:dPr>
          <m:e>
            <m:bar>
              <m:barPr>
                <m:pos m:val="top"/>
                <m:ctrlPr>
                  <w:rPr>
                    <w:rFonts w:ascii="Cambria Math" w:hAnsi="Cambria Math"/>
                    <w:b/>
                    <w:bCs/>
                  </w:rPr>
                </m:ctrlPr>
              </m:barPr>
              <m:e>
                <m:r>
                  <m:rPr>
                    <m:sty m:val="bi"/>
                  </m:rPr>
                  <w:rPr>
                    <w:rFonts w:ascii="Cambria Math" w:hAnsi="Cambria Math"/>
                  </w:rPr>
                  <m:t>P</m:t>
                </m:r>
              </m:e>
            </m:bar>
          </m:e>
        </m:d>
      </m:oMath>
      <w:r w:rsidRPr="00F43EDD">
        <w:t>,</w:t>
      </w:r>
      <w:r>
        <w:t xml:space="preserve"> occurs when the first derivative of their expected utility with respect to their own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xml:space="preserve"> is zero. At exactly this point, the change to their utility as they change their bid is zero. Moving their bid to either side of this point causes the change to utility with respect to the bid to become negative</w:t>
      </w:r>
      <w:r>
        <w:rPr>
          <w:rStyle w:val="FootnoteReference"/>
        </w:rPr>
        <w:footnoteReference w:id="21"/>
      </w:r>
      <w:r>
        <w:t xml:space="preserve">. </w:t>
      </w:r>
    </w:p>
    <w:p w14:paraId="0D08A469" w14:textId="77777777" w:rsidR="00CD411B" w:rsidRDefault="00CD411B" w:rsidP="00CD411B"/>
    <w:p w14:paraId="1F980678" w14:textId="77777777" w:rsidR="00CD411B" w:rsidRPr="00FF344A" w:rsidRDefault="00FE142F" w:rsidP="00CD411B">
      <m:oMathPara>
        <m:oMath>
          <m:f>
            <m:fPr>
              <m:ctrlPr>
                <w:rPr>
                  <w:rFonts w:ascii="Cambria Math" w:hAnsi="Cambria Math"/>
                  <w:i/>
                </w:rPr>
              </m:ctrlPr>
            </m:fPr>
            <m:num>
              <m:r>
                <w:rPr>
                  <w:rFonts w:ascii="Cambria Math" w:hAnsi="Cambria Math"/>
                </w:rPr>
                <m:t>dU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num>
            <m:den>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subject</m:t>
                  </m:r>
                </m:sub>
              </m:sSub>
            </m:den>
          </m:f>
          <m:r>
            <w:rPr>
              <w:rFonts w:ascii="Cambria Math" w:hAnsi="Cambria Math"/>
            </w:rPr>
            <m:t>=U</m:t>
          </m:r>
          <m:d>
            <m:dPr>
              <m:ctrlPr>
                <w:rPr>
                  <w:rFonts w:ascii="Cambria Math" w:hAnsi="Cambria Math"/>
                  <w:bCs/>
                  <w:i/>
                </w:rPr>
              </m:ctrlPr>
            </m:dPr>
            <m:e>
              <m:r>
                <w:rPr>
                  <w:rFonts w:ascii="Cambria Math" w:hAnsi="Cambria Math"/>
                </w:rPr>
                <m:t xml:space="preserve">G - </m:t>
              </m:r>
              <m:sSub>
                <m:sSubPr>
                  <m:ctrlPr>
                    <w:rPr>
                      <w:rFonts w:ascii="Cambria Math" w:hAnsi="Cambria Math"/>
                      <w:i/>
                    </w:rPr>
                  </m:ctrlPr>
                </m:sSubPr>
                <m:e>
                  <m:r>
                    <w:rPr>
                      <w:rFonts w:ascii="Cambria Math" w:hAnsi="Cambria Math"/>
                    </w:rPr>
                    <m:t>B</m:t>
                  </m:r>
                </m:e>
                <m:sub>
                  <m:r>
                    <w:rPr>
                      <w:rFonts w:ascii="Cambria Math" w:hAnsi="Cambria Math"/>
                    </w:rPr>
                    <m:t>subject</m:t>
                  </m:r>
                </m:sub>
              </m:sSub>
            </m:e>
          </m:d>
          <m:r>
            <w:rPr>
              <w:rFonts w:ascii="Cambria Math" w:hAnsi="Cambria Math"/>
            </w:rPr>
            <m:t>f</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m:rPr>
              <m:sty m:val="p"/>
            </m:rPr>
            <w:rPr>
              <w:rFonts w:ascii="Cambria Math" w:hAnsi="Cambria Math"/>
            </w:rPr>
            <m:t>) = 0</m:t>
          </m:r>
        </m:oMath>
      </m:oMathPara>
    </w:p>
    <w:p w14:paraId="263CF785" w14:textId="77777777" w:rsidR="00CD411B" w:rsidRDefault="00CD411B" w:rsidP="00CD411B"/>
    <w:p w14:paraId="0BF07F90" w14:textId="77777777" w:rsidR="00CD411B" w:rsidRPr="00116545" w:rsidRDefault="00CD411B" w:rsidP="00CD411B">
      <w:r>
        <w:t>It is clear that this equation is satisfied when the brackets of the utility function are equal to zero, that is, when the value of the good</w:t>
      </w:r>
      <m:oMath>
        <m:r>
          <w:rPr>
            <w:rFonts w:ascii="Cambria Math" w:hAnsi="Cambria Math"/>
          </w:rPr>
          <m:t xml:space="preserve"> </m:t>
        </m:r>
        <m:r>
          <m:rPr>
            <m:sty m:val="bi"/>
          </m:rPr>
          <w:rPr>
            <w:rFonts w:ascii="Cambria Math" w:hAnsi="Cambria Math"/>
          </w:rPr>
          <m:t>G</m:t>
        </m:r>
      </m:oMath>
      <w:r>
        <w:rPr>
          <w:bCs/>
        </w:rPr>
        <w:t xml:space="preserve"> in units of the budget is equal to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FB5D98">
        <w:t>.</w:t>
      </w:r>
      <w:r>
        <w:t xml:space="preserve"> In other words, this maxima is found when the utility of a good is exactly matched by the utility of the budget bid by a participant; a subject maximises utility by bidding </w:t>
      </w:r>
      <w:r>
        <w:rPr>
          <w:i/>
          <w:iCs/>
        </w:rPr>
        <w:t>exactly</w:t>
      </w:r>
      <w:r>
        <w:t xml:space="preserve"> their utility for a good. </w:t>
      </w:r>
    </w:p>
    <w:p w14:paraId="245A6D6A" w14:textId="77777777" w:rsidR="00CD411B" w:rsidRDefault="00CD411B" w:rsidP="00CD411B"/>
    <w:p w14:paraId="3C243487" w14:textId="77777777" w:rsidR="00CD411B" w:rsidRDefault="00CD411B" w:rsidP="00CD411B">
      <w:r>
        <w:t>For a graphical representation of this proof, see figure 3 where the change in payoff value (in utils) is flat with respect to the bid, at the point where the bid is equal to the utility of the auctioned good (red circles).</w:t>
      </w:r>
    </w:p>
    <w:p w14:paraId="540001A6" w14:textId="77777777" w:rsidR="00CD411B" w:rsidRDefault="00CD411B" w:rsidP="00CD411B">
      <w:pPr>
        <w:widowControl/>
        <w:suppressAutoHyphens w:val="0"/>
        <w:spacing w:after="160" w:line="259" w:lineRule="auto"/>
      </w:pPr>
      <w:r>
        <w:br w:type="page"/>
      </w:r>
    </w:p>
    <w:p w14:paraId="1F4C18A5" w14:textId="0DFC82C5" w:rsidR="00CD411B" w:rsidRDefault="00CD411B" w:rsidP="00CD411B">
      <w:r>
        <w:rPr>
          <w:noProof/>
        </w:rPr>
        <w:lastRenderedPageBreak/>
        <mc:AlternateContent>
          <mc:Choice Requires="wps">
            <w:drawing>
              <wp:anchor distT="45720" distB="45720" distL="114300" distR="114300" simplePos="0" relativeHeight="251667456" behindDoc="0" locked="0" layoutInCell="1" allowOverlap="1" wp14:anchorId="455A3587" wp14:editId="1065C04E">
                <wp:simplePos x="0" y="0"/>
                <wp:positionH relativeFrom="margin">
                  <wp:align>left</wp:align>
                </wp:positionH>
                <wp:positionV relativeFrom="paragraph">
                  <wp:posOffset>5135880</wp:posOffset>
                </wp:positionV>
                <wp:extent cx="5623560" cy="2217420"/>
                <wp:effectExtent l="0" t="0" r="15240" b="1143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2217420"/>
                        </a:xfrm>
                        <a:prstGeom prst="rect">
                          <a:avLst/>
                        </a:prstGeom>
                        <a:solidFill>
                          <a:srgbClr val="FFFFFF"/>
                        </a:solidFill>
                        <a:ln w="9525">
                          <a:solidFill>
                            <a:srgbClr val="000000"/>
                          </a:solidFill>
                          <a:miter lim="800000"/>
                          <a:headEnd/>
                          <a:tailEnd/>
                        </a:ln>
                      </wps:spPr>
                      <wps:txbx>
                        <w:txbxContent>
                          <w:p w14:paraId="069A30AE" w14:textId="77777777" w:rsidR="00FE142F" w:rsidRPr="006B4AC2" w:rsidRDefault="00FE142F" w:rsidP="00CD411B">
                            <w:r>
                              <w:rPr>
                                <w:b/>
                                <w:bCs/>
                              </w:rPr>
                              <w:t xml:space="preserve">Figures 6a-b): Examples of smooth, continuous, differentiable utility functions for expected payoff vs. bid. </w:t>
                            </w:r>
                            <w:r>
                              <w:t>In a) a realistic utility function for the simple BDM paradigm used in this thesis is shown. This is directly comparable to those found in figure 3, especially those for the uniform distribution. Differentiation of the curve is shown in black lines at two points, one at a maxima (the optimal bid as shown in the derivation in this appendix), and one which is not at an optimal bid. In b) we present a hypothetical utility curve for some more complicated paradigm (or indeed a participant who does not understand the paradigm presented). This is not a utility curve we would expect to encounter in the scope of this thesis, but is used to make the point that the proof above will still find local maxima or minima for a subjects utility function. Again, the derivative of the curve is shown at two points, including at one local maxima. Curves are for illustrative purposes and so are valueless across both axes.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5A3587" id="_x0000_s1031" type="#_x0000_t202" style="position:absolute;margin-left:0;margin-top:404.4pt;width:442.8pt;height:174.6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">
                <v:textbox>
                  <w:txbxContent>
                    <w:p w14:paraId="069A30AE" w14:textId="77777777" w:rsidR="00FE142F" w:rsidRPr="006B4AC2" w:rsidRDefault="00FE142F" w:rsidP="00CD411B">
                      <w:r>
                        <w:rPr>
                          <w:b/>
                          <w:bCs/>
                        </w:rPr>
                        <w:t xml:space="preserve">Figures 6a-b): Examples of smooth, continuous, differentiable utility functions for expected payoff vs. bid. </w:t>
                      </w:r>
                      <w:r>
                        <w:t>In a) a realistic utility function for the simple BDM paradigm used in this thesis is shown. This is directly comparable to those found in figure 3, especially those for the uniform distribution. Differentiation of the curve is shown in black lines at two points, one at a maxima (the optimal bid as shown in the derivation in this appendix), and one which is not at an optimal bid. In b) we present a hypothetical utility curve for some more complicated paradigm (or indeed a participant who does not understand the paradigm presented). This is not a utility curve we would expect to encounter in the scope of this thesis, but is used to make the point that the proof above will still find local maxima or minima for a subjects utility function. Again, the derivative of the curve is shown at two points, including at one local maxima. Curves are for illustrative purposes and so are valueless across both axes.</w:t>
                      </w:r>
                    </w:p>
                  </w:txbxContent>
                </v:textbox>
                <w10:wrap type="square" anchorx="margin"/>
              </v:shape>
            </w:pict>
          </mc:Fallback>
        </mc:AlternateContent>
      </w:r>
      <w:r>
        <w:rPr>
          <w:noProof/>
        </w:rPr>
        <w:drawing>
          <wp:inline distT="0" distB="0" distL="0" distR="0" wp14:anchorId="7633DB60" wp14:editId="3E73EA49">
            <wp:extent cx="5731510" cy="5089525"/>
            <wp:effectExtent l="0" t="0" r="2540" b="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09EDE5EB" w14:textId="77777777" w:rsidR="00CD411B" w:rsidRDefault="00CD411B">
      <w:pPr>
        <w:widowControl/>
        <w:suppressAutoHyphens w:val="0"/>
        <w:spacing w:after="160" w:line="259" w:lineRule="auto"/>
        <w:rPr>
          <w:b/>
        </w:rPr>
      </w:pPr>
      <w:r>
        <w:rPr>
          <w:b/>
        </w:rPr>
        <w:br w:type="page"/>
      </w:r>
    </w:p>
    <w:p w14:paraId="117CE264" w14:textId="2B317751" w:rsidR="00FE142F" w:rsidRDefault="00FE142F">
      <w:pPr>
        <w:widowControl/>
        <w:suppressAutoHyphens w:val="0"/>
        <w:spacing w:after="160" w:line="259" w:lineRule="auto"/>
        <w:rPr>
          <w:b/>
        </w:rPr>
      </w:pPr>
      <w:r>
        <w:rPr>
          <w:noProof/>
        </w:rPr>
        <w:lastRenderedPageBreak/>
        <mc:AlternateContent>
          <mc:Choice Requires="wps">
            <w:drawing>
              <wp:anchor distT="45720" distB="45720" distL="114300" distR="114300" simplePos="0" relativeHeight="251672576" behindDoc="0" locked="0" layoutInCell="1" allowOverlap="1" wp14:anchorId="1D9DD7C1" wp14:editId="1D7BBF70">
                <wp:simplePos x="0" y="0"/>
                <wp:positionH relativeFrom="margin">
                  <wp:align>left</wp:align>
                </wp:positionH>
                <wp:positionV relativeFrom="paragraph">
                  <wp:posOffset>4998720</wp:posOffset>
                </wp:positionV>
                <wp:extent cx="6106160" cy="1257300"/>
                <wp:effectExtent l="0" t="0" r="2794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6160" cy="1257300"/>
                        </a:xfrm>
                        <a:prstGeom prst="rect">
                          <a:avLst/>
                        </a:prstGeom>
                        <a:solidFill>
                          <a:srgbClr val="FFFFFF"/>
                        </a:solidFill>
                        <a:ln w="9525">
                          <a:solidFill>
                            <a:srgbClr val="000000"/>
                          </a:solidFill>
                          <a:miter lim="800000"/>
                          <a:headEnd/>
                          <a:tailEnd/>
                        </a:ln>
                      </wps:spPr>
                      <wps:txbx>
                        <w:txbxContent>
                          <w:p w14:paraId="02B68FDF" w14:textId="1887E45D" w:rsidR="00FE142F" w:rsidRPr="00FE142F" w:rsidRDefault="00FE142F" w:rsidP="00FE142F">
                            <w:r>
                              <w:rPr>
                                <w:b/>
                                <w:bCs/>
                              </w:rPr>
                              <w:t xml:space="preserve">Figure 7) In empirical studies of utility it is not uncommon to find indifference points at unobserved choices. </w:t>
                            </w:r>
                            <w:r>
                              <w:t xml:space="preserve">Redrawn from </w:t>
                            </w:r>
                            <w:proofErr w:type="spellStart"/>
                            <w:r>
                              <w:t>Mosteller</w:t>
                            </w:r>
                            <w:proofErr w:type="spellEnd"/>
                            <w:r>
                              <w:t xml:space="preserve"> and </w:t>
                            </w:r>
                            <w:proofErr w:type="spellStart"/>
                            <w:r>
                              <w:t>Nogee</w:t>
                            </w:r>
                            <w:proofErr w:type="spellEnd"/>
                            <w:r>
                              <w:t xml:space="preserve">, 1957, in which subjects were offered </w:t>
                            </w:r>
                            <w:r w:rsidR="008522FB">
                              <w:t>the chance to make a bet with a cost to enter of 5</w:t>
                            </w:r>
                            <w:r w:rsidR="008522FB">
                              <w:rPr>
                                <w:rFonts w:cs="Times New Roman"/>
                              </w:rPr>
                              <w:t>₵. The utility curve for a single subject here (figure 2 in the original paper) shows the percentage of times the bet is made for fixed odds. The assumed indifference point of ~10.5</w:t>
                            </w:r>
                            <w:r w:rsidR="008522FB">
                              <w:rPr>
                                <w:rFonts w:cs="Times New Roman"/>
                              </w:rPr>
                              <w:t>₵</w:t>
                            </w:r>
                            <w:r w:rsidR="008522FB">
                              <w:t xml:space="preserve"> in this case is never directly tested with an offer, highlighting a weakness of the binary choice paradigm.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DD7C1" id="_x0000_s1032" type="#_x0000_t202" style="position:absolute;margin-left:0;margin-top:393.6pt;width:480.8pt;height:99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">
                <v:textbox>
                  <w:txbxContent>
                    <w:p w14:paraId="02B68FDF" w14:textId="1887E45D" w:rsidR="00FE142F" w:rsidRPr="00FE142F" w:rsidRDefault="00FE142F" w:rsidP="00FE142F">
                      <w:r>
                        <w:rPr>
                          <w:b/>
                          <w:bCs/>
                        </w:rPr>
                        <w:t xml:space="preserve">Figure 7) In empirical studies of utility it is not uncommon to find indifference points at unobserved choices. </w:t>
                      </w:r>
                      <w:r>
                        <w:t xml:space="preserve">Redrawn from </w:t>
                      </w:r>
                      <w:proofErr w:type="spellStart"/>
                      <w:r>
                        <w:t>Mosteller</w:t>
                      </w:r>
                      <w:proofErr w:type="spellEnd"/>
                      <w:r>
                        <w:t xml:space="preserve"> and </w:t>
                      </w:r>
                      <w:proofErr w:type="spellStart"/>
                      <w:r>
                        <w:t>Nogee</w:t>
                      </w:r>
                      <w:proofErr w:type="spellEnd"/>
                      <w:r>
                        <w:t xml:space="preserve">, 1957, in which subjects were offered </w:t>
                      </w:r>
                      <w:r w:rsidR="008522FB">
                        <w:t>the chance to make a bet with a cost to enter of 5</w:t>
                      </w:r>
                      <w:r w:rsidR="008522FB">
                        <w:rPr>
                          <w:rFonts w:cs="Times New Roman"/>
                        </w:rPr>
                        <w:t>₵. The utility curve for a single subject here (figure 2 in the original paper) shows the percentage of times the bet is made for fixed odds. The assumed indifference point of ~10.5</w:t>
                      </w:r>
                      <w:r w:rsidR="008522FB">
                        <w:rPr>
                          <w:rFonts w:cs="Times New Roman"/>
                        </w:rPr>
                        <w:t>₵</w:t>
                      </w:r>
                      <w:r w:rsidR="008522FB">
                        <w:t xml:space="preserve"> in this case is never directly tested with an offer, highlighting a weakness of the binary choice paradigm.</w:t>
                      </w:r>
                    </w:p>
                  </w:txbxContent>
                </v:textbox>
                <w10:wrap type="square" anchorx="margin"/>
              </v:shape>
            </w:pict>
          </mc:Fallback>
        </mc:AlternateContent>
      </w:r>
      <w:r w:rsidRPr="00FE142F">
        <w:rPr>
          <w:b/>
        </w:rPr>
        <w:drawing>
          <wp:anchor distT="0" distB="0" distL="114300" distR="114300" simplePos="0" relativeHeight="251670528" behindDoc="1" locked="0" layoutInCell="1" allowOverlap="1" wp14:anchorId="6401F4BE" wp14:editId="0ABD136B">
            <wp:simplePos x="0" y="0"/>
            <wp:positionH relativeFrom="column">
              <wp:posOffset>0</wp:posOffset>
            </wp:positionH>
            <wp:positionV relativeFrom="paragraph">
              <wp:posOffset>0</wp:posOffset>
            </wp:positionV>
            <wp:extent cx="5731510" cy="4841875"/>
            <wp:effectExtent l="0" t="0" r="2540" b="0"/>
            <wp:wrapTight wrapText="bothSides">
              <wp:wrapPolygon edited="0">
                <wp:start x="646" y="0"/>
                <wp:lineTo x="503" y="255"/>
                <wp:lineTo x="574" y="765"/>
                <wp:lineTo x="2226" y="1360"/>
                <wp:lineTo x="2226" y="4079"/>
                <wp:lineTo x="431" y="4249"/>
                <wp:lineTo x="72" y="4504"/>
                <wp:lineTo x="0" y="6459"/>
                <wp:lineTo x="0" y="8073"/>
                <wp:lineTo x="2226" y="8158"/>
                <wp:lineTo x="0" y="8498"/>
                <wp:lineTo x="0" y="13002"/>
                <wp:lineTo x="1005" y="13597"/>
                <wp:lineTo x="359" y="13597"/>
                <wp:lineTo x="72" y="13767"/>
                <wp:lineTo x="0" y="16572"/>
                <wp:lineTo x="0" y="20056"/>
                <wp:lineTo x="10769" y="20396"/>
                <wp:lineTo x="18594" y="21501"/>
                <wp:lineTo x="21538" y="21501"/>
                <wp:lineTo x="21538" y="19291"/>
                <wp:lineTo x="21322" y="18951"/>
                <wp:lineTo x="20604" y="18526"/>
                <wp:lineTo x="18451" y="17677"/>
                <wp:lineTo x="18738" y="17337"/>
                <wp:lineTo x="11200" y="16317"/>
                <wp:lineTo x="11343" y="9518"/>
                <wp:lineTo x="11630" y="8158"/>
                <wp:lineTo x="12061" y="6799"/>
                <wp:lineTo x="12348" y="5439"/>
                <wp:lineTo x="13282" y="2719"/>
                <wp:lineTo x="15507" y="1360"/>
                <wp:lineTo x="19958" y="765"/>
                <wp:lineTo x="19671" y="0"/>
                <wp:lineTo x="2226" y="0"/>
                <wp:lineTo x="646"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4841875"/>
                    </a:xfrm>
                    <a:prstGeom prst="rect">
                      <a:avLst/>
                    </a:prstGeom>
                  </pic:spPr>
                </pic:pic>
              </a:graphicData>
            </a:graphic>
          </wp:anchor>
        </w:drawing>
      </w:r>
      <w:r>
        <w:rPr>
          <w:b/>
        </w:rPr>
        <w:br w:type="page"/>
      </w:r>
    </w:p>
    <w:p w14:paraId="6031C6F6" w14:textId="4A71F97C" w:rsidR="001F3BE5" w:rsidRPr="00C848BB" w:rsidRDefault="001F3BE5">
      <w:pPr>
        <w:widowControl/>
        <w:suppressAutoHyphens w:val="0"/>
        <w:spacing w:after="160" w:line="259" w:lineRule="auto"/>
        <w:rPr>
          <w:b/>
        </w:rPr>
      </w:pPr>
      <w:r w:rsidRPr="00C848BB">
        <w:rPr>
          <w:b/>
        </w:rPr>
        <w:lastRenderedPageBreak/>
        <w:t xml:space="preserve">Appendix 2- The </w:t>
      </w:r>
      <w:r w:rsidR="00C848BB" w:rsidRPr="00C848BB">
        <w:rPr>
          <w:b/>
        </w:rPr>
        <w:t>formalisation of value as utility</w:t>
      </w:r>
      <w:r w:rsidRPr="00C848BB">
        <w:rPr>
          <w:b/>
        </w:rPr>
        <w:br w:type="page"/>
      </w:r>
    </w:p>
    <w:p w14:paraId="427C9F85" w14:textId="0203A085" w:rsidR="002350E8" w:rsidRPr="00B61776" w:rsidRDefault="002350E8" w:rsidP="002350E8">
      <w:pPr>
        <w:rPr>
          <w:b/>
        </w:rPr>
      </w:pPr>
      <w:r w:rsidRPr="00B61776">
        <w:rPr>
          <w:b/>
        </w:rPr>
        <w:lastRenderedPageBreak/>
        <w:t xml:space="preserve">Appendix 3- </w:t>
      </w:r>
      <w:r>
        <w:rPr>
          <w:b/>
        </w:rPr>
        <w:t>Derivations of payoff and expected cost of misbehaviour on a BDM auction trial</w:t>
      </w:r>
      <w:r w:rsidRPr="00B61776">
        <w:rPr>
          <w:b/>
        </w:rPr>
        <w:t xml:space="preserve"> </w:t>
      </w:r>
    </w:p>
    <w:p w14:paraId="4200993E" w14:textId="77777777" w:rsidR="002350E8" w:rsidRDefault="002350E8" w:rsidP="002350E8">
      <w:pPr>
        <w:rPr>
          <w:bCs/>
        </w:rPr>
      </w:pPr>
    </w:p>
    <w:p w14:paraId="2C03B6E4" w14:textId="77777777" w:rsidR="002350E8" w:rsidRDefault="002350E8" w:rsidP="002350E8">
      <w:pPr>
        <w:rPr>
          <w:bCs/>
        </w:rPr>
      </w:pPr>
      <w:r>
        <w:rPr>
          <w:bCs/>
        </w:rPr>
        <w:t xml:space="preserve">For any economic decision making task the payoff is equal to the magnitude of potential outcomes, multiplied by the probability of that outcome occurring. In any auction task there are only two outcomes: winning the auctioned good, or not. As the BDM is a second price auction, a ‘win’ occurs when the participant makes the highest bid, and the outcome is that they receive the auctioned good and pay the second highest bid out of their budget. The expected utility of a payout </w:t>
      </w:r>
      <w:r w:rsidRPr="00255EF6">
        <w:rPr>
          <w:bCs/>
          <w:i/>
          <w:iCs/>
        </w:rPr>
        <w:t>U</w:t>
      </w:r>
      <w:r>
        <w:rPr>
          <w:bCs/>
        </w:rPr>
        <w:t>(</w:t>
      </w:r>
      <w:r w:rsidRPr="00255EF6">
        <w:rPr>
          <w:b/>
        </w:rPr>
        <w:t>P</w:t>
      </w:r>
      <w:r>
        <w:rPr>
          <w:bCs/>
        </w:rPr>
        <w:t xml:space="preserve">) </w:t>
      </w:r>
      <w:r w:rsidRPr="00255EF6">
        <w:rPr>
          <w:bCs/>
        </w:rPr>
        <w:t>can</w:t>
      </w:r>
      <w:r>
        <w:rPr>
          <w:bCs/>
        </w:rPr>
        <w:t xml:space="preserve"> therefore be expressed as:</w:t>
      </w:r>
    </w:p>
    <w:p w14:paraId="258C1ABA" w14:textId="77777777" w:rsidR="002350E8" w:rsidRDefault="002350E8" w:rsidP="002350E8">
      <w:pPr>
        <w:rPr>
          <w:bCs/>
        </w:rPr>
      </w:pPr>
    </w:p>
    <w:p w14:paraId="0AEA1981" w14:textId="630828E7" w:rsidR="002350E8" w:rsidRDefault="002350E8" w:rsidP="002350E8">
      <w:pPr>
        <w:pStyle w:val="Caption"/>
        <w:keepNext/>
      </w:pPr>
      <w:r>
        <w:t xml:space="preserve">Equation </w:t>
      </w:r>
      <w:fldSimple w:instr=" SEQ Equation \* ARABIC ">
        <w:r w:rsidR="00920E5F">
          <w:rPr>
            <w:noProof/>
          </w:rPr>
          <w:t>6</w:t>
        </w:r>
      </w:fldSimple>
    </w:p>
    <w:p w14:paraId="51E12BB9" w14:textId="77777777" w:rsidR="002350E8" w:rsidRPr="00255EF6" w:rsidRDefault="002350E8" w:rsidP="002350E8">
      <w:pPr>
        <w:rPr>
          <w:iCs/>
        </w:rPr>
      </w:pPr>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r>
                    <w:rPr>
                      <w:rFonts w:ascii="Cambria Math" w:hAnsi="Cambria Math"/>
                    </w:rPr>
                    <m:t>Budget-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sSub>
            <m:sSubPr>
              <m:ctrlPr>
                <w:rPr>
                  <w:rFonts w:ascii="Cambria Math" w:hAnsi="Cambria Math"/>
                  <w:i/>
                </w:rPr>
              </m:ctrlPr>
            </m:sSubPr>
            <m:e>
              <m:r>
                <w:rPr>
                  <w:rFonts w:ascii="Cambria Math" w:hAnsi="Cambria Math"/>
                </w:rPr>
                <m:t>p</m:t>
              </m:r>
            </m:e>
            <m:sub>
              <m:r>
                <w:rPr>
                  <w:rFonts w:ascii="Cambria Math" w:hAnsi="Cambria Math"/>
                </w:rPr>
                <m:t>win</m:t>
              </m:r>
            </m:sub>
          </m:sSub>
          <m:r>
            <w:rPr>
              <w:rFonts w:ascii="Cambria Math" w:hAnsi="Cambria Math"/>
            </w:rPr>
            <m:t>)</m:t>
          </m:r>
          <m:r>
            <m:rPr>
              <m:sty m:val="p"/>
            </m:rPr>
            <w:rPr>
              <w:rFonts w:ascii="Cambria Math" w:hAnsi="Cambria Math"/>
            </w:rPr>
            <m:t>⋅</m:t>
          </m:r>
          <m:r>
            <w:rPr>
              <w:rFonts w:ascii="Cambria Math" w:hAnsi="Cambria Math"/>
            </w:rPr>
            <m:t>Budget</m:t>
          </m:r>
        </m:oMath>
      </m:oMathPara>
    </w:p>
    <w:p w14:paraId="46574B72" w14:textId="77777777" w:rsidR="002350E8" w:rsidRDefault="002350E8" w:rsidP="002350E8">
      <w:pPr>
        <w:rPr>
          <w:iCs/>
        </w:rPr>
      </w:pPr>
    </w:p>
    <w:p w14:paraId="1DF63C31" w14:textId="77777777" w:rsidR="002350E8" w:rsidRDefault="002350E8" w:rsidP="002350E8">
      <w:pPr>
        <w:rPr>
          <w:iCs/>
        </w:rPr>
      </w:pPr>
      <w:r>
        <w:rPr>
          <w:iCs/>
        </w:rPr>
        <w:t xml:space="preserve">Where a good </w:t>
      </w:r>
      <w:r>
        <w:rPr>
          <w:b/>
          <w:bCs/>
          <w:iCs/>
        </w:rPr>
        <w:t>G</w:t>
      </w:r>
      <w:r>
        <w:rPr>
          <w:iCs/>
        </w:rPr>
        <w:t xml:space="preserve">, of some utility in terms of the budget is auctioned and receives bids, </w:t>
      </w:r>
      <w:r>
        <w:rPr>
          <w:b/>
          <w:bCs/>
          <w:iCs/>
        </w:rPr>
        <w:t>B</w:t>
      </w:r>
      <w:r>
        <w:rPr>
          <w:iCs/>
        </w:rPr>
        <w:t>.</w:t>
      </w:r>
    </w:p>
    <w:p w14:paraId="0A6FED3C" w14:textId="77777777" w:rsidR="002350E8" w:rsidRPr="00255EF6" w:rsidRDefault="002350E8" w:rsidP="002350E8"/>
    <w:p w14:paraId="02ECCA94" w14:textId="77777777" w:rsidR="002350E8" w:rsidRDefault="002350E8" w:rsidP="002350E8">
      <w:pPr>
        <w:rPr>
          <w:bCs/>
        </w:rPr>
      </w:pPr>
      <w:r>
        <w:rPr>
          <w:bCs/>
        </w:rPr>
        <w:t>We use a BDM task as commonly reported in the economics literature where there is one opponent bidder- a computer who makes random bids with an equal, uniform probability across the entire bidding range.  The probability of a participant winning any auction trial is therefore equal to their bid as a fraction of the total bidding range.</w:t>
      </w:r>
    </w:p>
    <w:p w14:paraId="51243095" w14:textId="77777777" w:rsidR="002350E8" w:rsidRDefault="002350E8" w:rsidP="002350E8">
      <w:pPr>
        <w:rPr>
          <w:bCs/>
        </w:rPr>
      </w:pPr>
    </w:p>
    <w:p w14:paraId="7468B366" w14:textId="706C09B0" w:rsidR="002350E8" w:rsidRDefault="002350E8" w:rsidP="002350E8">
      <w:pPr>
        <w:pStyle w:val="Caption"/>
        <w:keepNext/>
      </w:pPr>
      <w:r>
        <w:t xml:space="preserve">Equation </w:t>
      </w:r>
      <w:fldSimple w:instr=" SEQ Equation \* ARABIC ">
        <w:r w:rsidR="00920E5F">
          <w:rPr>
            <w:noProof/>
          </w:rPr>
          <w:t>7</w:t>
        </w:r>
      </w:fldSimple>
    </w:p>
    <w:p w14:paraId="6FB736C7" w14:textId="77777777" w:rsidR="002350E8" w:rsidRDefault="002350E8" w:rsidP="002350E8">
      <w:pPr>
        <w:rPr>
          <w:bCs/>
        </w:rPr>
      </w:pPr>
      <w:r>
        <w:rPr>
          <w:bCs/>
        </w:rPr>
        <w:t xml:space="preserve"> </w:t>
      </w:r>
      <m:oMath>
        <m:r>
          <m:rPr>
            <m:sty m:val="p"/>
          </m:rPr>
          <w:rPr>
            <w:rFonts w:ascii="Cambria Math" w:hAnsi="Cambria Math"/>
          </w:rPr>
          <w:br/>
        </m:r>
      </m:oMath>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Budget</m:t>
              </m:r>
            </m:den>
          </m:f>
          <m:r>
            <m:rPr>
              <m:sty m:val="p"/>
            </m:rPr>
            <w:rPr>
              <w:rFonts w:ascii="Cambria Math" w:hAnsi="Cambria Math"/>
            </w:rPr>
            <m:t>⋅</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r>
                    <w:rPr>
                      <w:rFonts w:ascii="Cambria Math" w:hAnsi="Cambria Math"/>
                    </w:rPr>
                    <m:t>Budget-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Budget</m:t>
              </m:r>
            </m:den>
          </m:f>
          <m:r>
            <w:rPr>
              <w:rFonts w:ascii="Cambria Math" w:hAnsi="Cambria Math"/>
            </w:rPr>
            <m:t>)</m:t>
          </m:r>
          <m:r>
            <m:rPr>
              <m:sty m:val="p"/>
            </m:rPr>
            <w:rPr>
              <w:rFonts w:ascii="Cambria Math" w:hAnsi="Cambria Math"/>
            </w:rPr>
            <m:t>⋅</m:t>
          </m:r>
          <m:r>
            <w:rPr>
              <w:rFonts w:ascii="Cambria Math" w:hAnsi="Cambria Math"/>
            </w:rPr>
            <m:t>Budget</m:t>
          </m:r>
        </m:oMath>
      </m:oMathPara>
    </w:p>
    <w:p w14:paraId="62BD71B1" w14:textId="77777777" w:rsidR="002350E8" w:rsidRDefault="002350E8" w:rsidP="002350E8">
      <w:pPr>
        <w:rPr>
          <w:bCs/>
        </w:rPr>
      </w:pPr>
      <w:r>
        <w:rPr>
          <w:bCs/>
        </w:rPr>
        <w:br/>
        <w:t>In the BDM paradigm, both subjects and the random computer bid are drawn from a range of 0-Budget, so the maximum bid is exactly equal to the Budget for any trial:</w:t>
      </w:r>
      <w:r>
        <w:rPr>
          <w:bCs/>
        </w:rPr>
        <w:br/>
      </w:r>
    </w:p>
    <w:p w14:paraId="18BF87D1" w14:textId="7CBBC9F0" w:rsidR="002350E8" w:rsidRDefault="002350E8" w:rsidP="002350E8">
      <w:pPr>
        <w:pStyle w:val="Caption"/>
        <w:keepNext/>
      </w:pPr>
      <w:r>
        <w:t xml:space="preserve">Equation </w:t>
      </w:r>
      <w:fldSimple w:instr=" SEQ Equation \* ARABIC ">
        <w:r w:rsidR="00920E5F">
          <w:rPr>
            <w:noProof/>
          </w:rPr>
          <w:t>8</w:t>
        </w:r>
      </w:fldSimple>
    </w:p>
    <w:p w14:paraId="06CA21B7" w14:textId="77777777" w:rsidR="002350E8" w:rsidRDefault="002350E8" w:rsidP="002350E8">
      <w:pPr>
        <w:rPr>
          <w:bCs/>
        </w:rPr>
      </w:pPr>
      <m:oMathPara>
        <m:oMath>
          <m:r>
            <m:rPr>
              <m:sty m:val="p"/>
            </m:rPr>
            <w:rPr>
              <w:rFonts w:ascii="Cambria Math" w:hAnsi="Cambria Math"/>
            </w:rPr>
            <w:br/>
          </m:r>
        </m:oMath>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137C1338" w14:textId="77777777" w:rsidR="002350E8" w:rsidRDefault="002350E8" w:rsidP="002350E8">
      <w:pPr>
        <w:rPr>
          <w:bCs/>
        </w:rPr>
      </w:pPr>
    </w:p>
    <w:p w14:paraId="19FA057E" w14:textId="77777777" w:rsidR="002350E8" w:rsidRDefault="002350E8" w:rsidP="002350E8">
      <w:pPr>
        <w:rPr>
          <w:bCs/>
        </w:rPr>
      </w:pPr>
    </w:p>
    <w:p w14:paraId="27B16474" w14:textId="77777777" w:rsidR="002350E8" w:rsidRPr="00180924" w:rsidRDefault="002350E8" w:rsidP="002350E8">
      <w:pPr>
        <w:rPr>
          <w:bCs/>
        </w:rPr>
      </w:pPr>
      <w:r>
        <w:rPr>
          <w:bCs/>
        </w:rPr>
        <w:t xml:space="preserve">The expected computer bid given that the computer has bid less than </w:t>
      </w:r>
      <w:proofErr w:type="spellStart"/>
      <w:r w:rsidRPr="00180924">
        <w:rPr>
          <w:b/>
        </w:rPr>
        <w:t>B</w:t>
      </w:r>
      <w:r w:rsidRPr="00180924">
        <w:rPr>
          <w:b/>
          <w:vertAlign w:val="subscript"/>
        </w:rPr>
        <w:t>subject</w:t>
      </w:r>
      <w:proofErr w:type="spellEnd"/>
      <w:r>
        <w:rPr>
          <w:b/>
        </w:rPr>
        <w:t xml:space="preserve"> </w:t>
      </w:r>
      <w:r>
        <w:rPr>
          <w:bCs/>
        </w:rPr>
        <w:t>is a random bid drawn uniformly from the range of 0-</w:t>
      </w:r>
      <w:r w:rsidRPr="00180924">
        <w:rPr>
          <w:b/>
        </w:rPr>
        <w:t xml:space="preserve"> </w:t>
      </w:r>
      <w:proofErr w:type="spellStart"/>
      <w:r w:rsidRPr="00180924">
        <w:rPr>
          <w:b/>
        </w:rPr>
        <w:t>B</w:t>
      </w:r>
      <w:r w:rsidRPr="00180924">
        <w:rPr>
          <w:b/>
          <w:vertAlign w:val="subscript"/>
        </w:rPr>
        <w:t>subject</w:t>
      </w:r>
      <w:proofErr w:type="spellEnd"/>
      <w:r w:rsidRPr="00180924">
        <w:rPr>
          <w:bCs/>
        </w:rPr>
        <w:t>.</w:t>
      </w:r>
      <w:r>
        <w:rPr>
          <w:b/>
        </w:rPr>
        <w:t xml:space="preserve"> </w:t>
      </w:r>
      <w:r>
        <w:rPr>
          <w:bCs/>
        </w:rPr>
        <w:t>The average computer bid on a trial that the subject wins is therefore half of</w:t>
      </w:r>
      <w:r>
        <w:rPr>
          <w:b/>
          <w:vertAlign w:val="subscript"/>
        </w:rPr>
        <w:t xml:space="preserve"> </w:t>
      </w:r>
      <w:proofErr w:type="spellStart"/>
      <w:r w:rsidRPr="00180924">
        <w:rPr>
          <w:b/>
        </w:rPr>
        <w:t>B</w:t>
      </w:r>
      <w:r w:rsidRPr="00180924">
        <w:rPr>
          <w:b/>
          <w:vertAlign w:val="subscript"/>
        </w:rPr>
        <w:t>subject</w:t>
      </w:r>
      <w:proofErr w:type="spellEnd"/>
      <w:r>
        <w:rPr>
          <w:bCs/>
        </w:rPr>
        <w:t xml:space="preserve">: </w:t>
      </w:r>
    </w:p>
    <w:p w14:paraId="5B677A06" w14:textId="77777777" w:rsidR="002350E8" w:rsidRDefault="002350E8" w:rsidP="002350E8">
      <w:pPr>
        <w:rPr>
          <w:bCs/>
        </w:rPr>
      </w:pPr>
    </w:p>
    <w:p w14:paraId="2BC127C0" w14:textId="6D164874" w:rsidR="002350E8" w:rsidRDefault="002350E8" w:rsidP="002350E8">
      <w:pPr>
        <w:pStyle w:val="Caption"/>
        <w:keepNext/>
      </w:pPr>
      <w:r>
        <w:t xml:space="preserve">Equation </w:t>
      </w:r>
      <w:fldSimple w:instr=" SEQ Equation \* ARABIC ">
        <w:r w:rsidR="00920E5F">
          <w:rPr>
            <w:noProof/>
          </w:rPr>
          <w:t>9</w:t>
        </w:r>
      </w:fldSimple>
    </w:p>
    <w:p w14:paraId="2C1EB5FC" w14:textId="77777777" w:rsidR="002350E8" w:rsidRDefault="002350E8" w:rsidP="002350E8">
      <w:pPr>
        <w:rPr>
          <w:bCs/>
        </w:rPr>
      </w:pPr>
      <m:oMathPara>
        <m:oMath>
          <m:r>
            <m:rPr>
              <m:sty m:val="p"/>
            </m:rPr>
            <w:rPr>
              <w:rFonts w:ascii="Cambria Math" w:hAnsi="Cambria Math"/>
            </w:rPr>
            <w:br/>
          </m:r>
        </m:oMath>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2</m:t>
                      </m:r>
                    </m:den>
                  </m:f>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31385818" w14:textId="77777777" w:rsidR="002350E8" w:rsidRDefault="002350E8" w:rsidP="002350E8">
      <w:pPr>
        <w:rPr>
          <w:bCs/>
        </w:rPr>
      </w:pPr>
    </w:p>
    <w:p w14:paraId="59985880" w14:textId="77777777" w:rsidR="002350E8" w:rsidRDefault="002350E8" w:rsidP="002350E8">
      <w:pPr>
        <w:rPr>
          <w:bCs/>
        </w:rPr>
      </w:pPr>
      <w:r>
        <w:rPr>
          <w:bCs/>
        </w:rPr>
        <w:t>We can now multiply out the brackets to reduce this equation to:</w:t>
      </w:r>
      <w:r>
        <w:rPr>
          <w:bCs/>
        </w:rPr>
        <w:br/>
      </w:r>
    </w:p>
    <w:p w14:paraId="448800CA" w14:textId="7E174A10" w:rsidR="002350E8" w:rsidRDefault="002350E8" w:rsidP="002350E8">
      <w:pPr>
        <w:pStyle w:val="Caption"/>
        <w:keepNext/>
      </w:pPr>
      <w:r>
        <w:lastRenderedPageBreak/>
        <w:t xml:space="preserve">Equation </w:t>
      </w:r>
      <w:fldSimple w:instr=" SEQ Equation \* ARABIC ">
        <w:r w:rsidR="00920E5F">
          <w:rPr>
            <w:noProof/>
          </w:rPr>
          <w:t>10</w:t>
        </w:r>
      </w:fldSimple>
    </w:p>
    <w:p w14:paraId="30931A81" w14:textId="77777777" w:rsidR="002350E8" w:rsidRDefault="002350E8" w:rsidP="002350E8">
      <w:pPr>
        <w:rPr>
          <w:bCs/>
        </w:rPr>
      </w:pPr>
      <m:oMathPara>
        <m:oMath>
          <m:r>
            <m:rPr>
              <m:sty m:val="p"/>
            </m:rPr>
            <w:rPr>
              <w:rFonts w:ascii="Cambria Math" w:hAnsi="Cambria Math"/>
            </w:rPr>
            <w:br/>
          </m:r>
        </m:oMath>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 xml:space="preserve">= </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m:t>
          </m:r>
        </m:oMath>
      </m:oMathPara>
    </w:p>
    <w:p w14:paraId="166C8787" w14:textId="77777777" w:rsidR="002350E8" w:rsidRDefault="002350E8" w:rsidP="002350E8">
      <w:pPr>
        <w:rPr>
          <w:bCs/>
        </w:rPr>
      </w:pPr>
    </w:p>
    <w:p w14:paraId="5C981684" w14:textId="77777777" w:rsidR="002350E8" w:rsidRDefault="002350E8" w:rsidP="002350E8">
      <w:pPr>
        <w:rPr>
          <w:bCs/>
        </w:rPr>
      </w:pPr>
      <m:oMathPara>
        <m:oMath>
          <m:r>
            <m:rPr>
              <m:sty m:val="p"/>
            </m:rPr>
            <w:rPr>
              <w:rFonts w:ascii="Cambria Math" w:hAnsi="Cambria Math"/>
            </w:rPr>
            <w:br/>
          </m:r>
        </m:oMath>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 xml:space="preserve">= </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51A4A2F0" w14:textId="77777777" w:rsidR="002350E8" w:rsidRDefault="002350E8" w:rsidP="002350E8">
      <w:pPr>
        <w:rPr>
          <w:bCs/>
        </w:rPr>
      </w:pPr>
    </w:p>
    <w:p w14:paraId="340BBAFD" w14:textId="77777777" w:rsidR="002350E8" w:rsidRDefault="002350E8" w:rsidP="002350E8">
      <w:pPr>
        <w:rPr>
          <w:bCs/>
        </w:rPr>
      </w:pPr>
    </w:p>
    <w:p w14:paraId="411141AB" w14:textId="77777777" w:rsidR="002350E8" w:rsidRDefault="002350E8" w:rsidP="002350E8">
      <w:r>
        <w:t xml:space="preserve">The BDM is incentive compatible for each trial, therefore on each trial a rational participant should seek to maximise the utility of their expected payout by bidding exactly their utility for the good </w:t>
      </w:r>
      <w:r w:rsidRPr="004230BC">
        <w:rPr>
          <w:b/>
          <w:bCs/>
        </w:rPr>
        <w:t>G</w:t>
      </w:r>
      <w:r>
        <w:t xml:space="preserve">. I.e. we assume for any trial that </w:t>
      </w:r>
      <w:r>
        <w:rPr>
          <w:i/>
          <w:iCs/>
        </w:rPr>
        <w:t>U</w:t>
      </w:r>
      <w:r>
        <w:t>(</w:t>
      </w:r>
      <w:r>
        <w:rPr>
          <w:b/>
          <w:bCs/>
        </w:rPr>
        <w:t>G</w:t>
      </w:r>
      <w:r>
        <w:t xml:space="preserve">) = </w:t>
      </w:r>
      <w:proofErr w:type="spellStart"/>
      <w:r>
        <w:rPr>
          <w:b/>
          <w:bCs/>
        </w:rPr>
        <w:t>B</w:t>
      </w:r>
      <w:r w:rsidRPr="00757992">
        <w:rPr>
          <w:b/>
          <w:bCs/>
          <w:vertAlign w:val="subscript"/>
        </w:rPr>
        <w:t>subject</w:t>
      </w:r>
      <w:proofErr w:type="spellEnd"/>
      <w:r w:rsidRPr="00865DCA">
        <w:t>.</w:t>
      </w:r>
    </w:p>
    <w:p w14:paraId="4E111B15" w14:textId="77777777" w:rsidR="002350E8" w:rsidRDefault="002350E8" w:rsidP="002350E8"/>
    <w:p w14:paraId="0148C5EE" w14:textId="31C97B8D" w:rsidR="002350E8" w:rsidRDefault="002350E8" w:rsidP="002350E8">
      <w:pPr>
        <w:pStyle w:val="Caption"/>
        <w:keepNext/>
      </w:pPr>
      <w:r>
        <w:t xml:space="preserve">Equation </w:t>
      </w:r>
      <w:fldSimple w:instr=" SEQ Equation \* ARABIC ">
        <w:r w:rsidR="00920E5F">
          <w:rPr>
            <w:noProof/>
          </w:rPr>
          <w:t>11</w:t>
        </w:r>
      </w:fldSimple>
    </w:p>
    <w:p w14:paraId="5FDDF202" w14:textId="77777777"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609A198E" w14:textId="77777777"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12D3584C" w14:textId="77777777"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50EF0AD0" w14:textId="77777777" w:rsidR="002350E8" w:rsidRDefault="002350E8" w:rsidP="002350E8"/>
    <w:p w14:paraId="7D7EB808" w14:textId="77777777" w:rsidR="002350E8" w:rsidRDefault="002350E8" w:rsidP="002350E8">
      <w:r w:rsidRPr="00CC6990">
        <w:t>As mentioned,</w:t>
      </w:r>
      <w:r>
        <w:rPr>
          <w:b/>
          <w:bCs/>
        </w:rPr>
        <w:t xml:space="preserve"> </w:t>
      </w:r>
      <w:proofErr w:type="spellStart"/>
      <w:r>
        <w:rPr>
          <w:b/>
          <w:bCs/>
        </w:rPr>
        <w:t>B</w:t>
      </w:r>
      <w:r w:rsidRPr="00CC6990">
        <w:rPr>
          <w:b/>
          <w:bCs/>
          <w:vertAlign w:val="subscript"/>
        </w:rPr>
        <w:t>subject</w:t>
      </w:r>
      <w:proofErr w:type="spellEnd"/>
      <w:r>
        <w:rPr>
          <w:b/>
          <w:bCs/>
          <w:vertAlign w:val="subscript"/>
        </w:rPr>
        <w:t xml:space="preserve"> </w:t>
      </w:r>
      <w:r w:rsidRPr="00CC6990">
        <w:t>is</w:t>
      </w:r>
      <w:r>
        <w:t xml:space="preserve"> in the range 0-</w:t>
      </w:r>
      <w:r>
        <w:rPr>
          <w:b/>
          <w:bCs/>
        </w:rPr>
        <w:t>B</w:t>
      </w:r>
      <w:r w:rsidRPr="00CC6990">
        <w:rPr>
          <w:b/>
          <w:bCs/>
          <w:vertAlign w:val="subscript"/>
        </w:rPr>
        <w:t>max</w:t>
      </w:r>
      <w:r w:rsidRPr="00CC6990">
        <w:t>.</w:t>
      </w:r>
      <w:r>
        <w:t xml:space="preserve"> We can therefore </w:t>
      </w:r>
      <w:proofErr w:type="spellStart"/>
      <w:r>
        <w:rPr>
          <w:b/>
          <w:bCs/>
        </w:rPr>
        <w:t>B</w:t>
      </w:r>
      <w:r w:rsidRPr="00CC6990">
        <w:rPr>
          <w:b/>
          <w:bCs/>
          <w:vertAlign w:val="subscript"/>
        </w:rPr>
        <w:t>subject</w:t>
      </w:r>
      <w:proofErr w:type="spellEnd"/>
      <w:r>
        <w:t xml:space="preserve"> express in terms of </w:t>
      </w:r>
      <w:proofErr w:type="spellStart"/>
      <w:r>
        <w:rPr>
          <w:b/>
          <w:bCs/>
        </w:rPr>
        <w:t>B</w:t>
      </w:r>
      <w:r w:rsidRPr="00CC6990">
        <w:rPr>
          <w:b/>
          <w:bCs/>
          <w:vertAlign w:val="subscript"/>
        </w:rPr>
        <w:t>max</w:t>
      </w:r>
      <w:proofErr w:type="spellEnd"/>
      <w:r>
        <w:t xml:space="preserve"> for the ideal situation for any subject (a highly valued good to be auctioned when </w:t>
      </w:r>
      <w:r>
        <w:rPr>
          <w:i/>
          <w:iCs/>
        </w:rPr>
        <w:t>U</w:t>
      </w:r>
      <w:r>
        <w:t>(</w:t>
      </w:r>
      <w:r>
        <w:rPr>
          <w:b/>
          <w:bCs/>
        </w:rPr>
        <w:t>G</w:t>
      </w:r>
      <w:r>
        <w:t xml:space="preserve">) = </w:t>
      </w:r>
      <w:proofErr w:type="spellStart"/>
      <w:r>
        <w:rPr>
          <w:b/>
          <w:bCs/>
        </w:rPr>
        <w:t>B</w:t>
      </w:r>
      <w:r w:rsidRPr="00CC6990">
        <w:rPr>
          <w:b/>
          <w:bCs/>
          <w:vertAlign w:val="subscript"/>
        </w:rPr>
        <w:t>subject</w:t>
      </w:r>
      <w:proofErr w:type="spellEnd"/>
      <w:r>
        <w:rPr>
          <w:b/>
          <w:bCs/>
          <w:vertAlign w:val="subscript"/>
        </w:rPr>
        <w:t xml:space="preserve"> </w:t>
      </w:r>
      <w:r>
        <w:rPr>
          <w:rFonts w:cs="Times New Roman"/>
        </w:rPr>
        <w:t>≥</w:t>
      </w:r>
      <w:r>
        <w:t xml:space="preserve"> </w:t>
      </w:r>
      <w:proofErr w:type="spellStart"/>
      <w:r>
        <w:rPr>
          <w:b/>
          <w:bCs/>
        </w:rPr>
        <w:t>B</w:t>
      </w:r>
      <w:r w:rsidRPr="00CC6990">
        <w:rPr>
          <w:b/>
          <w:bCs/>
          <w:vertAlign w:val="subscript"/>
        </w:rPr>
        <w:t>max</w:t>
      </w:r>
      <w:proofErr w:type="spellEnd"/>
      <w:r>
        <w:t xml:space="preserve">), or the worst case (an unvalued good when </w:t>
      </w:r>
      <w:r>
        <w:rPr>
          <w:i/>
          <w:iCs/>
        </w:rPr>
        <w:t>U</w:t>
      </w:r>
      <w:r>
        <w:t>(</w:t>
      </w:r>
      <w:r>
        <w:rPr>
          <w:b/>
          <w:bCs/>
        </w:rPr>
        <w:t>G</w:t>
      </w:r>
      <w:r>
        <w:t xml:space="preserve">) = </w:t>
      </w:r>
      <w:proofErr w:type="spellStart"/>
      <w:r>
        <w:rPr>
          <w:b/>
          <w:bCs/>
        </w:rPr>
        <w:t>B</w:t>
      </w:r>
      <w:r w:rsidRPr="00CC6990">
        <w:rPr>
          <w:b/>
          <w:bCs/>
          <w:vertAlign w:val="subscript"/>
        </w:rPr>
        <w:t>subject</w:t>
      </w:r>
      <w:proofErr w:type="spellEnd"/>
      <w:r>
        <w:rPr>
          <w:b/>
          <w:bCs/>
          <w:vertAlign w:val="subscript"/>
        </w:rPr>
        <w:t xml:space="preserve"> </w:t>
      </w:r>
      <w:r>
        <w:rPr>
          <w:rFonts w:cs="Times New Roman"/>
        </w:rPr>
        <w:t>=</w:t>
      </w:r>
      <w:r>
        <w:t xml:space="preserve"> </w:t>
      </w:r>
      <w:r w:rsidRPr="00CC6990">
        <w:t>0</w:t>
      </w:r>
      <w:r>
        <w:t>).</w:t>
      </w:r>
    </w:p>
    <w:p w14:paraId="01670F62" w14:textId="77777777" w:rsidR="002350E8" w:rsidRDefault="002350E8" w:rsidP="002350E8"/>
    <w:p w14:paraId="69C5DB78" w14:textId="77777777" w:rsidR="002350E8" w:rsidRDefault="002350E8" w:rsidP="002350E8">
      <w:r>
        <w:t>For any trial we can therefore express the expected utility of the payoff for a monkey to be:</w:t>
      </w:r>
      <w:r>
        <w:br/>
      </w:r>
      <w:r>
        <w:br/>
      </w:r>
      <m:oMathPara>
        <m:oMath>
          <m:r>
            <m:rPr>
              <m:sty m:val="p"/>
            </m:rPr>
            <w:rPr>
              <w:rFonts w:ascii="Cambria Math" w:hAnsi="Cambria Math"/>
            </w:rPr>
            <w:br/>
          </m:r>
        </m:oMath>
      </m:oMathPara>
    </w:p>
    <w:p w14:paraId="668185A0" w14:textId="417AEFE3" w:rsidR="002350E8" w:rsidRDefault="002350E8" w:rsidP="002350E8">
      <w:pPr>
        <w:pStyle w:val="Caption"/>
        <w:keepNext/>
      </w:pPr>
      <w:r>
        <w:t xml:space="preserve">Equation </w:t>
      </w:r>
      <w:fldSimple w:instr=" SEQ Equation \* ARABIC ">
        <w:r w:rsidR="00920E5F">
          <w:rPr>
            <w:noProof/>
          </w:rPr>
          <w:t>12</w:t>
        </w:r>
      </w:fldSimple>
    </w:p>
    <w:p w14:paraId="11F03A2C" w14:textId="77777777" w:rsidR="002350E8" w:rsidRDefault="00FE142F" w:rsidP="002350E8">
      <w:pPr>
        <w:rPr>
          <w:bCs/>
        </w:rPr>
      </w:pPr>
      <m:oMathPara>
        <m:oMath>
          <m:sSub>
            <m:sSubPr>
              <m:ctrlPr>
                <w:rPr>
                  <w:rFonts w:ascii="Cambria Math" w:hAnsi="Cambria Math"/>
                  <w:i/>
                </w:rPr>
              </m:ctrlPr>
            </m:sSubPr>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U(G)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m:t>
                  </m:r>
                </m:e>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U(G)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0</m:t>
                  </m:r>
                </m:e>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otherwise</m:t>
                  </m:r>
                </m:e>
              </m:eqArr>
            </m:e>
          </m:d>
        </m:oMath>
      </m:oMathPara>
    </w:p>
    <w:p w14:paraId="47F464CE" w14:textId="77777777" w:rsidR="002350E8" w:rsidRDefault="002350E8" w:rsidP="002350E8"/>
    <w:p w14:paraId="05CBFCDE" w14:textId="77777777" w:rsidR="002350E8" w:rsidRDefault="002350E8" w:rsidP="002350E8"/>
    <w:p w14:paraId="7DB095CE" w14:textId="77777777" w:rsidR="002350E8" w:rsidRDefault="002350E8" w:rsidP="002350E8">
      <w:r>
        <w:t>From this result, we can trivially derive the expected cost of misbehaviour- the difference between the maximum expected payoff of a trial and the post-bid expected payoff of a trial. As misbehaviour will only affect the potential profit of a trial</w:t>
      </w:r>
      <w:r>
        <w:rPr>
          <w:rStyle w:val="FootnoteReference"/>
        </w:rPr>
        <w:footnoteReference w:id="22"/>
      </w:r>
      <w:r>
        <w:t xml:space="preserve">, for simplicity’s  sake we only </w:t>
      </w:r>
      <w:r>
        <w:lastRenderedPageBreak/>
        <w:t>consider the difference between the utilities of expected profit (</w:t>
      </w:r>
      <w:r w:rsidRPr="00C515D9">
        <w:rPr>
          <w:rFonts w:cs="Times New Roman"/>
          <w:b/>
          <w:bCs/>
        </w:rPr>
        <w:t>π</w:t>
      </w:r>
      <w:r w:rsidRPr="00C515D9">
        <w:rPr>
          <w:rFonts w:cs="Times New Roman"/>
        </w:rPr>
        <w:t>)</w:t>
      </w:r>
      <w:r>
        <w:rPr>
          <w:rFonts w:cs="Times New Roman"/>
        </w:rPr>
        <w:t xml:space="preserve"> when the participant bids their utility (</w:t>
      </w:r>
      <w:r>
        <w:rPr>
          <w:i/>
          <w:iCs/>
        </w:rPr>
        <w:t>U</w:t>
      </w:r>
      <w:r>
        <w:t>(</w:t>
      </w:r>
      <w:r>
        <w:rPr>
          <w:b/>
          <w:bCs/>
        </w:rPr>
        <w:t>G</w:t>
      </w:r>
      <w:r>
        <w:t xml:space="preserve">) = </w:t>
      </w:r>
      <w:proofErr w:type="spellStart"/>
      <w:r>
        <w:rPr>
          <w:b/>
          <w:bCs/>
        </w:rPr>
        <w:t>B</w:t>
      </w:r>
      <w:r w:rsidRPr="00CC6990">
        <w:rPr>
          <w:b/>
          <w:bCs/>
          <w:vertAlign w:val="subscript"/>
        </w:rPr>
        <w:t>subject</w:t>
      </w:r>
      <w:proofErr w:type="spellEnd"/>
      <w:r>
        <w:t>) and when they do not (</w:t>
      </w:r>
      <w:r>
        <w:rPr>
          <w:i/>
          <w:iCs/>
        </w:rPr>
        <w:t>U</w:t>
      </w:r>
      <w:r>
        <w:t>(</w:t>
      </w:r>
      <w:r>
        <w:rPr>
          <w:b/>
          <w:bCs/>
        </w:rPr>
        <w:t>G</w:t>
      </w:r>
      <w:r>
        <w:t xml:space="preserve">) </w:t>
      </w:r>
      <w:r>
        <w:rPr>
          <w:rFonts w:cs="Times New Roman"/>
        </w:rPr>
        <w:t>≠</w:t>
      </w:r>
      <w:r>
        <w:t xml:space="preserve"> </w:t>
      </w:r>
      <w:proofErr w:type="spellStart"/>
      <w:r>
        <w:rPr>
          <w:b/>
          <w:bCs/>
        </w:rPr>
        <w:t>B</w:t>
      </w:r>
      <w:r w:rsidRPr="00CC6990">
        <w:rPr>
          <w:b/>
          <w:bCs/>
          <w:vertAlign w:val="subscript"/>
        </w:rPr>
        <w:t>subject</w:t>
      </w:r>
      <w:proofErr w:type="spellEnd"/>
      <w:r>
        <w:t>).</w:t>
      </w:r>
    </w:p>
    <w:p w14:paraId="7A6FF2C6" w14:textId="77777777" w:rsidR="002350E8" w:rsidRDefault="002350E8" w:rsidP="002350E8"/>
    <w:p w14:paraId="33C18859" w14:textId="77777777" w:rsidR="002350E8" w:rsidRPr="00C515D9" w:rsidRDefault="002350E8" w:rsidP="002350E8"/>
    <w:p w14:paraId="22987FE5" w14:textId="2BCBBB2D" w:rsidR="002350E8" w:rsidRDefault="002350E8" w:rsidP="002350E8">
      <w:pPr>
        <w:pStyle w:val="Caption"/>
        <w:keepNext/>
      </w:pPr>
      <w:r>
        <w:t xml:space="preserve">Equation </w:t>
      </w:r>
      <w:fldSimple w:instr=" SEQ Equation \* ARABIC ">
        <w:r w:rsidR="00920E5F">
          <w:rPr>
            <w:noProof/>
          </w:rPr>
          <w:t>13</w:t>
        </w:r>
      </w:fldSimple>
    </w:p>
    <w:p w14:paraId="4F6F4B8F" w14:textId="77777777" w:rsidR="002350E8" w:rsidRPr="009B39AC" w:rsidRDefault="002350E8" w:rsidP="002350E8">
      <m:oMathPara>
        <m:oMath>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G</m:t>
                  </m:r>
                </m:e>
              </m:d>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2</m:t>
                  </m:r>
                </m:den>
              </m:f>
            </m:e>
          </m:d>
        </m:oMath>
      </m:oMathPara>
    </w:p>
    <w:p w14:paraId="7BB27ED8" w14:textId="77777777" w:rsidR="002350E8" w:rsidRPr="009B39AC" w:rsidRDefault="002350E8" w:rsidP="002350E8"/>
    <w:p w14:paraId="09B912C4" w14:textId="77777777" w:rsidR="002350E8" w:rsidRPr="00F85111" w:rsidRDefault="002350E8" w:rsidP="002350E8">
      <w:pPr>
        <w:rPr>
          <w:bCs/>
        </w:rPr>
      </w:pPr>
      <m:oMathPara>
        <m:oMath>
          <m:r>
            <w:rPr>
              <w:rFonts w:ascii="Cambria Math" w:hAnsi="Cambria Math"/>
            </w:rPr>
            <m:t xml:space="preserve">U(ECM)= </m:t>
          </m:r>
          <m:sSub>
            <m:sSubPr>
              <m:ctrlPr>
                <w:rPr>
                  <w:rFonts w:ascii="Cambria Math" w:hAnsi="Cambria Math"/>
                  <w:i/>
                </w:rPr>
              </m:ctrlPr>
            </m:sSubPr>
            <m:e>
              <m:r>
                <w:rPr>
                  <w:rFonts w:ascii="Cambria Math" w:hAnsi="Cambria Math"/>
                </w:rPr>
                <m:t>U</m:t>
              </m:r>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e>
              </m:d>
            </m:e>
            <m:sub>
              <m:r>
                <w:rPr>
                  <w:rFonts w:ascii="Cambria Math" w:hAnsi="Cambria Math"/>
                </w:rPr>
                <m:t>max</m:t>
              </m:r>
            </m:sub>
          </m:sSub>
          <m:r>
            <w:rPr>
              <w:rFonts w:ascii="Cambria Math" w:hAnsi="Cambria Math"/>
            </w:rPr>
            <m:t xml:space="preserve"> - U</m:t>
          </m:r>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e>
          </m:d>
        </m:oMath>
      </m:oMathPara>
    </w:p>
    <w:p w14:paraId="1C11AB11" w14:textId="77777777" w:rsidR="002350E8" w:rsidRDefault="002350E8" w:rsidP="002350E8">
      <w:pPr>
        <w:rPr>
          <w:bCs/>
        </w:rPr>
      </w:pPr>
    </w:p>
    <w:p w14:paraId="6CDC780D" w14:textId="77777777" w:rsidR="002350E8" w:rsidRPr="00F85111" w:rsidRDefault="002350E8" w:rsidP="002350E8">
      <w:pPr>
        <w:rPr>
          <w:bCs/>
        </w:rPr>
      </w:pPr>
      <w:r>
        <w:rPr>
          <w:bCs/>
        </w:rPr>
        <w:t>For when the participant actually misbehaves this can also be written as</w:t>
      </w:r>
    </w:p>
    <w:p w14:paraId="60F6727F" w14:textId="77777777" w:rsidR="002350E8" w:rsidRPr="00F85111" w:rsidRDefault="002350E8" w:rsidP="002350E8">
      <w:pPr>
        <w:rPr>
          <w:bCs/>
        </w:rPr>
      </w:pPr>
    </w:p>
    <w:p w14:paraId="69936201" w14:textId="39C2BCA5" w:rsidR="002350E8" w:rsidRDefault="002350E8" w:rsidP="002350E8">
      <w:pPr>
        <w:pStyle w:val="Caption"/>
        <w:keepNext/>
      </w:pPr>
      <w:r>
        <w:t xml:space="preserve">Equation </w:t>
      </w:r>
      <w:fldSimple w:instr=" SEQ Equation \* ARABIC ">
        <w:r w:rsidR="00920E5F">
          <w:rPr>
            <w:noProof/>
          </w:rPr>
          <w:t>14</w:t>
        </w:r>
      </w:fldSimple>
    </w:p>
    <w:p w14:paraId="5623A178" w14:textId="77777777" w:rsidR="002350E8" w:rsidRPr="00F85111" w:rsidRDefault="002350E8" w:rsidP="002350E8">
      <w:pPr>
        <w:rPr>
          <w:bCs/>
        </w:rPr>
      </w:pPr>
      <m:oMathPara>
        <m:oMath>
          <m:r>
            <w:rPr>
              <w:rFonts w:ascii="Cambria Math" w:hAnsi="Cambria Math"/>
            </w:rPr>
            <m:t>U(ECM)=  U</m:t>
          </m:r>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U(G)</m:t>
              </m:r>
            </m:e>
          </m:d>
          <m:r>
            <w:rPr>
              <w:rFonts w:ascii="Cambria Math" w:hAnsi="Cambria Math"/>
            </w:rPr>
            <m:t>- U</m:t>
          </m:r>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F(G)</m:t>
              </m:r>
            </m:e>
          </m:d>
        </m:oMath>
      </m:oMathPara>
    </w:p>
    <w:p w14:paraId="2FF66205" w14:textId="77777777" w:rsidR="002350E8" w:rsidRDefault="002350E8" w:rsidP="002350E8">
      <w:pPr>
        <w:rPr>
          <w:bCs/>
        </w:rPr>
      </w:pPr>
    </w:p>
    <w:p w14:paraId="1A1B2319" w14:textId="77777777" w:rsidR="002350E8" w:rsidRPr="006937E1" w:rsidRDefault="002350E8" w:rsidP="002350E8">
      <w:r>
        <w:rPr>
          <w:bCs/>
        </w:rPr>
        <w:t xml:space="preserve">Where </w:t>
      </w:r>
      <m:oMath>
        <m:r>
          <w:rPr>
            <w:rFonts w:ascii="Cambria Math" w:hAnsi="Cambria Math"/>
          </w:rPr>
          <m:t>F(</m:t>
        </m:r>
        <m:r>
          <m:rPr>
            <m:sty m:val="b"/>
          </m:rPr>
          <w:rPr>
            <w:rFonts w:ascii="Cambria Math" w:hAnsi="Cambria Math"/>
          </w:rPr>
          <m:t>G</m:t>
        </m:r>
        <m:r>
          <w:rPr>
            <w:rFonts w:ascii="Cambria Math" w:hAnsi="Cambria Math"/>
          </w:rPr>
          <m:t>)</m:t>
        </m:r>
      </m:oMath>
      <w:r>
        <w:t xml:space="preserve"> is the utility of a good </w:t>
      </w:r>
      <w:r>
        <w:rPr>
          <w:b/>
          <w:bCs/>
        </w:rPr>
        <w:t>G</w:t>
      </w:r>
      <w:r>
        <w:t xml:space="preserve"> plus some error function, which deviates the bid from </w:t>
      </w:r>
      <w:proofErr w:type="spellStart"/>
      <w:r>
        <w:t>it’s</w:t>
      </w:r>
      <w:proofErr w:type="spellEnd"/>
      <w:r>
        <w:t xml:space="preserve"> optimal value.</w:t>
      </w:r>
    </w:p>
    <w:p w14:paraId="1E1E4249" w14:textId="77777777" w:rsidR="002350E8" w:rsidRPr="00CC6990" w:rsidRDefault="002350E8" w:rsidP="002350E8"/>
    <w:p w14:paraId="09E1B9F2" w14:textId="420F6897" w:rsidR="002350E8" w:rsidRDefault="002350E8" w:rsidP="002350E8">
      <w:pPr>
        <w:pStyle w:val="Caption"/>
        <w:keepNext/>
      </w:pPr>
      <w:r>
        <w:t xml:space="preserve">Equation </w:t>
      </w:r>
      <w:fldSimple w:instr=" SEQ Equation \* ARABIC ">
        <w:r w:rsidR="00920E5F">
          <w:rPr>
            <w:noProof/>
          </w:rPr>
          <w:t>15</w:t>
        </w:r>
      </w:fldSimple>
    </w:p>
    <w:p w14:paraId="33A74112" w14:textId="77777777" w:rsidR="002350E8" w:rsidRPr="006937E1" w:rsidRDefault="002350E8" w:rsidP="002350E8">
      <m:oMathPara>
        <m:oMath>
          <m:r>
            <w:rPr>
              <w:rFonts w:ascii="Cambria Math" w:hAnsi="Cambria Math"/>
            </w:rPr>
            <m:t xml:space="preserve">U(ECM) = </m:t>
          </m:r>
          <w:bookmarkStart w:id="0" w:name="_Hlk55220622"/>
          <m:f>
            <m:fPr>
              <m:ctrlPr>
                <w:rPr>
                  <w:rFonts w:ascii="Cambria Math" w:hAnsi="Cambria Math"/>
                  <w:i/>
                </w:rPr>
              </m:ctrlPr>
            </m:fPr>
            <m:num>
              <m:sSup>
                <m:sSupPr>
                  <m:ctrlPr>
                    <w:rPr>
                      <w:rFonts w:ascii="Cambria Math" w:hAnsi="Cambria Math"/>
                      <w:i/>
                    </w:rPr>
                  </m:ctrlPr>
                </m:sSupPr>
                <m:e>
                  <m:r>
                    <w:rPr>
                      <w:rFonts w:ascii="Cambria Math" w:hAnsi="Cambria Math"/>
                    </w:rPr>
                    <m:t>U(G)</m:t>
                  </m:r>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w:bookmarkEnd w:id="0"/>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m:t>
                  </m:r>
                  <m:r>
                    <w:rPr>
                      <w:rFonts w:ascii="Cambria Math" w:hAnsi="Cambria Math"/>
                    </w:rPr>
                    <m:t>F(G)</m:t>
                  </m:r>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r>
                    <w:rPr>
                      <w:rFonts w:ascii="Cambria Math" w:hAnsi="Cambria Math"/>
                    </w:rPr>
                    <m:t>F</m:t>
                  </m:r>
                  <m:sSup>
                    <m:sSupPr>
                      <m:ctrlPr>
                        <w:rPr>
                          <w:rFonts w:ascii="Cambria Math" w:hAnsi="Cambria Math"/>
                          <w:i/>
                        </w:rPr>
                      </m:ctrlPr>
                    </m:sSupPr>
                    <m:e>
                      <m:r>
                        <w:rPr>
                          <w:rFonts w:ascii="Cambria Math" w:hAnsi="Cambria Math"/>
                        </w:rPr>
                        <m:t>(G)</m:t>
                      </m:r>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e>
          </m:d>
          <m:r>
            <w:rPr>
              <w:rFonts w:ascii="Cambria Math" w:hAnsi="Cambria Math"/>
            </w:rPr>
            <m:t xml:space="preserve"> </m:t>
          </m:r>
        </m:oMath>
      </m:oMathPara>
    </w:p>
    <w:p w14:paraId="3278264F" w14:textId="77777777" w:rsidR="002350E8" w:rsidRPr="00CC6990" w:rsidRDefault="002350E8" w:rsidP="002350E8"/>
    <w:p w14:paraId="46626536" w14:textId="77777777" w:rsidR="002350E8" w:rsidRPr="006937E1" w:rsidRDefault="002350E8" w:rsidP="002350E8">
      <m:oMathPara>
        <m:oMath>
          <m:r>
            <w:rPr>
              <w:rFonts w:ascii="Cambria Math" w:hAnsi="Cambria Math"/>
            </w:rPr>
            <m:t xml:space="preserve">U(ECM)= </m:t>
          </m:r>
          <m:f>
            <m:fPr>
              <m:ctrlPr>
                <w:rPr>
                  <w:rFonts w:ascii="Cambria Math" w:hAnsi="Cambria Math"/>
                  <w:i/>
                </w:rPr>
              </m:ctrlPr>
            </m:fPr>
            <m:num>
              <m:sSup>
                <m:sSupPr>
                  <m:ctrlPr>
                    <w:rPr>
                      <w:rFonts w:ascii="Cambria Math" w:hAnsi="Cambria Math"/>
                      <w:i/>
                    </w:rPr>
                  </m:ctrlPr>
                </m:sSupPr>
                <m:e>
                  <m:r>
                    <w:rPr>
                      <w:rFonts w:ascii="Cambria Math" w:hAnsi="Cambria Math"/>
                    </w:rPr>
                    <m:t>U(G)</m:t>
                  </m:r>
                </m:e>
                <m:sup>
                  <m:r>
                    <w:rPr>
                      <w:rFonts w:ascii="Cambria Math" w:hAnsi="Cambria Math"/>
                    </w:rPr>
                    <m:t>2</m:t>
                  </m:r>
                </m:sup>
              </m:sSup>
            </m:num>
            <m:den>
              <m:r>
                <w:rPr>
                  <w:rFonts w:ascii="Cambria Math" w:hAnsi="Cambria Math"/>
                </w:rPr>
                <m:t>2</m:t>
              </m:r>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r>
                    <w:rPr>
                      <w:rFonts w:ascii="Cambria Math" w:hAnsi="Cambria Math"/>
                    </w:rPr>
                    <m:t>F(G)</m:t>
                  </m:r>
                </m:e>
                <m:sup>
                  <m:r>
                    <w:rPr>
                      <w:rFonts w:ascii="Cambria Math" w:hAnsi="Cambria Math"/>
                    </w:rPr>
                    <m:t>2</m:t>
                  </m:r>
                </m:sup>
              </m:sSup>
            </m:num>
            <m:den>
              <m:r>
                <w:rPr>
                  <w:rFonts w:ascii="Cambria Math" w:hAnsi="Cambria Math"/>
                </w:rPr>
                <m:t>2</m:t>
              </m:r>
            </m:den>
          </m:f>
          <m:r>
            <w:rPr>
              <w:rFonts w:ascii="Cambria Math" w:hAnsi="Cambria Math"/>
            </w:rPr>
            <m:t xml:space="preserve"> - U</m:t>
          </m:r>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m:t>
          </m:r>
          <m:r>
            <w:rPr>
              <w:rFonts w:ascii="Cambria Math" w:hAnsi="Cambria Math"/>
            </w:rPr>
            <m:t xml:space="preserve">F(G) </m:t>
          </m:r>
        </m:oMath>
      </m:oMathPara>
    </w:p>
    <w:p w14:paraId="47D1B184" w14:textId="77777777" w:rsidR="002350E8" w:rsidRPr="00CC6990" w:rsidRDefault="002350E8" w:rsidP="002350E8"/>
    <w:p w14:paraId="5293FA2E" w14:textId="77777777" w:rsidR="002350E8" w:rsidRPr="00CC6990" w:rsidRDefault="002350E8" w:rsidP="002350E8">
      <m:oMathPara>
        <m:oMath>
          <m:r>
            <w:rPr>
              <w:rFonts w:ascii="Cambria Math" w:hAnsi="Cambria Math"/>
            </w:rPr>
            <m:t xml:space="preserve">U(ECM)= </m:t>
          </m:r>
          <m:f>
            <m:fPr>
              <m:ctrlPr>
                <w:rPr>
                  <w:rFonts w:ascii="Cambria Math" w:hAnsi="Cambria Math"/>
                  <w:i/>
                </w:rPr>
              </m:ctrlPr>
            </m:fPr>
            <m:num>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 xml:space="preserve">- </m:t>
                  </m:r>
                  <m:r>
                    <w:rPr>
                      <w:rFonts w:ascii="Cambria Math" w:hAnsi="Cambria Math"/>
                    </w:rPr>
                    <m:t>F(G))</m:t>
                  </m:r>
                </m:e>
                <m:sup>
                  <m:r>
                    <w:rPr>
                      <w:rFonts w:ascii="Cambria Math" w:hAnsi="Cambria Math"/>
                    </w:rPr>
                    <m:t>2</m:t>
                  </m:r>
                </m:sup>
              </m:sSup>
            </m:num>
            <m:den>
              <m:r>
                <w:rPr>
                  <w:rFonts w:ascii="Cambria Math" w:hAnsi="Cambria Math"/>
                </w:rPr>
                <m:t>2</m:t>
              </m:r>
            </m:den>
          </m:f>
        </m:oMath>
      </m:oMathPara>
    </w:p>
    <w:p w14:paraId="11F19FC3" w14:textId="77777777" w:rsidR="002350E8" w:rsidRDefault="002350E8" w:rsidP="002350E8">
      <w:r>
        <w:t xml:space="preserve">If we express the difference between </w:t>
      </w:r>
      <w:r w:rsidRPr="001C472F">
        <w:rPr>
          <w:i/>
          <w:iCs/>
        </w:rPr>
        <w:t>U</w:t>
      </w:r>
      <w:r>
        <w:t>(</w:t>
      </w:r>
      <w:r w:rsidRPr="001C472F">
        <w:rPr>
          <w:b/>
          <w:bCs/>
        </w:rPr>
        <w:t>G</w:t>
      </w:r>
      <w:r>
        <w:t xml:space="preserve">) and </w:t>
      </w:r>
      <w:r w:rsidRPr="008C7F81">
        <w:rPr>
          <w:i/>
          <w:iCs/>
        </w:rPr>
        <w:t>F</w:t>
      </w:r>
      <w:r>
        <w:t>(</w:t>
      </w:r>
      <w:r w:rsidRPr="001C472F">
        <w:rPr>
          <w:b/>
          <w:bCs/>
        </w:rPr>
        <w:t>G</w:t>
      </w:r>
      <w:r>
        <w:t xml:space="preserve">) as some error </w:t>
      </w:r>
      <w:r>
        <w:rPr>
          <w:rFonts w:cs="Times New Roman"/>
        </w:rPr>
        <w:t>ε</w:t>
      </w:r>
      <w:r>
        <w:t>, we can then rewrite this as</w:t>
      </w:r>
    </w:p>
    <w:p w14:paraId="7D8AC8A3" w14:textId="6E858CED" w:rsidR="002350E8" w:rsidRDefault="002350E8" w:rsidP="002350E8">
      <w:pPr>
        <w:pStyle w:val="Caption"/>
        <w:keepNext/>
      </w:pPr>
      <w:r>
        <w:t xml:space="preserve">Equation </w:t>
      </w:r>
      <w:fldSimple w:instr=" SEQ Equation \* ARABIC ">
        <w:r w:rsidR="00920E5F">
          <w:rPr>
            <w:noProof/>
          </w:rPr>
          <w:t>16</w:t>
        </w:r>
      </w:fldSimple>
    </w:p>
    <w:p w14:paraId="50401C63" w14:textId="77777777" w:rsidR="002350E8" w:rsidRPr="00AF6F5A" w:rsidRDefault="002350E8" w:rsidP="002350E8">
      <m:oMathPara>
        <m:oMath>
          <m:r>
            <w:rPr>
              <w:rFonts w:ascii="Cambria Math" w:hAnsi="Cambria Math"/>
            </w:rPr>
            <m:t xml:space="preserve">U(ECM)= </m:t>
          </m:r>
          <m:f>
            <m:fPr>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2</m:t>
                  </m:r>
                </m:sup>
              </m:sSup>
            </m:num>
            <m:den>
              <m:r>
                <w:rPr>
                  <w:rFonts w:ascii="Cambria Math" w:hAnsi="Cambria Math"/>
                </w:rPr>
                <m:t>2</m:t>
              </m:r>
            </m:den>
          </m:f>
        </m:oMath>
      </m:oMathPara>
    </w:p>
    <w:p w14:paraId="468DCF84" w14:textId="77777777" w:rsidR="002350E8" w:rsidRDefault="002350E8" w:rsidP="002350E8"/>
    <w:p w14:paraId="495ED4B8" w14:textId="77777777" w:rsidR="002350E8" w:rsidRDefault="002350E8" w:rsidP="002350E8">
      <w:r>
        <w:t xml:space="preserve">Therefore, the actual utility of a good, </w:t>
      </w:r>
      <w:r w:rsidRPr="00BD59E2">
        <w:rPr>
          <w:b/>
          <w:bCs/>
          <w:i/>
          <w:iCs/>
        </w:rPr>
        <w:t>U</w:t>
      </w:r>
      <w:r w:rsidRPr="00BD59E2">
        <w:rPr>
          <w:b/>
          <w:bCs/>
        </w:rPr>
        <w:t>(G)</w:t>
      </w:r>
      <w:r>
        <w:t xml:space="preserve">, has no effect </w:t>
      </w:r>
      <w:r>
        <w:rPr>
          <w:i/>
          <w:iCs/>
        </w:rPr>
        <w:t xml:space="preserve">per se </w:t>
      </w:r>
      <w:r>
        <w:t xml:space="preserve">on the cost of misbehaviour to the participant. Instead, it is only the </w:t>
      </w:r>
      <w:r>
        <w:rPr>
          <w:i/>
          <w:iCs/>
        </w:rPr>
        <w:t>deviation from this utility</w:t>
      </w:r>
      <w:r>
        <w:t xml:space="preserve"> which affects the disutility of suboptimal bidding.</w:t>
      </w:r>
    </w:p>
    <w:p w14:paraId="5613618C" w14:textId="77777777" w:rsidR="002350E8" w:rsidRDefault="002350E8" w:rsidP="002350E8"/>
    <w:p w14:paraId="4092155F" w14:textId="6537F729" w:rsidR="002350E8" w:rsidRPr="00A74078" w:rsidRDefault="002350E8" w:rsidP="002350E8">
      <w:r>
        <w:t xml:space="preserve">For fuller discussions of deriving the payoff and cost of misbehaviour for the BDM, extending this appendix to multiple bidders and more complex distributions of computer bid, see </w:t>
      </w:r>
      <w:r>
        <w:fldChar w:fldCharType="begin" w:fldLock="1"/>
      </w:r>
      <w:r w:rsidR="0017319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w:instrText>
      </w:r>
      <w:r w:rsidR="0017319F">
        <w:rPr>
          <w:rFonts w:hint="eastAsia"/>
        </w:rPr>
        <w:instrText xml:space="preserve">pling for flexible polypeptides. In addition, scoring of the poses was improved by post-processing with physics-based implicit solvent MM- GBSA calculations. Using the best RMSD among the top 10 scoring poses as a metric, the success rate (RMSD </w:instrText>
      </w:r>
      <w:r w:rsidR="0017319F">
        <w:rPr>
          <w:rFonts w:hint="eastAsia"/>
        </w:rPr>
        <w:instrText>≤</w:instrText>
      </w:r>
      <w:r w:rsidR="0017319F">
        <w:rPr>
          <w:rFonts w:hint="eastAsia"/>
        </w:rPr>
        <w:instrText xml:space="preserve"> 2.0 Å fo</w:instrText>
      </w:r>
      <w:r w:rsidR="0017319F">
        <w:instrText>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Lusk","given":"Jayson","non-dropping-particle":"","parse-names":false,"suffix":""},{"dropping-particle":"","family":"Alexander","given":"Corinne;","non-dropping-particle":"","parse-names":false,"suffix":""},{"dropping-particle":"","family":"Rousu","given":"Matt","non-dropping-particle":"","parse-names":false,"suffix":""}],"container-title":"Review of Marketing Science","id":"ITEM-1","issue":"5","issued":{"date-parts":[["2007"]]},"title":"Designing Experimental Auctions for Marketing Research: Effect of Values, Distributions, and Mechanisms on Incentives for Truthful Bidding","type":"article-journal","volume":"1"},"uris":["http://www.mendeley.com/documents/?uuid=47649953-f840-4a7d-8e0e-2cfe16a7d2b3"]}],"mendeley":{"formattedCitation":"(Lusk et al., 2007)","manualFormatting":"Lusk et al., 2007","plainTextFormattedCitation":"(Lusk et al., 2007)","previouslyFormattedCitation":"(Lusk et al., 2007)"},"properties":{"noteIndex":0},"schema":"https://github.com/citation-style-language/schema/raw/master/csl-citation.json"}</w:instrText>
      </w:r>
      <w:r>
        <w:fldChar w:fldCharType="separate"/>
      </w:r>
      <w:r w:rsidRPr="006E53AA">
        <w:rPr>
          <w:noProof/>
        </w:rPr>
        <w:t>Lusk et al., 2007</w:t>
      </w:r>
      <w:r>
        <w:fldChar w:fldCharType="end"/>
      </w:r>
    </w:p>
    <w:p w14:paraId="387AA458" w14:textId="501852E7" w:rsidR="003C4203" w:rsidRPr="003C4203" w:rsidRDefault="003C4203" w:rsidP="008C6B05">
      <w:pPr>
        <w:widowControl/>
        <w:suppressAutoHyphens w:val="0"/>
        <w:spacing w:after="160" w:line="259" w:lineRule="auto"/>
      </w:pPr>
    </w:p>
    <w:sectPr w:rsidR="003C4203" w:rsidRPr="003C420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4D4FA1" w14:textId="77777777" w:rsidR="002D4BA4" w:rsidRDefault="002D4BA4" w:rsidP="005D79EA">
      <w:r>
        <w:separator/>
      </w:r>
    </w:p>
  </w:endnote>
  <w:endnote w:type="continuationSeparator" w:id="0">
    <w:p w14:paraId="712B447F" w14:textId="77777777" w:rsidR="002D4BA4" w:rsidRDefault="002D4BA4" w:rsidP="005D7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8D2041" w14:textId="77777777" w:rsidR="002D4BA4" w:rsidRDefault="002D4BA4" w:rsidP="005D79EA">
      <w:r>
        <w:separator/>
      </w:r>
    </w:p>
  </w:footnote>
  <w:footnote w:type="continuationSeparator" w:id="0">
    <w:p w14:paraId="2136D9CF" w14:textId="77777777" w:rsidR="002D4BA4" w:rsidRDefault="002D4BA4" w:rsidP="005D79EA">
      <w:r>
        <w:continuationSeparator/>
      </w:r>
    </w:p>
  </w:footnote>
  <w:footnote w:id="1">
    <w:p w14:paraId="16B16552" w14:textId="54B06D1F" w:rsidR="003A4628" w:rsidRDefault="003A4628">
      <w:pPr>
        <w:pStyle w:val="FootnoteText"/>
      </w:pPr>
      <w:r>
        <w:rPr>
          <w:rStyle w:val="FootnoteReference"/>
        </w:rPr>
        <w:footnoteRef/>
      </w:r>
      <w:r>
        <w:t xml:space="preserve"> See appendix </w:t>
      </w:r>
      <w:r w:rsidR="002240D2">
        <w:t>1.</w:t>
      </w:r>
      <w:r>
        <w:t>1 on Prospect theory which goes into further detail on the subjective treatment of probabilities in utility theories.</w:t>
      </w:r>
    </w:p>
  </w:footnote>
  <w:footnote w:id="2">
    <w:p w14:paraId="10E053FA" w14:textId="22A11E68" w:rsidR="00FE142F" w:rsidRDefault="00FE142F" w:rsidP="005D79EA">
      <w:pPr>
        <w:pStyle w:val="FootnoteText"/>
      </w:pPr>
      <w:r>
        <w:rPr>
          <w:rStyle w:val="FootnoteReference"/>
        </w:rPr>
        <w:footnoteRef/>
      </w:r>
      <w:r>
        <w:t xml:space="preserve"> It is also possible that the player may simply not realise the correct value of their hand. </w:t>
      </w:r>
      <w:r w:rsidR="00877A1E">
        <w:t>Especially (but not limited to!) animal</w:t>
      </w:r>
      <w:r>
        <w:t xml:space="preserve"> work it is impossible to </w:t>
      </w:r>
      <w:r w:rsidR="00877A1E">
        <w:t xml:space="preserve">perfectly </w:t>
      </w:r>
      <w:r>
        <w:t xml:space="preserve">verify if a </w:t>
      </w:r>
      <w:r w:rsidR="00877A1E">
        <w:t>subject understands a task so the simplicity of a task and its strategies is important to take into account.</w:t>
      </w:r>
    </w:p>
  </w:footnote>
  <w:footnote w:id="3">
    <w:p w14:paraId="09026575" w14:textId="77777777" w:rsidR="00FE142F" w:rsidRDefault="00FE142F" w:rsidP="005D79EA">
      <w:pPr>
        <w:pStyle w:val="FootnoteText"/>
      </w:pPr>
      <w:r>
        <w:rPr>
          <w:rStyle w:val="FootnoteReference"/>
        </w:rPr>
        <w:footnoteRef/>
      </w:r>
      <w:r>
        <w:t xml:space="preserve"> See previous chapter on organism’s behaviour as utility maximising</w:t>
      </w:r>
    </w:p>
  </w:footnote>
  <w:footnote w:id="4">
    <w:p w14:paraId="7B7315A8" w14:textId="69905D3C" w:rsidR="00175363" w:rsidRDefault="00175363">
      <w:pPr>
        <w:pStyle w:val="FootnoteText"/>
      </w:pPr>
      <w:r>
        <w:rPr>
          <w:rStyle w:val="FootnoteReference"/>
        </w:rPr>
        <w:footnoteRef/>
      </w:r>
      <w:r>
        <w:t xml:space="preserve"> We leave out the possibility that more of a good could contain disutility</w:t>
      </w:r>
      <w:r w:rsidR="005239CB">
        <w:t xml:space="preserve"> here</w:t>
      </w:r>
      <w:r>
        <w:t xml:space="preserve">. The current year however provides many examples that run counter to rigid economic thought. See </w:t>
      </w:r>
      <w:r w:rsidR="007573C4">
        <w:fldChar w:fldCharType="begin" w:fldLock="1"/>
      </w:r>
      <w:r w:rsidR="00A32722">
        <w:instrText>ADDIN CSL_CITATION {"citationItems":[{"id":"ITEM-1","itemData":{"author":[{"dropping-particle":"","family":"Kubursi","given":"Atif","non-dropping-particle":"","parse-names":false,"suffix":""}],"container-title":"World Economic Forum, online blog","id":"ITEM-1","issued":{"date-parts":[["2020"]]},"title":"Oil crash explained: How are negative oil prices even possible?","type":"article-journal"},"uris":["http://www.mendeley.com/documents/?uuid=a9dc4593-58cd-46c6-896f-0dd5a618b936"]}],"mendeley":{"formattedCitation":"(Kubursi, 2020)","manualFormatting":"Kubursi, 2020","plainTextFormattedCitation":"(Kubursi, 2020)","previouslyFormattedCitation":"(Kubursi, 2020)"},"properties":{"noteIndex":0},"schema":"https://github.com/citation-style-language/schema/raw/master/csl-citation.json"}</w:instrText>
      </w:r>
      <w:r w:rsidR="007573C4">
        <w:fldChar w:fldCharType="separate"/>
      </w:r>
      <w:r w:rsidR="007573C4" w:rsidRPr="007573C4">
        <w:rPr>
          <w:noProof/>
        </w:rPr>
        <w:t>Kubursi, 2020</w:t>
      </w:r>
      <w:r w:rsidR="007573C4">
        <w:fldChar w:fldCharType="end"/>
      </w:r>
      <w:r w:rsidR="007573C4">
        <w:t xml:space="preserve"> for an example of negative prices for oil futures contracts.</w:t>
      </w:r>
    </w:p>
  </w:footnote>
  <w:footnote w:id="5">
    <w:p w14:paraId="3BFADF7E" w14:textId="1301C9B1" w:rsidR="00FE142F" w:rsidRPr="006302CC" w:rsidRDefault="00FE142F" w:rsidP="005D79EA">
      <w:pPr>
        <w:pStyle w:val="FootnoteText"/>
        <w:rPr>
          <w:lang w:val="en-US"/>
        </w:rPr>
      </w:pPr>
      <w:r>
        <w:rPr>
          <w:rStyle w:val="FootnoteReference"/>
        </w:rPr>
        <w:footnoteRef/>
      </w:r>
      <w:r>
        <w:t xml:space="preserve"> </w:t>
      </w:r>
      <w:r>
        <w:rPr>
          <w:lang w:val="en-US"/>
        </w:rPr>
        <w:t xml:space="preserve">This is also equivalent to tasks in which a good </w:t>
      </w:r>
      <w:r w:rsidRPr="005C3FAA">
        <w:rPr>
          <w:i/>
          <w:iCs/>
          <w:lang w:val="en-US"/>
        </w:rPr>
        <w:t>A</w:t>
      </w:r>
      <w:r>
        <w:rPr>
          <w:lang w:val="en-US"/>
        </w:rPr>
        <w:t xml:space="preserve"> and a good </w:t>
      </w:r>
      <w:r w:rsidRPr="005C3FAA">
        <w:rPr>
          <w:i/>
          <w:iCs/>
          <w:lang w:val="en-US"/>
        </w:rPr>
        <w:t>B</w:t>
      </w:r>
      <w:r>
        <w:rPr>
          <w:lang w:val="en-US"/>
        </w:rPr>
        <w:t xml:space="preserve"> are presented with probabilities x and y, which for the sake of brevity is</w:t>
      </w:r>
      <w:r w:rsidR="00322DB7">
        <w:rPr>
          <w:lang w:val="en-US"/>
        </w:rPr>
        <w:t xml:space="preserve"> also</w:t>
      </w:r>
      <w:r>
        <w:rPr>
          <w:lang w:val="en-US"/>
        </w:rPr>
        <w:t xml:space="preserve"> left out here</w:t>
      </w:r>
      <w:r w:rsidR="00322DB7">
        <w:rPr>
          <w:lang w:val="en-US"/>
        </w:rPr>
        <w:t>.</w:t>
      </w:r>
    </w:p>
  </w:footnote>
  <w:footnote w:id="6">
    <w:p w14:paraId="225CC223" w14:textId="04F04D06" w:rsidR="00FE142F" w:rsidRDefault="00FE142F" w:rsidP="005D79EA">
      <w:pPr>
        <w:pStyle w:val="FootnoteText"/>
      </w:pPr>
      <w:r>
        <w:rPr>
          <w:rStyle w:val="FootnoteReference"/>
        </w:rPr>
        <w:footnoteRef/>
      </w:r>
      <w:r>
        <w:t xml:space="preserve"> See for instance the difference between being willing to pay more for a coffee on mornings where you had less sleep, and ‘choosing’ to buy a style of coffee you don’t like because you are too tired to communicate your choice to a barista</w:t>
      </w:r>
      <w:r w:rsidR="005C2513">
        <w:t>. The idea behind stochastic choice theory is explained in greater detail in appendix 1.1.</w:t>
      </w:r>
    </w:p>
  </w:footnote>
  <w:footnote w:id="7">
    <w:p w14:paraId="5CE5CBB4" w14:textId="4C24C2B7" w:rsidR="00FE142F" w:rsidRDefault="00FE142F">
      <w:pPr>
        <w:pStyle w:val="FootnoteText"/>
      </w:pPr>
      <w:r>
        <w:rPr>
          <w:rStyle w:val="FootnoteReference"/>
        </w:rPr>
        <w:footnoteRef/>
      </w:r>
      <w:r>
        <w:t xml:space="preserve"> Throughout this chapter, and the rest of the thesis, we will carry forward the assumption that any bid made is equal to the utility of the good to the primate making that bid. Of course, as with any behavioural paradigm this isn’t strictly 100% true even if the monkey had full information about the task (see </w:t>
      </w: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2007)","plainTextFormattedCitation":"(Grether et al., 2007)","previouslyFormattedCitation":"(Grether et al., 2007)"},"properties":{"noteIndex":0},"schema":"https://github.com/citation-style-language/schema/raw/master/csl-citation.json"}</w:instrText>
      </w:r>
      <w:r>
        <w:fldChar w:fldCharType="separate"/>
      </w:r>
      <w:r w:rsidRPr="00311243">
        <w:rPr>
          <w:noProof/>
        </w:rPr>
        <w:t>Grether et al., 2007)</w:t>
      </w:r>
      <w:r>
        <w:fldChar w:fldCharType="end"/>
      </w:r>
      <w:r>
        <w:t xml:space="preserve">; a stricter definition would be that we expect the primates to bid their utility for the good, plus their utility for making the ‘correct’ bid plus some stochastic error (e.g. even well trained humans playing video games make joystick errors). </w:t>
      </w:r>
    </w:p>
  </w:footnote>
  <w:footnote w:id="8">
    <w:p w14:paraId="25C087F5" w14:textId="443130D5" w:rsidR="00FE142F" w:rsidRDefault="00FE142F">
      <w:pPr>
        <w:pStyle w:val="FootnoteText"/>
      </w:pPr>
      <w:r>
        <w:rPr>
          <w:rStyle w:val="FootnoteReference"/>
        </w:rPr>
        <w:footnoteRef/>
      </w:r>
      <w:r>
        <w:t xml:space="preserve"> Though see previous section that in experimental paradigms the subject ‘gains’ the endowed budget in a lost auction trial.</w:t>
      </w:r>
    </w:p>
  </w:footnote>
  <w:footnote w:id="9">
    <w:p w14:paraId="0ADD9FE9" w14:textId="44BF0B20" w:rsidR="00FE142F" w:rsidRDefault="00FE142F">
      <w:pPr>
        <w:pStyle w:val="FootnoteText"/>
      </w:pPr>
      <w:r>
        <w:rPr>
          <w:rStyle w:val="FootnoteReference"/>
        </w:rPr>
        <w:footnoteRef/>
      </w:r>
      <w:r>
        <w:t xml:space="preserve"> Though see </w:t>
      </w:r>
      <w:r>
        <w:fldChar w:fldCharType="begin" w:fldLock="1"/>
      </w:r>
      <w:r>
        <w:instrText>ADDIN CSL_CITATION {"citationItems":[{"id":"ITEM-1","itemData":{"DOI":"10.1111/1477-9552.12273","ISSN":"14779552","abstract":"Two of the experimental methods used to estimate willingness-to-pay (WTP) for a non-market good, the Becker-DeGroot-Marschak (BDM) mechanism and the non-hypothetical choice experiment (nHCE) often lead to significantly different WTP estimates, complicating the choice between the methods. In Zambia the same group of researchers used both techniques to evaluate WTP for orange maize, which provides more vitamin A than other varieties. This provided an opportunity to analyse the sources of the difference. In the BDM experiment, one group of respondents was provided with more training opportunities than the other, and made higher bids. Accounting for lexicographic behaviour in the nHCE reduced the estimated WTP. These two design factors together resulted in a decrease in the WTP difference for orange maize (1,279–632 ZMK) although the difference remains statistically significant. More training was also shown to eliminate the effects of different orders in which maize varieties were presented.","author":[{"dropping-particle":"","family":"Hamukwala","given":"Priscilla","non-dropping-particle":"","parse-names":false,"suffix":""},{"dropping-particle":"","family":"Oparinde","given":"Adewale","non-dropping-particle":"","parse-names":false,"suffix":""},{"dropping-particle":"","family":"Binswanger-Mkhize","given":"Hans Peter","non-dropping-particle":"","parse-names":false,"suffix":""},{"dropping-particle":"","family":"Kirsten","given":"Johann","non-dropping-particle":"","parse-names":false,"suffix":""}],"container-title":"Journal of Agricultural Economics","id":"ITEM-1","issue":"1","issued":{"date-parts":[["2019"]]},"page":"81-100","title":"Design Factors Influencing Willingness-to-Pay Estimates in the Becker-DeGroot-Marschak (BDM) Mechanism and the Non-hypothetical Choice Experiment: A Case of Biofortified Maize in Zambia","type":"article-journal","volume":"70"},"uris":["http://www.mendeley.com/documents/?uuid=de21d8a3-de05-4628-8134-6c15183ecc02"]}],"mendeley":{"formattedCitation":"(Hamukwala et al., 2019)","manualFormatting":"Hamukwala et al., 2019","plainTextFormattedCitation":"(Hamukwala et al., 2019)","previouslyFormattedCitation":"(Hamukwala et al., 2019)"},"properties":{"noteIndex":0},"schema":"https://github.com/citation-style-language/schema/raw/master/csl-citation.json"}</w:instrText>
      </w:r>
      <w:r>
        <w:fldChar w:fldCharType="separate"/>
      </w:r>
      <w:r w:rsidRPr="00986D34">
        <w:rPr>
          <w:noProof/>
        </w:rPr>
        <w:t>Hamukwala et al., 2019</w:t>
      </w:r>
      <w:r>
        <w:fldChar w:fldCharType="end"/>
      </w:r>
      <w:r>
        <w:t>, which supposes that the complexity of the BDM means that even humans require extensive practice to produce reliable bidding.</w:t>
      </w:r>
    </w:p>
  </w:footnote>
  <w:footnote w:id="10">
    <w:p w14:paraId="126FB61C" w14:textId="6E079073" w:rsidR="00FE142F" w:rsidRDefault="00FE142F">
      <w:pPr>
        <w:pStyle w:val="FootnoteText"/>
      </w:pPr>
      <w:r>
        <w:rPr>
          <w:rStyle w:val="FootnoteReference"/>
        </w:rPr>
        <w:footnoteRef/>
      </w:r>
      <w:r>
        <w:t xml:space="preserve"> Our monkeys cannot be told an induced value but should quickly learn the constant and certain value of an offered liquid good upon winning n trials</w:t>
      </w:r>
    </w:p>
  </w:footnote>
  <w:footnote w:id="11">
    <w:p w14:paraId="03F089E8" w14:textId="5BCC72A5" w:rsidR="00FE142F" w:rsidRPr="00915BE1" w:rsidRDefault="00FE142F">
      <w:pPr>
        <w:pStyle w:val="FootnoteText"/>
      </w:pPr>
      <w:r>
        <w:rPr>
          <w:rStyle w:val="FootnoteReference"/>
        </w:rPr>
        <w:footnoteRef/>
      </w:r>
      <w:r>
        <w:t xml:space="preserve"> A possibly counterintuitive idea. The expected computer bid </w:t>
      </w:r>
      <w:r>
        <w:rPr>
          <w:i/>
          <w:iCs/>
        </w:rPr>
        <w:t xml:space="preserve">before </w:t>
      </w:r>
      <w:r>
        <w:t xml:space="preserve">any bidding takes place is of course equal to half the maximum possible bid, however this is the expected computer bid </w:t>
      </w:r>
      <w:r>
        <w:rPr>
          <w:i/>
          <w:iCs/>
        </w:rPr>
        <w:t>given</w:t>
      </w:r>
      <w:r>
        <w:t xml:space="preserve"> we know the subject won the auction. See the Monty Hall problem for a similar example.</w:t>
      </w:r>
    </w:p>
  </w:footnote>
  <w:footnote w:id="12">
    <w:p w14:paraId="253EDBB1" w14:textId="7FB287EC" w:rsidR="00FE142F" w:rsidRPr="00A9357D" w:rsidRDefault="00FE142F">
      <w:pPr>
        <w:pStyle w:val="FootnoteText"/>
      </w:pPr>
      <w:r>
        <w:rPr>
          <w:rStyle w:val="FootnoteReference"/>
        </w:rPr>
        <w:footnoteRef/>
      </w:r>
      <w:r>
        <w:t xml:space="preserve"> Any good G</w:t>
      </w:r>
      <w:r>
        <w:rPr>
          <w:vertAlign w:val="subscript"/>
        </w:rPr>
        <w:t>x</w:t>
      </w:r>
      <w:r>
        <w:t xml:space="preserve"> where U(G</w:t>
      </w:r>
      <w:r>
        <w:rPr>
          <w:vertAlign w:val="subscript"/>
        </w:rPr>
        <w:t>x</w:t>
      </w:r>
      <w:r>
        <w:t xml:space="preserve">) &gt; </w:t>
      </w:r>
      <w:proofErr w:type="spellStart"/>
      <w:r>
        <w:t>B</w:t>
      </w:r>
      <w:r>
        <w:rPr>
          <w:vertAlign w:val="subscript"/>
        </w:rPr>
        <w:t>max</w:t>
      </w:r>
      <w:proofErr w:type="spellEnd"/>
      <w:r>
        <w:t xml:space="preserve"> is indistinguishable from a good </w:t>
      </w:r>
      <w:proofErr w:type="spellStart"/>
      <w:r>
        <w:t>G</w:t>
      </w:r>
      <w:r>
        <w:rPr>
          <w:vertAlign w:val="subscript"/>
        </w:rPr>
        <w:t>y</w:t>
      </w:r>
      <w:proofErr w:type="spellEnd"/>
      <w:r>
        <w:t xml:space="preserve"> where U(</w:t>
      </w:r>
      <w:proofErr w:type="spellStart"/>
      <w:r>
        <w:t>G</w:t>
      </w:r>
      <w:r>
        <w:rPr>
          <w:vertAlign w:val="subscript"/>
        </w:rPr>
        <w:t>y</w:t>
      </w:r>
      <w:proofErr w:type="spellEnd"/>
      <w:r>
        <w:t xml:space="preserve">) == </w:t>
      </w:r>
      <w:proofErr w:type="spellStart"/>
      <w:r>
        <w:t>B</w:t>
      </w:r>
      <w:r w:rsidRPr="00A9357D">
        <w:rPr>
          <w:vertAlign w:val="subscript"/>
        </w:rPr>
        <w:t>max</w:t>
      </w:r>
      <w:proofErr w:type="spellEnd"/>
      <w:r>
        <w:t xml:space="preserve"> and so the BDM paradigm is not a suitable task for such goods.</w:t>
      </w:r>
    </w:p>
  </w:footnote>
  <w:footnote w:id="13">
    <w:p w14:paraId="4B6870DA" w14:textId="2F204ABD" w:rsidR="00FE142F" w:rsidRDefault="00FE142F">
      <w:pPr>
        <w:pStyle w:val="FootnoteText"/>
      </w:pPr>
      <w:r>
        <w:rPr>
          <w:rStyle w:val="FootnoteReference"/>
        </w:rPr>
        <w:footnoteRef/>
      </w:r>
      <w:r>
        <w:t xml:space="preserve"> Though 16 bids are made in each of the ‘learning’ and ‘</w:t>
      </w:r>
      <w:proofErr w:type="spellStart"/>
      <w:r>
        <w:t>equibilibrium</w:t>
      </w:r>
      <w:proofErr w:type="spellEnd"/>
      <w:r>
        <w:t>’ phases of the experiment, these are further split into four sets of 8 bids in the authors reporting.</w:t>
      </w:r>
    </w:p>
  </w:footnote>
  <w:footnote w:id="14">
    <w:p w14:paraId="47589A3C" w14:textId="019F1739" w:rsidR="00FE142F" w:rsidRDefault="00FE142F">
      <w:pPr>
        <w:pStyle w:val="FootnoteText"/>
      </w:pPr>
      <w:r>
        <w:rPr>
          <w:rStyle w:val="FootnoteReference"/>
        </w:rPr>
        <w:footnoteRef/>
      </w:r>
      <w:r>
        <w:t xml:space="preserve"> See for instance, </w:t>
      </w:r>
      <w:r>
        <w:fldChar w:fldCharType="begin" w:fldLock="1"/>
      </w:r>
      <w:r>
        <w:instrText>ADDIN CSL_CITATION {"citationItems":[{"id":"ITEM-1","itemData":{"DOI":"10.1038/s41586-019-1924-6","ISSN":"14764687","PMID":"31942076","abstract":"Since its introduction, the reward prediction error theory of dopamine has explained a wealth of empirical phenomena, providing a unifying framework for understanding the representation of reward and value in the brain1–3. According to the now canonical theory, reward predictions are represented as a single scalar quantity, which supports learning about the expectation, or mean, of stochastic outcomes. Here we propose an account of dopamine-based reinforcement learning inspired by recent artificial intelligence research on distributional reinforcement learning4–6. We hypothesized that the brain represents possible future rewards not as a single mean, but instead as a probability distribution, effectively representing multiple future outcomes simultaneously and in parallel. This idea implies a set of empirical predictions, which we tested using single-unit recordings from mouse ventral tegmental area. Our findings provide strong evidence for a neural realization of distributional reinforcement learning.","author":[{"dropping-particle":"","family":"Dabney","given":"Will","non-dropping-particle":"","parse-names":false,"suffix":""},{"dropping-particle":"","family":"Kurth-Nelson","given":"Zeb","non-dropping-particle":"","parse-names":false,"suffix":""},{"dropping-particle":"","family":"Uchida","given":"Naoshige","non-dropping-particle":"","parse-names":false,"suffix":""},{"dropping-particle":"","family":"Starkweather","given":"Clara Kwon","non-dropping-particle":"","parse-names":false,"suffix":""},{"dropping-particle":"","family":"Hassabis","given":"Demis","non-dropping-particle":"","parse-names":false,"suffix":""},{"dropping-particle":"","family":"Munos","given":"Rémi","non-dropping-particle":"","parse-names":false,"suffix":""},{"dropping-particle":"","family":"Botvinick","given":"Matthew","non-dropping-particle":"","parse-names":false,"suffix":""}],"container-title":"Nature","id":"ITEM-1","issue":"7792","issued":{"date-parts":[["2020"]]},"page":"671-675","publisher":"Springer US","title":"A distributional code for value in dopamine-based reinforcement learning","type":"article-journal","volume":"577"},"uris":["http://www.mendeley.com/documents/?uuid=e5209a47-0af7-49ff-b5ab-f9e844a428ab"]}],"mendeley":{"formattedCitation":"(Dabney et al., 2020)","manualFormatting":"Dabney et al., 2020","plainTextFormattedCitation":"(Dabney et al., 2020)","previouslyFormattedCitation":"(Dabney et al., 2020)"},"properties":{"noteIndex":0},"schema":"https://github.com/citation-style-language/schema/raw/master/csl-citation.json"}</w:instrText>
      </w:r>
      <w:r>
        <w:fldChar w:fldCharType="separate"/>
      </w:r>
      <w:r w:rsidRPr="00EE6644">
        <w:rPr>
          <w:noProof/>
        </w:rPr>
        <w:t>Dabney et al., 2020</w:t>
      </w:r>
      <w:r>
        <w:fldChar w:fldCharType="end"/>
      </w:r>
      <w:r>
        <w:t xml:space="preserve"> on how the response activity of a single dopaminergic neuron is not simply a linear function of the magnitude of a reward. The more contexts (e.g. the greater distribution of reward magnitudes encountered) a neuron is recorded under, the greater the resolution of </w:t>
      </w:r>
      <w:proofErr w:type="spellStart"/>
      <w:r>
        <w:t>it’s</w:t>
      </w:r>
      <w:proofErr w:type="spellEnd"/>
      <w:r>
        <w:t xml:space="preserve"> scaling function. C.f. figure 4 b) of </w:t>
      </w:r>
      <w:r>
        <w:fldChar w:fldCharType="begin" w:fldLock="1"/>
      </w:r>
      <w:r>
        <w:instrText>ADDIN CSL_CITATION {"citationItems":[{"id":"ITEM-1","itemData":{"DOI":"10.1038/s41586-019-1924-6","ISSN":"14764687","PMID":"31942076","abstract":"Since its introduction, the reward prediction error theory of dopamine has explained a wealth of empirical phenomena, providing a unifying framework for understanding the representation of reward and value in the brain1–3. According to the now canonical theory, reward predictions are represented as a single scalar quantity, which supports learning about the expectation, or mean, of stochastic outcomes. Here we propose an account of dopamine-based reinforcement learning inspired by recent artificial intelligence research on distributional reinforcement learning4–6. We hypothesized that the brain represents possible future rewards not as a single mean, but instead as a probability distribution, effectively representing multiple future outcomes simultaneously and in parallel. This idea implies a set of empirical predictions, which we tested using single-unit recordings from mouse ventral tegmental area. Our findings provide strong evidence for a neural realization of distributional reinforcement learning.","author":[{"dropping-particle":"","family":"Dabney","given":"Will","non-dropping-particle":"","parse-names":false,"suffix":""},{"dropping-particle":"","family":"Kurth-Nelson","given":"Zeb","non-dropping-particle":"","parse-names":false,"suffix":""},{"dropping-particle":"","family":"Uchida","given":"Naoshige","non-dropping-particle":"","parse-names":false,"suffix":""},{"dropping-particle":"","family":"Starkweather","given":"Clara Kwon","non-dropping-particle":"","parse-names":false,"suffix":""},{"dropping-particle":"","family":"Hassabis","given":"Demis","non-dropping-particle":"","parse-names":false,"suffix":""},{"dropping-particle":"","family":"Munos","given":"Rémi","non-dropping-particle":"","parse-names":false,"suffix":""},{"dropping-particle":"","family":"Botvinick","given":"Matthew","non-dropping-particle":"","parse-names":false,"suffix":""}],"container-title":"Nature","id":"ITEM-1","issue":"7792","issued":{"date-parts":[["2020"]]},"page":"671-675","publisher":"Springer US","title":"A distributional code for value in dopamine-based reinforcement learning","type":"article-journal","volume":"577"},"uris":["http://www.mendeley.com/documents/?uuid=e5209a47-0af7-49ff-b5ab-f9e844a428ab"]}],"mendeley":{"formattedCitation":"(Dabney et al., 2020)","manualFormatting":"Dabney et al., ","plainTextFormattedCitation":"(Dabney et al., 2020)","previouslyFormattedCitation":"(Dabney et al., 2020)"},"properties":{"noteIndex":0},"schema":"https://github.com/citation-style-language/schema/raw/master/csl-citation.json"}</w:instrText>
      </w:r>
      <w:r>
        <w:fldChar w:fldCharType="separate"/>
      </w:r>
      <w:r w:rsidRPr="00A4477D">
        <w:rPr>
          <w:noProof/>
        </w:rPr>
        <w:t xml:space="preserve">Dabney et al., </w:t>
      </w:r>
      <w:r>
        <w:fldChar w:fldCharType="end"/>
      </w:r>
      <w:r>
        <w:t>where the 7 magnitudes of possible reward mean (at most) fitting a scaling function to 3 or 4 (i.e. half) encountered reward magnitudes.</w:t>
      </w:r>
    </w:p>
  </w:footnote>
  <w:footnote w:id="15">
    <w:p w14:paraId="3043AF56" w14:textId="30D66157" w:rsidR="00FE142F" w:rsidRDefault="00FE142F">
      <w:pPr>
        <w:pStyle w:val="FootnoteText"/>
      </w:pPr>
      <w:r>
        <w:rPr>
          <w:rStyle w:val="FootnoteReference"/>
        </w:rPr>
        <w:footnoteRef/>
      </w:r>
      <w:r>
        <w:t xml:space="preserve"> Mean bids were slightly, but not significantly higher in the </w:t>
      </w:r>
      <w:proofErr w:type="spellStart"/>
      <w:r>
        <w:t>sulpiride</w:t>
      </w:r>
      <w:proofErr w:type="spellEnd"/>
      <w:r>
        <w:t xml:space="preserve"> condition than in either the bromocriptine or placebo condition, raising the interesting possibility that it </w:t>
      </w:r>
      <w:r>
        <w:rPr>
          <w:i/>
          <w:iCs/>
        </w:rPr>
        <w:t>may</w:t>
      </w:r>
      <w:r>
        <w:t xml:space="preserve"> be possible for interventions to affect bidding behaviour. It is perhaps confusing why a D2 antagonist (i.e. and inhibitory effect on an inhibitory signal) might affect behaviour in this way, though the authors make the point that it may simply be because application of </w:t>
      </w:r>
      <w:proofErr w:type="spellStart"/>
      <w:r>
        <w:t>sulpiride</w:t>
      </w:r>
      <w:proofErr w:type="spellEnd"/>
      <w:r>
        <w:t xml:space="preserve"> increases the variability of bids so they regress towards the mean of the budget range.</w:t>
      </w:r>
    </w:p>
  </w:footnote>
  <w:footnote w:id="16">
    <w:p w14:paraId="70F0B02E" w14:textId="1B192F32" w:rsidR="00FE142F" w:rsidRPr="00B73A1C" w:rsidRDefault="00FE142F" w:rsidP="0027036B">
      <w:pPr>
        <w:spacing w:before="240"/>
        <w:rPr>
          <w:sz w:val="20"/>
          <w:szCs w:val="20"/>
        </w:rPr>
      </w:pPr>
      <w:r>
        <w:rPr>
          <w:rStyle w:val="FootnoteReference"/>
        </w:rPr>
        <w:footnoteRef/>
      </w:r>
      <w:r>
        <w:t xml:space="preserve"> </w:t>
      </w:r>
      <w:r w:rsidRPr="00B73A1C">
        <w:rPr>
          <w:sz w:val="20"/>
          <w:szCs w:val="20"/>
        </w:rPr>
        <w:t xml:space="preserve">The </w:t>
      </w:r>
      <w:r>
        <w:rPr>
          <w:sz w:val="20"/>
          <w:szCs w:val="20"/>
        </w:rPr>
        <w:t>main finding of this paper was the</w:t>
      </w:r>
      <w:r w:rsidRPr="00B73A1C">
        <w:rPr>
          <w:sz w:val="20"/>
          <w:szCs w:val="20"/>
        </w:rPr>
        <w:t xml:space="preserve"> effect of treatment on the BOLD signal in the intraparietal sulcus, especially during the ‘late’ stage of valuation (more than half the time from stimulus present</w:t>
      </w:r>
      <w:r w:rsidR="00566612">
        <w:rPr>
          <w:sz w:val="20"/>
          <w:szCs w:val="20"/>
        </w:rPr>
        <w:t>ation</w:t>
      </w:r>
      <w:r w:rsidRPr="00B73A1C">
        <w:rPr>
          <w:sz w:val="20"/>
          <w:szCs w:val="20"/>
        </w:rPr>
        <w:t xml:space="preserve"> to </w:t>
      </w:r>
      <w:r w:rsidR="00566612">
        <w:rPr>
          <w:sz w:val="20"/>
          <w:szCs w:val="20"/>
        </w:rPr>
        <w:t>setting one’s bid</w:t>
      </w:r>
      <w:r w:rsidRPr="00B73A1C">
        <w:rPr>
          <w:sz w:val="20"/>
          <w:szCs w:val="20"/>
        </w:rPr>
        <w:t xml:space="preserve">). Activity within this area has previously been implicated in decision making tasks with signals correlating with the gain a subject expects from a trial </w:t>
      </w:r>
      <w:r w:rsidRPr="00B73A1C">
        <w:rPr>
          <w:sz w:val="20"/>
          <w:szCs w:val="20"/>
        </w:rPr>
        <w:fldChar w:fldCharType="begin" w:fldLock="1"/>
      </w:r>
      <w:r w:rsidRPr="00B73A1C">
        <w:rPr>
          <w:sz w:val="20"/>
          <w:szCs w:val="20"/>
        </w:rPr>
        <w:instrText>ADDIN CSL_CITATION {"citationItems":[{"id":"ITEM-1","itemData":{"DOI":"10.1038/22268","ISSN":"00280836","PMID":"10421364","abstract":"Decision theory proposes that humans and animals decide what to do in a given situation by assessing the relative value of each possible response. This assessment can be computed, in part, from the probability that each action will result in a gain and the magnitude of the gain expected. Here we show that the gain (or reward) a monkey can expect to realize from an eye- movement response modulates the activity of neurons in the lateral intraparietal area, an area of primate cortex that is thought to transform visual signals into eye-movement commands. We also show that the activity of these neurons is sensitive to the probability that a particular response will result in a gain. When animals can choose freely between two alternative responses, the choices subjects make and neuronal activation in this area are both correlated with the relative amount of gain that the animal can expect from each response. Our data indicate that a decision-theoretic model may provide a powerful new framework for studying the neural processes that intervene between sensation and action.","author":[{"dropping-particle":"","family":"Platt","given":"Michael L.","non-dropping-particle":"","parse-names":false,"suffix":""},{"dropping-particle":"","family":"Glimcher","given":"Paul W.","non-dropping-particle":"","parse-names":false,"suffix":""}],"container-title":"Nature","id":"ITEM-1","issue":"6741","issued":{"date-parts":[["1999"]]},"page":"233-238","title":"Neural correlates of decision variables in parietal cortex","type":"article-journal","volume":"400"},"uris":["http://www.mendeley.com/documents/?uuid=126a6151-046b-4d2a-ab11-74932839aed0"]}],"mendeley":{"formattedCitation":"(Platt &amp; Glimcher, 1999)","plainTextFormattedCitation":"(Platt &amp; Glimcher, 1999)","previouslyFormattedCitation":"(Platt &amp; Glimcher, 1999)"},"properties":{"noteIndex":0},"schema":"https://github.com/citation-style-language/schema/raw/master/csl-citation.json"}</w:instrText>
      </w:r>
      <w:r w:rsidRPr="00B73A1C">
        <w:rPr>
          <w:sz w:val="20"/>
          <w:szCs w:val="20"/>
        </w:rPr>
        <w:fldChar w:fldCharType="separate"/>
      </w:r>
      <w:r w:rsidRPr="00B73A1C">
        <w:rPr>
          <w:noProof/>
          <w:sz w:val="20"/>
          <w:szCs w:val="20"/>
        </w:rPr>
        <w:t>(Platt &amp; Glimcher, 1999)</w:t>
      </w:r>
      <w:r w:rsidRPr="00B73A1C">
        <w:rPr>
          <w:sz w:val="20"/>
          <w:szCs w:val="20"/>
        </w:rPr>
        <w:fldChar w:fldCharType="end"/>
      </w:r>
      <w:r w:rsidRPr="00B73A1C">
        <w:rPr>
          <w:sz w:val="20"/>
          <w:szCs w:val="20"/>
        </w:rPr>
        <w:t xml:space="preserve">. </w:t>
      </w:r>
    </w:p>
    <w:p w14:paraId="5CA3D729" w14:textId="77777777" w:rsidR="00FE142F" w:rsidRDefault="00FE142F" w:rsidP="0027036B">
      <w:pPr>
        <w:pStyle w:val="FootnoteText"/>
      </w:pPr>
    </w:p>
  </w:footnote>
  <w:footnote w:id="17">
    <w:p w14:paraId="1636F462" w14:textId="35261A5A" w:rsidR="008906EC" w:rsidRDefault="008906EC">
      <w:pPr>
        <w:pStyle w:val="FootnoteText"/>
      </w:pPr>
      <w:r>
        <w:rPr>
          <w:rStyle w:val="FootnoteReference"/>
        </w:rPr>
        <w:footnoteRef/>
      </w:r>
      <w:r>
        <w:t xml:space="preserve"> See chapter 1 of this thesis on the representation of utility in the brain and its associated appendices</w:t>
      </w:r>
      <w:r w:rsidR="00AB338C">
        <w:t>.</w:t>
      </w:r>
    </w:p>
  </w:footnote>
  <w:footnote w:id="18">
    <w:p w14:paraId="5D526F16" w14:textId="07BA5EE9" w:rsidR="00382FBA" w:rsidRDefault="00382FBA">
      <w:pPr>
        <w:pStyle w:val="FootnoteText"/>
      </w:pPr>
      <w:r>
        <w:rPr>
          <w:rStyle w:val="FootnoteReference"/>
        </w:rPr>
        <w:footnoteRef/>
      </w:r>
      <w:r>
        <w:t xml:space="preserve"> In rare cases it is possible to record electrophysiological signal from the human brain. See </w:t>
      </w:r>
      <w:r>
        <w:fldChar w:fldCharType="begin" w:fldLock="1"/>
      </w:r>
      <w:r w:rsidR="007573C4">
        <w:instrText>ADDIN CSL_CITATION {"citationItems":[{"id":"ITEM-1","itemData":{"DOI":"10.1126/science.1167342","ISSN":"00368075","PMID":"19286561","abstract":"The brain's sensitivity to unexpected outcomes plays a fundamental role in an organism's ability to adapt and learn new behaviors. Emerging research suggests that midbrain dopaminergic neurons encode these unexpected outcomes. We used microelectrode recordings during deep brain stimulation surgery to study neuronal activity in the human substantia nigra (SN) while patients with Parkinson's disease engaged in a probabilistic learning task motivated by virtual financial rewards. Based on a model of the participants' expected reward, we divided trial outcomes into expected and unexpected gains and losses. SN neurons exhibited significantly higher firing rates after unexpected gains than unexpected losses. No such differences were observed after expected gains and losses. This result provides critical support for the hypothesized role of the SN in human reinforcement learning.","author":[{"dropping-particle":"","family":"Zaghloul","given":"Kareem A.","non-dropping-particle":"","parse-names":false,"suffix":""},{"dropping-particle":"","family":"Blanco","given":"Justin A.","non-dropping-particle":"","parse-names":false,"suffix":""},{"dropping-particle":"","family":"Weidemann","given":"Christoph T.","non-dropping-particle":"","parse-names":false,"suffix":""},{"dropping-particle":"","family":"McGill","given":"Kathryn","non-dropping-particle":"","parse-names":false,"suffix":""},{"dropping-particle":"","family":"Jaggi","given":"Jurg L.","non-dropping-particle":"","parse-names":false,"suffix":""},{"dropping-particle":"","family":"Baltuch","given":"Gordon H.","non-dropping-particle":"","parse-names":false,"suffix":""},{"dropping-particle":"","family":"Kahana","given":"Michael J.","non-dropping-particle":"","parse-names":false,"suffix":""}],"container-title":"Science","id":"ITEM-1","issue":"5920","issued":{"date-parts":[["2009"]]},"page":"1496-1499","title":"Human substantia nigra neurons encode unexpected financial rewards","type":"article-journal","volume":"323"},"uris":["http://www.mendeley.com/documents/?uuid=a24ac35f-d318-4400-9188-e31a037c39be"]}],"mendeley":{"formattedCitation":"(Zaghloul et al., 2009)","manualFormatting":"Zaghloul et al., 2009","plainTextFormattedCitation":"(Zaghloul et al., 2009)","previouslyFormattedCitation":"(Zaghloul et al., 2009)"},"properties":{"noteIndex":0},"schema":"https://github.com/citation-style-language/schema/raw/master/csl-citation.json"}</w:instrText>
      </w:r>
      <w:r>
        <w:fldChar w:fldCharType="separate"/>
      </w:r>
      <w:r w:rsidRPr="00382FBA">
        <w:rPr>
          <w:noProof/>
        </w:rPr>
        <w:t>Zaghloul et al., 2009</w:t>
      </w:r>
      <w:r>
        <w:fldChar w:fldCharType="end"/>
      </w:r>
      <w:r>
        <w:t xml:space="preserve"> for one such example, recording from the substantia nigra in patients undergoing deep-brain surgery for Parkinson’s disease.</w:t>
      </w:r>
    </w:p>
  </w:footnote>
  <w:footnote w:id="19">
    <w:p w14:paraId="7FEFC875" w14:textId="77777777" w:rsidR="00FE142F" w:rsidRPr="00CF5F92" w:rsidRDefault="00FE142F" w:rsidP="00CD411B">
      <w:pPr>
        <w:pStyle w:val="FootnoteText"/>
      </w:pPr>
      <w:r>
        <w:rPr>
          <w:rStyle w:val="FootnoteReference"/>
        </w:rPr>
        <w:footnoteRef/>
      </w:r>
      <w:r>
        <w:t xml:space="preserve"> This of course makes no difference to the proof, but is how the proof is formulated by Milgrom and Weber. In the BDM as discussed in the body of this thesis we assume there to be some utility just from receiving the endowment gifted to the participant at the start of each trial, but this utility should be ‘baked in’ to the participants expected payoff and so does not change the results, or implications, of the derivation here. It is actually </w:t>
      </w:r>
      <w:r>
        <w:rPr>
          <w:i/>
          <w:iCs/>
        </w:rPr>
        <w:t>probably</w:t>
      </w:r>
      <w:r>
        <w:t xml:space="preserve"> untrue that the utility even of human’s buying and selling mineral rights (the example in Milgrom and Weber, 1982) is zero (see below).</w:t>
      </w:r>
    </w:p>
  </w:footnote>
  <w:footnote w:id="20">
    <w:p w14:paraId="2CEA3DD2" w14:textId="77777777" w:rsidR="00FE142F" w:rsidRDefault="00FE142F" w:rsidP="00CD411B">
      <w:pPr>
        <w:pStyle w:val="FootnoteText"/>
      </w:pPr>
      <w:r>
        <w:rPr>
          <w:rStyle w:val="FootnoteReference"/>
        </w:rPr>
        <w:footnoteRef/>
      </w:r>
      <w:r>
        <w:t xml:space="preserve"> This assumption is economically sound, but probably psychologically tenuous. Consider a child on Christmas Day who has spent the last six months expecting a specific gift and instead receives nothing.</w:t>
      </w:r>
    </w:p>
  </w:footnote>
  <w:footnote w:id="21">
    <w:p w14:paraId="31526AF2" w14:textId="77777777" w:rsidR="00FE142F" w:rsidRPr="00144AD7" w:rsidRDefault="00FE142F" w:rsidP="00CD411B">
      <w:pPr>
        <w:pStyle w:val="FootnoteText"/>
      </w:pPr>
      <w:r>
        <w:rPr>
          <w:rStyle w:val="FootnoteReference"/>
        </w:rPr>
        <w:footnoteRef/>
      </w:r>
      <w:r>
        <w:t xml:space="preserve"> Figure 6b) does in fact have a local minima at roughly the mid-point of the x-axis which contradicts this. A more stringent proof would state that this maxima is only a </w:t>
      </w:r>
      <w:r>
        <w:rPr>
          <w:i/>
          <w:iCs/>
        </w:rPr>
        <w:t>local</w:t>
      </w:r>
      <w:r>
        <w:t xml:space="preserve"> maxima. For complicated utility functions that might arise (e.g.) as the BDM task is extended and extra round of bidding/payments/chance are incorporated this could become important. For the simple BDM paradigm in this thesis and in the lifelike auctions of Milgrom and Weber we assume a ‘simple’ utility curve with only one maxima as presented in figure 6a) and figure 3.</w:t>
      </w:r>
    </w:p>
  </w:footnote>
  <w:footnote w:id="22">
    <w:p w14:paraId="2E9CDE10" w14:textId="77777777" w:rsidR="00FE142F" w:rsidRDefault="00FE142F" w:rsidP="002350E8">
      <w:pPr>
        <w:pStyle w:val="FootnoteText"/>
      </w:pPr>
      <w:r>
        <w:rPr>
          <w:rStyle w:val="FootnoteReference"/>
        </w:rPr>
        <w:footnoteRef/>
      </w:r>
      <w:r>
        <w:t xml:space="preserve"> In the event of a loss the payoff is the same regardless of whether a participant paid attention- they receive the full endowment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6E2597"/>
    <w:multiLevelType w:val="hybridMultilevel"/>
    <w:tmpl w:val="A1B88F64"/>
    <w:lvl w:ilvl="0" w:tplc="2A043550">
      <w:start w:val="9"/>
      <w:numFmt w:val="bullet"/>
      <w:lvlText w:val="-"/>
      <w:lvlJc w:val="left"/>
      <w:pPr>
        <w:ind w:left="720" w:hanging="360"/>
      </w:pPr>
      <w:rPr>
        <w:rFonts w:ascii="Times New Roman" w:eastAsia="SimSun" w:hAnsi="Times New Roman" w:cs="Times New Roman" w:hint="default"/>
        <w:b w:val="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882A0B"/>
    <w:multiLevelType w:val="hybridMultilevel"/>
    <w:tmpl w:val="F0767E9A"/>
    <w:lvl w:ilvl="0" w:tplc="B6DEF85E">
      <w:start w:val="9"/>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967C27"/>
    <w:multiLevelType w:val="hybridMultilevel"/>
    <w:tmpl w:val="1CF08FC4"/>
    <w:lvl w:ilvl="0" w:tplc="E326D5BC">
      <w:start w:val="9"/>
      <w:numFmt w:val="bullet"/>
      <w:lvlText w:val="-"/>
      <w:lvlJc w:val="left"/>
      <w:pPr>
        <w:ind w:left="502" w:hanging="360"/>
      </w:pPr>
      <w:rPr>
        <w:rFonts w:ascii="Times New Roman" w:eastAsia="SimSun" w:hAnsi="Times New Roman" w:cs="Times New Roman"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 w15:restartNumberingAfterBreak="0">
    <w:nsid w:val="23DF4BBF"/>
    <w:multiLevelType w:val="hybridMultilevel"/>
    <w:tmpl w:val="ECE6DD04"/>
    <w:lvl w:ilvl="0" w:tplc="14F8EF4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2C1F6E58"/>
    <w:multiLevelType w:val="hybridMultilevel"/>
    <w:tmpl w:val="5536755C"/>
    <w:lvl w:ilvl="0" w:tplc="E04EA6B8">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105532"/>
    <w:multiLevelType w:val="hybridMultilevel"/>
    <w:tmpl w:val="AD9474AA"/>
    <w:lvl w:ilvl="0" w:tplc="4B383C4C">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6108D9"/>
    <w:multiLevelType w:val="hybridMultilevel"/>
    <w:tmpl w:val="320686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0F59A5"/>
    <w:multiLevelType w:val="hybridMultilevel"/>
    <w:tmpl w:val="2350F80C"/>
    <w:lvl w:ilvl="0" w:tplc="802C78E4">
      <w:start w:val="1"/>
      <w:numFmt w:val="bullet"/>
      <w:lvlText w:val=""/>
      <w:lvlJc w:val="left"/>
      <w:pPr>
        <w:ind w:left="420" w:hanging="360"/>
      </w:pPr>
      <w:rPr>
        <w:rFonts w:ascii="Wingdings" w:eastAsia="SimSun" w:hAnsi="Wingdings" w:cs="Lucida Sans"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8" w15:restartNumberingAfterBreak="0">
    <w:nsid w:val="50E656A0"/>
    <w:multiLevelType w:val="hybridMultilevel"/>
    <w:tmpl w:val="20FA68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30383D"/>
    <w:multiLevelType w:val="hybridMultilevel"/>
    <w:tmpl w:val="85EACB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3E5106"/>
    <w:multiLevelType w:val="hybridMultilevel"/>
    <w:tmpl w:val="416C61A6"/>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2882655"/>
    <w:multiLevelType w:val="hybridMultilevel"/>
    <w:tmpl w:val="8AC8C682"/>
    <w:lvl w:ilvl="0" w:tplc="16867882">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32942AF"/>
    <w:multiLevelType w:val="hybridMultilevel"/>
    <w:tmpl w:val="1DA6EA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9"/>
  </w:num>
  <w:num w:numId="3">
    <w:abstractNumId w:val="8"/>
  </w:num>
  <w:num w:numId="4">
    <w:abstractNumId w:val="12"/>
  </w:num>
  <w:num w:numId="5">
    <w:abstractNumId w:val="11"/>
  </w:num>
  <w:num w:numId="6">
    <w:abstractNumId w:val="6"/>
  </w:num>
  <w:num w:numId="7">
    <w:abstractNumId w:val="4"/>
  </w:num>
  <w:num w:numId="8">
    <w:abstractNumId w:val="5"/>
  </w:num>
  <w:num w:numId="9">
    <w:abstractNumId w:val="7"/>
  </w:num>
  <w:num w:numId="10">
    <w:abstractNumId w:val="2"/>
  </w:num>
  <w:num w:numId="11">
    <w:abstractNumId w:val="0"/>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EA"/>
    <w:rsid w:val="00007F99"/>
    <w:rsid w:val="00010E4D"/>
    <w:rsid w:val="00013E39"/>
    <w:rsid w:val="00016C22"/>
    <w:rsid w:val="0002035A"/>
    <w:rsid w:val="00030281"/>
    <w:rsid w:val="000342A0"/>
    <w:rsid w:val="00045F70"/>
    <w:rsid w:val="00047269"/>
    <w:rsid w:val="00057466"/>
    <w:rsid w:val="0006242F"/>
    <w:rsid w:val="00063734"/>
    <w:rsid w:val="00070024"/>
    <w:rsid w:val="00076EF5"/>
    <w:rsid w:val="00081614"/>
    <w:rsid w:val="00083CCE"/>
    <w:rsid w:val="0008597B"/>
    <w:rsid w:val="00091CCE"/>
    <w:rsid w:val="000935C7"/>
    <w:rsid w:val="00093E29"/>
    <w:rsid w:val="000A4AF6"/>
    <w:rsid w:val="000A78A6"/>
    <w:rsid w:val="000A7C29"/>
    <w:rsid w:val="000B1212"/>
    <w:rsid w:val="000B5005"/>
    <w:rsid w:val="000C126D"/>
    <w:rsid w:val="000C6100"/>
    <w:rsid w:val="000C7B58"/>
    <w:rsid w:val="000D05CB"/>
    <w:rsid w:val="000D2E0F"/>
    <w:rsid w:val="000D42F7"/>
    <w:rsid w:val="000D71EC"/>
    <w:rsid w:val="000D7B4B"/>
    <w:rsid w:val="000E0724"/>
    <w:rsid w:val="000E0E72"/>
    <w:rsid w:val="000E0EEE"/>
    <w:rsid w:val="000F4602"/>
    <w:rsid w:val="000F5390"/>
    <w:rsid w:val="000F7B29"/>
    <w:rsid w:val="000F7E14"/>
    <w:rsid w:val="00110D67"/>
    <w:rsid w:val="00112F5A"/>
    <w:rsid w:val="0013145A"/>
    <w:rsid w:val="001322F8"/>
    <w:rsid w:val="0013353B"/>
    <w:rsid w:val="001355E3"/>
    <w:rsid w:val="001445B1"/>
    <w:rsid w:val="001447FC"/>
    <w:rsid w:val="00144C8F"/>
    <w:rsid w:val="00145F6F"/>
    <w:rsid w:val="001520EE"/>
    <w:rsid w:val="00156CE8"/>
    <w:rsid w:val="0017319F"/>
    <w:rsid w:val="00175363"/>
    <w:rsid w:val="0017790F"/>
    <w:rsid w:val="00180B1A"/>
    <w:rsid w:val="00183839"/>
    <w:rsid w:val="001931E1"/>
    <w:rsid w:val="00194EE1"/>
    <w:rsid w:val="00197C1A"/>
    <w:rsid w:val="001A2549"/>
    <w:rsid w:val="001A2B83"/>
    <w:rsid w:val="001B0153"/>
    <w:rsid w:val="001B05E6"/>
    <w:rsid w:val="001B1116"/>
    <w:rsid w:val="001B1A1C"/>
    <w:rsid w:val="001B78AC"/>
    <w:rsid w:val="001C2F07"/>
    <w:rsid w:val="001C31F7"/>
    <w:rsid w:val="001D1265"/>
    <w:rsid w:val="001D7B50"/>
    <w:rsid w:val="001E3F21"/>
    <w:rsid w:val="001E4CF1"/>
    <w:rsid w:val="001E5DDE"/>
    <w:rsid w:val="001E713E"/>
    <w:rsid w:val="001F3BE5"/>
    <w:rsid w:val="002011DF"/>
    <w:rsid w:val="002028B0"/>
    <w:rsid w:val="00204D40"/>
    <w:rsid w:val="00210C79"/>
    <w:rsid w:val="00213CA2"/>
    <w:rsid w:val="002240D2"/>
    <w:rsid w:val="002316F0"/>
    <w:rsid w:val="00233328"/>
    <w:rsid w:val="0023424D"/>
    <w:rsid w:val="002350E8"/>
    <w:rsid w:val="0024375F"/>
    <w:rsid w:val="00245AE4"/>
    <w:rsid w:val="00262F9F"/>
    <w:rsid w:val="0027036B"/>
    <w:rsid w:val="00270E94"/>
    <w:rsid w:val="0027705F"/>
    <w:rsid w:val="002875C7"/>
    <w:rsid w:val="00294CD7"/>
    <w:rsid w:val="00296195"/>
    <w:rsid w:val="002B2E88"/>
    <w:rsid w:val="002B359A"/>
    <w:rsid w:val="002B3728"/>
    <w:rsid w:val="002D1186"/>
    <w:rsid w:val="002D2540"/>
    <w:rsid w:val="002D4B4E"/>
    <w:rsid w:val="002D4BA4"/>
    <w:rsid w:val="002E32EF"/>
    <w:rsid w:val="0030326E"/>
    <w:rsid w:val="00303B81"/>
    <w:rsid w:val="00305037"/>
    <w:rsid w:val="00310FD6"/>
    <w:rsid w:val="00311243"/>
    <w:rsid w:val="00314CA8"/>
    <w:rsid w:val="00322410"/>
    <w:rsid w:val="00322DB7"/>
    <w:rsid w:val="00330E57"/>
    <w:rsid w:val="00330ECE"/>
    <w:rsid w:val="0033602A"/>
    <w:rsid w:val="00351454"/>
    <w:rsid w:val="00353883"/>
    <w:rsid w:val="00353CF5"/>
    <w:rsid w:val="0035469A"/>
    <w:rsid w:val="003566E2"/>
    <w:rsid w:val="003575C6"/>
    <w:rsid w:val="00362783"/>
    <w:rsid w:val="00373A32"/>
    <w:rsid w:val="0037487D"/>
    <w:rsid w:val="00380188"/>
    <w:rsid w:val="00382FBA"/>
    <w:rsid w:val="00383822"/>
    <w:rsid w:val="003904CA"/>
    <w:rsid w:val="003A154A"/>
    <w:rsid w:val="003A3848"/>
    <w:rsid w:val="003A4628"/>
    <w:rsid w:val="003A634C"/>
    <w:rsid w:val="003B044D"/>
    <w:rsid w:val="003B64F9"/>
    <w:rsid w:val="003B6794"/>
    <w:rsid w:val="003C1911"/>
    <w:rsid w:val="003C4203"/>
    <w:rsid w:val="003D7422"/>
    <w:rsid w:val="003E5CB9"/>
    <w:rsid w:val="003E6151"/>
    <w:rsid w:val="003F1C8C"/>
    <w:rsid w:val="00400FB2"/>
    <w:rsid w:val="00404998"/>
    <w:rsid w:val="00405FA1"/>
    <w:rsid w:val="004157BA"/>
    <w:rsid w:val="0042374D"/>
    <w:rsid w:val="004331F6"/>
    <w:rsid w:val="0043323B"/>
    <w:rsid w:val="004343FA"/>
    <w:rsid w:val="0043729C"/>
    <w:rsid w:val="00440DA4"/>
    <w:rsid w:val="00441722"/>
    <w:rsid w:val="004465EB"/>
    <w:rsid w:val="0044678F"/>
    <w:rsid w:val="004564DF"/>
    <w:rsid w:val="0046265E"/>
    <w:rsid w:val="00463DAE"/>
    <w:rsid w:val="0047095A"/>
    <w:rsid w:val="0047557E"/>
    <w:rsid w:val="00483F1B"/>
    <w:rsid w:val="00495D27"/>
    <w:rsid w:val="004B024C"/>
    <w:rsid w:val="004B11B9"/>
    <w:rsid w:val="004B3946"/>
    <w:rsid w:val="004B39E1"/>
    <w:rsid w:val="004B63EF"/>
    <w:rsid w:val="004B726B"/>
    <w:rsid w:val="004C75CF"/>
    <w:rsid w:val="004D6CD0"/>
    <w:rsid w:val="004E58C7"/>
    <w:rsid w:val="00500DA2"/>
    <w:rsid w:val="00501AAC"/>
    <w:rsid w:val="00505F92"/>
    <w:rsid w:val="0050731A"/>
    <w:rsid w:val="005102D7"/>
    <w:rsid w:val="00512D95"/>
    <w:rsid w:val="005179E3"/>
    <w:rsid w:val="00517EF8"/>
    <w:rsid w:val="00523739"/>
    <w:rsid w:val="005239CB"/>
    <w:rsid w:val="00530218"/>
    <w:rsid w:val="00530A03"/>
    <w:rsid w:val="00553B21"/>
    <w:rsid w:val="0055677D"/>
    <w:rsid w:val="00556AFC"/>
    <w:rsid w:val="00566612"/>
    <w:rsid w:val="005725D6"/>
    <w:rsid w:val="0057484E"/>
    <w:rsid w:val="0058378D"/>
    <w:rsid w:val="0058433B"/>
    <w:rsid w:val="00586BE3"/>
    <w:rsid w:val="005A48D8"/>
    <w:rsid w:val="005A4D19"/>
    <w:rsid w:val="005C1A9F"/>
    <w:rsid w:val="005C2513"/>
    <w:rsid w:val="005C3768"/>
    <w:rsid w:val="005C3FAA"/>
    <w:rsid w:val="005C4688"/>
    <w:rsid w:val="005C6ABF"/>
    <w:rsid w:val="005D1125"/>
    <w:rsid w:val="005D206D"/>
    <w:rsid w:val="005D2237"/>
    <w:rsid w:val="005D79EA"/>
    <w:rsid w:val="005E5894"/>
    <w:rsid w:val="0061762E"/>
    <w:rsid w:val="00622E7E"/>
    <w:rsid w:val="0062530C"/>
    <w:rsid w:val="006262F4"/>
    <w:rsid w:val="006339AE"/>
    <w:rsid w:val="00634D66"/>
    <w:rsid w:val="00636A62"/>
    <w:rsid w:val="00637171"/>
    <w:rsid w:val="00642960"/>
    <w:rsid w:val="00644004"/>
    <w:rsid w:val="00645B74"/>
    <w:rsid w:val="00655706"/>
    <w:rsid w:val="0065636A"/>
    <w:rsid w:val="006723DF"/>
    <w:rsid w:val="006853AB"/>
    <w:rsid w:val="00685D3A"/>
    <w:rsid w:val="00691B1C"/>
    <w:rsid w:val="00693446"/>
    <w:rsid w:val="006A1B06"/>
    <w:rsid w:val="006A4EBE"/>
    <w:rsid w:val="006B1E49"/>
    <w:rsid w:val="006B2BC7"/>
    <w:rsid w:val="006B4AC2"/>
    <w:rsid w:val="006B4FAA"/>
    <w:rsid w:val="006C1F6C"/>
    <w:rsid w:val="006D0E54"/>
    <w:rsid w:val="006D2CCD"/>
    <w:rsid w:val="006E4143"/>
    <w:rsid w:val="006E57AA"/>
    <w:rsid w:val="006F1BBC"/>
    <w:rsid w:val="00705B4D"/>
    <w:rsid w:val="00710FA5"/>
    <w:rsid w:val="007203C1"/>
    <w:rsid w:val="0072062E"/>
    <w:rsid w:val="00720E22"/>
    <w:rsid w:val="00727578"/>
    <w:rsid w:val="00735B67"/>
    <w:rsid w:val="007414D2"/>
    <w:rsid w:val="0074204C"/>
    <w:rsid w:val="00743AE5"/>
    <w:rsid w:val="00751413"/>
    <w:rsid w:val="007573C4"/>
    <w:rsid w:val="00764A51"/>
    <w:rsid w:val="00770951"/>
    <w:rsid w:val="00774DE9"/>
    <w:rsid w:val="00775998"/>
    <w:rsid w:val="00776C11"/>
    <w:rsid w:val="00781E79"/>
    <w:rsid w:val="007A1F33"/>
    <w:rsid w:val="007B2983"/>
    <w:rsid w:val="007B6DFF"/>
    <w:rsid w:val="007C712B"/>
    <w:rsid w:val="007C7A1A"/>
    <w:rsid w:val="007D49BA"/>
    <w:rsid w:val="007E22FB"/>
    <w:rsid w:val="007F0CDD"/>
    <w:rsid w:val="007F7201"/>
    <w:rsid w:val="0080225D"/>
    <w:rsid w:val="008036FB"/>
    <w:rsid w:val="00810DBE"/>
    <w:rsid w:val="00816FA1"/>
    <w:rsid w:val="00817C43"/>
    <w:rsid w:val="00821DD9"/>
    <w:rsid w:val="00827364"/>
    <w:rsid w:val="00835237"/>
    <w:rsid w:val="0084304F"/>
    <w:rsid w:val="008522FB"/>
    <w:rsid w:val="00854BCA"/>
    <w:rsid w:val="008578B1"/>
    <w:rsid w:val="00865EC5"/>
    <w:rsid w:val="008664CC"/>
    <w:rsid w:val="00873B64"/>
    <w:rsid w:val="00877A1E"/>
    <w:rsid w:val="0088143F"/>
    <w:rsid w:val="008906EC"/>
    <w:rsid w:val="00891AC0"/>
    <w:rsid w:val="00893178"/>
    <w:rsid w:val="008A5A10"/>
    <w:rsid w:val="008B3E1C"/>
    <w:rsid w:val="008B4DDF"/>
    <w:rsid w:val="008C3CA7"/>
    <w:rsid w:val="008C6B05"/>
    <w:rsid w:val="008C7C09"/>
    <w:rsid w:val="008D3091"/>
    <w:rsid w:val="008D42A5"/>
    <w:rsid w:val="008D4C4A"/>
    <w:rsid w:val="008D6C9B"/>
    <w:rsid w:val="008E4BF1"/>
    <w:rsid w:val="008E739C"/>
    <w:rsid w:val="008F6145"/>
    <w:rsid w:val="008F78D2"/>
    <w:rsid w:val="0090121F"/>
    <w:rsid w:val="00903BFD"/>
    <w:rsid w:val="009151B7"/>
    <w:rsid w:val="00915BE1"/>
    <w:rsid w:val="00915EBE"/>
    <w:rsid w:val="00920E5F"/>
    <w:rsid w:val="009252D4"/>
    <w:rsid w:val="00925BE6"/>
    <w:rsid w:val="0093108A"/>
    <w:rsid w:val="00931644"/>
    <w:rsid w:val="00936035"/>
    <w:rsid w:val="0093620A"/>
    <w:rsid w:val="009375DE"/>
    <w:rsid w:val="00963719"/>
    <w:rsid w:val="0097677C"/>
    <w:rsid w:val="00980C57"/>
    <w:rsid w:val="00980E33"/>
    <w:rsid w:val="00983E9D"/>
    <w:rsid w:val="00986D34"/>
    <w:rsid w:val="00991231"/>
    <w:rsid w:val="009916C0"/>
    <w:rsid w:val="009A7EF7"/>
    <w:rsid w:val="009B278B"/>
    <w:rsid w:val="009B2DD4"/>
    <w:rsid w:val="009C0498"/>
    <w:rsid w:val="009C2A08"/>
    <w:rsid w:val="009C3B27"/>
    <w:rsid w:val="009C7812"/>
    <w:rsid w:val="009D2F41"/>
    <w:rsid w:val="009D439F"/>
    <w:rsid w:val="009D4A68"/>
    <w:rsid w:val="009F0546"/>
    <w:rsid w:val="009F18B6"/>
    <w:rsid w:val="00A02CB3"/>
    <w:rsid w:val="00A05F6B"/>
    <w:rsid w:val="00A177F4"/>
    <w:rsid w:val="00A309EE"/>
    <w:rsid w:val="00A325E6"/>
    <w:rsid w:val="00A32722"/>
    <w:rsid w:val="00A368E5"/>
    <w:rsid w:val="00A41307"/>
    <w:rsid w:val="00A4477D"/>
    <w:rsid w:val="00A47629"/>
    <w:rsid w:val="00A512B7"/>
    <w:rsid w:val="00A520B8"/>
    <w:rsid w:val="00A62589"/>
    <w:rsid w:val="00A71B96"/>
    <w:rsid w:val="00A77D0C"/>
    <w:rsid w:val="00A84C92"/>
    <w:rsid w:val="00A90410"/>
    <w:rsid w:val="00A9301D"/>
    <w:rsid w:val="00A93250"/>
    <w:rsid w:val="00A9357D"/>
    <w:rsid w:val="00AB338C"/>
    <w:rsid w:val="00AB49F5"/>
    <w:rsid w:val="00AB615C"/>
    <w:rsid w:val="00AC3F41"/>
    <w:rsid w:val="00AE25FF"/>
    <w:rsid w:val="00AE3497"/>
    <w:rsid w:val="00AE7BEF"/>
    <w:rsid w:val="00B00961"/>
    <w:rsid w:val="00B075E0"/>
    <w:rsid w:val="00B10394"/>
    <w:rsid w:val="00B24B6F"/>
    <w:rsid w:val="00B3153F"/>
    <w:rsid w:val="00B3463A"/>
    <w:rsid w:val="00B36487"/>
    <w:rsid w:val="00B375EB"/>
    <w:rsid w:val="00B4268C"/>
    <w:rsid w:val="00B44896"/>
    <w:rsid w:val="00B51F29"/>
    <w:rsid w:val="00B53F46"/>
    <w:rsid w:val="00B73A1C"/>
    <w:rsid w:val="00B745DF"/>
    <w:rsid w:val="00B749A3"/>
    <w:rsid w:val="00B74DDF"/>
    <w:rsid w:val="00B759F2"/>
    <w:rsid w:val="00B93892"/>
    <w:rsid w:val="00BA2025"/>
    <w:rsid w:val="00BA2C62"/>
    <w:rsid w:val="00BA6078"/>
    <w:rsid w:val="00BB2286"/>
    <w:rsid w:val="00BB2B90"/>
    <w:rsid w:val="00BC07F1"/>
    <w:rsid w:val="00BC58E7"/>
    <w:rsid w:val="00BC6D8E"/>
    <w:rsid w:val="00BD40D6"/>
    <w:rsid w:val="00BD59E2"/>
    <w:rsid w:val="00BE233A"/>
    <w:rsid w:val="00BE4911"/>
    <w:rsid w:val="00BE7FF8"/>
    <w:rsid w:val="00BF2AB1"/>
    <w:rsid w:val="00BF3245"/>
    <w:rsid w:val="00C00D73"/>
    <w:rsid w:val="00C02F2D"/>
    <w:rsid w:val="00C03145"/>
    <w:rsid w:val="00C13386"/>
    <w:rsid w:val="00C203E8"/>
    <w:rsid w:val="00C22F36"/>
    <w:rsid w:val="00C2504C"/>
    <w:rsid w:val="00C260B4"/>
    <w:rsid w:val="00C4317F"/>
    <w:rsid w:val="00C618B9"/>
    <w:rsid w:val="00C641A0"/>
    <w:rsid w:val="00C667A7"/>
    <w:rsid w:val="00C717D1"/>
    <w:rsid w:val="00C74296"/>
    <w:rsid w:val="00C74ABF"/>
    <w:rsid w:val="00C76049"/>
    <w:rsid w:val="00C77C5F"/>
    <w:rsid w:val="00C80D72"/>
    <w:rsid w:val="00C812F2"/>
    <w:rsid w:val="00C848BB"/>
    <w:rsid w:val="00C87EB1"/>
    <w:rsid w:val="00C90344"/>
    <w:rsid w:val="00C913F1"/>
    <w:rsid w:val="00C921DF"/>
    <w:rsid w:val="00C96EA9"/>
    <w:rsid w:val="00CA2CD7"/>
    <w:rsid w:val="00CA4C67"/>
    <w:rsid w:val="00CB0F88"/>
    <w:rsid w:val="00CB205C"/>
    <w:rsid w:val="00CB24A9"/>
    <w:rsid w:val="00CB57BA"/>
    <w:rsid w:val="00CB715A"/>
    <w:rsid w:val="00CC6965"/>
    <w:rsid w:val="00CD19CC"/>
    <w:rsid w:val="00CD411B"/>
    <w:rsid w:val="00CE26D1"/>
    <w:rsid w:val="00CE2A43"/>
    <w:rsid w:val="00CE7E47"/>
    <w:rsid w:val="00CF7B70"/>
    <w:rsid w:val="00D02EA7"/>
    <w:rsid w:val="00D0416A"/>
    <w:rsid w:val="00D04E51"/>
    <w:rsid w:val="00D07102"/>
    <w:rsid w:val="00D075A6"/>
    <w:rsid w:val="00D145AB"/>
    <w:rsid w:val="00D24392"/>
    <w:rsid w:val="00D373CD"/>
    <w:rsid w:val="00D42A2B"/>
    <w:rsid w:val="00D827CB"/>
    <w:rsid w:val="00D87E59"/>
    <w:rsid w:val="00D9122A"/>
    <w:rsid w:val="00D94AD0"/>
    <w:rsid w:val="00DA114B"/>
    <w:rsid w:val="00DA3239"/>
    <w:rsid w:val="00DA3F0C"/>
    <w:rsid w:val="00DB04D7"/>
    <w:rsid w:val="00DB18DA"/>
    <w:rsid w:val="00DC086E"/>
    <w:rsid w:val="00DC339C"/>
    <w:rsid w:val="00DD131E"/>
    <w:rsid w:val="00DD172F"/>
    <w:rsid w:val="00DD64A9"/>
    <w:rsid w:val="00DE4B97"/>
    <w:rsid w:val="00DE509D"/>
    <w:rsid w:val="00DE573B"/>
    <w:rsid w:val="00DE7078"/>
    <w:rsid w:val="00DF7708"/>
    <w:rsid w:val="00E00F64"/>
    <w:rsid w:val="00E11DAF"/>
    <w:rsid w:val="00E177BC"/>
    <w:rsid w:val="00E204F9"/>
    <w:rsid w:val="00E40985"/>
    <w:rsid w:val="00E4330C"/>
    <w:rsid w:val="00E542CD"/>
    <w:rsid w:val="00E71498"/>
    <w:rsid w:val="00E74129"/>
    <w:rsid w:val="00E77EEB"/>
    <w:rsid w:val="00E87DF4"/>
    <w:rsid w:val="00E921BE"/>
    <w:rsid w:val="00E93067"/>
    <w:rsid w:val="00EA090B"/>
    <w:rsid w:val="00EA7F7C"/>
    <w:rsid w:val="00EB2909"/>
    <w:rsid w:val="00EB365B"/>
    <w:rsid w:val="00EB5EFF"/>
    <w:rsid w:val="00EB5F87"/>
    <w:rsid w:val="00EC4733"/>
    <w:rsid w:val="00ED6A45"/>
    <w:rsid w:val="00EE6644"/>
    <w:rsid w:val="00EF60B5"/>
    <w:rsid w:val="00F02BCB"/>
    <w:rsid w:val="00F038EC"/>
    <w:rsid w:val="00F17942"/>
    <w:rsid w:val="00F20BD8"/>
    <w:rsid w:val="00F23CC6"/>
    <w:rsid w:val="00F23F85"/>
    <w:rsid w:val="00F3219E"/>
    <w:rsid w:val="00F44F48"/>
    <w:rsid w:val="00F515A4"/>
    <w:rsid w:val="00F56616"/>
    <w:rsid w:val="00F56922"/>
    <w:rsid w:val="00F67948"/>
    <w:rsid w:val="00F73AD1"/>
    <w:rsid w:val="00F8036E"/>
    <w:rsid w:val="00F82761"/>
    <w:rsid w:val="00F835AC"/>
    <w:rsid w:val="00F85252"/>
    <w:rsid w:val="00F85C1A"/>
    <w:rsid w:val="00FB2B40"/>
    <w:rsid w:val="00FB497C"/>
    <w:rsid w:val="00FB7AAD"/>
    <w:rsid w:val="00FC0890"/>
    <w:rsid w:val="00FC1EC9"/>
    <w:rsid w:val="00FC3204"/>
    <w:rsid w:val="00FC7586"/>
    <w:rsid w:val="00FD15EC"/>
    <w:rsid w:val="00FD1B7D"/>
    <w:rsid w:val="00FD67C0"/>
    <w:rsid w:val="00FD7FA5"/>
    <w:rsid w:val="00FE142F"/>
    <w:rsid w:val="00FF1DB6"/>
    <w:rsid w:val="00FF63D0"/>
    <w:rsid w:val="00FF6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BEEDF"/>
  <w15:chartTrackingRefBased/>
  <w15:docId w15:val="{94427BED-3BEA-489A-A021-E9FBD2AC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9EA"/>
    <w:pPr>
      <w:widowControl w:val="0"/>
      <w:suppressAutoHyphens/>
      <w:spacing w:after="0" w:line="240" w:lineRule="auto"/>
    </w:pPr>
    <w:rPr>
      <w:rFonts w:ascii="Times New Roman" w:eastAsia="SimSun" w:hAnsi="Times New Roman" w:cs="Lucida Sans"/>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D79EA"/>
    <w:rPr>
      <w:rFonts w:cs="Mangal"/>
      <w:sz w:val="20"/>
      <w:szCs w:val="18"/>
    </w:rPr>
  </w:style>
  <w:style w:type="character" w:customStyle="1" w:styleId="FootnoteTextChar">
    <w:name w:val="Footnote Text Char"/>
    <w:basedOn w:val="DefaultParagraphFont"/>
    <w:link w:val="FootnoteText"/>
    <w:uiPriority w:val="99"/>
    <w:semiHidden/>
    <w:rsid w:val="005D79EA"/>
    <w:rPr>
      <w:rFonts w:ascii="Times New Roman" w:eastAsia="SimSun" w:hAnsi="Times New Roman" w:cs="Mangal"/>
      <w:kern w:val="1"/>
      <w:sz w:val="20"/>
      <w:szCs w:val="18"/>
      <w:lang w:eastAsia="hi-IN" w:bidi="hi-IN"/>
    </w:rPr>
  </w:style>
  <w:style w:type="character" w:styleId="FootnoteReference">
    <w:name w:val="footnote reference"/>
    <w:uiPriority w:val="99"/>
    <w:semiHidden/>
    <w:unhideWhenUsed/>
    <w:rsid w:val="005D79EA"/>
    <w:rPr>
      <w:vertAlign w:val="superscript"/>
    </w:rPr>
  </w:style>
  <w:style w:type="paragraph" w:styleId="ListParagraph">
    <w:name w:val="List Paragraph"/>
    <w:basedOn w:val="Normal"/>
    <w:uiPriority w:val="34"/>
    <w:qFormat/>
    <w:rsid w:val="00E77EEB"/>
    <w:pPr>
      <w:ind w:left="720"/>
      <w:contextualSpacing/>
    </w:pPr>
    <w:rPr>
      <w:rFonts w:cs="Mangal"/>
      <w:szCs w:val="21"/>
    </w:rPr>
  </w:style>
  <w:style w:type="character" w:styleId="PlaceholderText">
    <w:name w:val="Placeholder Text"/>
    <w:basedOn w:val="DefaultParagraphFont"/>
    <w:uiPriority w:val="99"/>
    <w:semiHidden/>
    <w:rsid w:val="00781E79"/>
    <w:rPr>
      <w:color w:val="808080"/>
    </w:rPr>
  </w:style>
  <w:style w:type="paragraph" w:styleId="Caption">
    <w:name w:val="caption"/>
    <w:basedOn w:val="Normal"/>
    <w:next w:val="Normal"/>
    <w:uiPriority w:val="35"/>
    <w:unhideWhenUsed/>
    <w:qFormat/>
    <w:rsid w:val="002350E8"/>
    <w:pPr>
      <w:spacing w:after="200"/>
    </w:pPr>
    <w:rPr>
      <w:rFonts w:cs="Mangal"/>
      <w:i/>
      <w:iCs/>
      <w:color w:val="44546A" w:themeColor="text2"/>
      <w:sz w:val="18"/>
      <w:szCs w:val="16"/>
    </w:rPr>
  </w:style>
  <w:style w:type="paragraph" w:styleId="Header">
    <w:name w:val="header"/>
    <w:basedOn w:val="Normal"/>
    <w:link w:val="HeaderChar"/>
    <w:uiPriority w:val="99"/>
    <w:unhideWhenUsed/>
    <w:rsid w:val="00877A1E"/>
    <w:pPr>
      <w:tabs>
        <w:tab w:val="center" w:pos="4513"/>
        <w:tab w:val="right" w:pos="9026"/>
      </w:tabs>
    </w:pPr>
    <w:rPr>
      <w:rFonts w:cs="Mangal"/>
      <w:szCs w:val="21"/>
    </w:rPr>
  </w:style>
  <w:style w:type="character" w:customStyle="1" w:styleId="HeaderChar">
    <w:name w:val="Header Char"/>
    <w:basedOn w:val="DefaultParagraphFont"/>
    <w:link w:val="Header"/>
    <w:uiPriority w:val="99"/>
    <w:rsid w:val="00877A1E"/>
    <w:rPr>
      <w:rFonts w:ascii="Times New Roman" w:eastAsia="SimSun" w:hAnsi="Times New Roman" w:cs="Mangal"/>
      <w:kern w:val="1"/>
      <w:sz w:val="24"/>
      <w:szCs w:val="21"/>
      <w:lang w:eastAsia="hi-IN" w:bidi="hi-IN"/>
    </w:rPr>
  </w:style>
  <w:style w:type="paragraph" w:styleId="Footer">
    <w:name w:val="footer"/>
    <w:basedOn w:val="Normal"/>
    <w:link w:val="FooterChar"/>
    <w:uiPriority w:val="99"/>
    <w:unhideWhenUsed/>
    <w:rsid w:val="00877A1E"/>
    <w:pPr>
      <w:tabs>
        <w:tab w:val="center" w:pos="4513"/>
        <w:tab w:val="right" w:pos="9026"/>
      </w:tabs>
    </w:pPr>
    <w:rPr>
      <w:rFonts w:cs="Mangal"/>
      <w:szCs w:val="21"/>
    </w:rPr>
  </w:style>
  <w:style w:type="character" w:customStyle="1" w:styleId="FooterChar">
    <w:name w:val="Footer Char"/>
    <w:basedOn w:val="DefaultParagraphFont"/>
    <w:link w:val="Footer"/>
    <w:uiPriority w:val="99"/>
    <w:rsid w:val="00877A1E"/>
    <w:rPr>
      <w:rFonts w:ascii="Times New Roman" w:eastAsia="SimSun" w:hAnsi="Times New Roman" w:cs="Mangal"/>
      <w:kern w:val="1"/>
      <w:sz w:val="24"/>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12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100F7-79FB-487B-AF13-27D7B7FF8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24466</TotalTime>
  <Pages>27</Pages>
  <Words>20919</Words>
  <Characters>119242</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381</cp:revision>
  <dcterms:created xsi:type="dcterms:W3CDTF">2020-09-24T13:19:00Z</dcterms:created>
  <dcterms:modified xsi:type="dcterms:W3CDTF">2020-11-26T17:04:00Z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73a63d5f-e0ee-30e5-91ee-bf6b68b82222</vt:lpwstr>
  </property>
</Properties>
</file>