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9E172" w14:textId="4055B21B" w:rsidR="004C57FD" w:rsidRDefault="002B36D3">
      <w:r>
        <w:t>4.5 Implantation Surgeries Two separate aseptic surgeries were performed on Monkey W to add a head holder, to allow for head fixation, and a later date, a recording chamber. Both surgeries were performed under general anaesthesia (isoflurane), assisted by a veterinary anaesthetist and experienced members of the lab. In the first surgery, a head holder (Gray Matter Research) was positioned on the skull and fixed using bone screws and a combination of two dental cements (</w:t>
      </w:r>
      <w:proofErr w:type="spellStart"/>
      <w:r>
        <w:t>Paladur</w:t>
      </w:r>
      <w:proofErr w:type="spellEnd"/>
      <w:r>
        <w:t xml:space="preserve">, Kulzer; Super-Bond C&amp;B, Sun Medical). Training under head fixation was only attempted after a period of months following the surgery to allow for integration of the bone with the screws. 78 4.3.2 Other Equipment A1 B1 A2 B2 Monkey W Monkey U Cannula </w:t>
      </w:r>
      <w:proofErr w:type="spellStart"/>
      <w:r>
        <w:t>Cannula</w:t>
      </w:r>
      <w:proofErr w:type="spellEnd"/>
      <w:r>
        <w:t xml:space="preserve"> Sphenoid </w:t>
      </w:r>
      <w:proofErr w:type="spellStart"/>
      <w:r>
        <w:t>Sphenoid</w:t>
      </w:r>
      <w:proofErr w:type="spellEnd"/>
      <w:r>
        <w:t xml:space="preserve"> 30 mm 30 mm 6 mm 14 mm Figure 4.3 X-Ray Images to determine recording chamber location Animals (Monkey U, top; Monkey W; bottom) were placed in a stereotaxic frame (Kopf Instruments) with a cannula placed 20 mm beneath the dura. X-ray images were taken from a profile (left) and rear view (right). The location of the cannula was then measured relative to various landmarks, particularly the sphenoid bone (indicated). Cannula location indicated in profile view. 4.6 Locating and Identifying Dopamine Neurons 79 For the second surgery, a metal chamber (Gray Matter Research) measuring 20 mm by 40 mm was </w:t>
      </w:r>
      <w:proofErr w:type="spellStart"/>
      <w:r>
        <w:t>stereotaxically</w:t>
      </w:r>
      <w:proofErr w:type="spellEnd"/>
      <w:r>
        <w:t xml:space="preserve"> positioned on the skull and fixed with a combination of screws and dental cements. Head holder tubes were placed both anterior and posterior to the chamber during the same surgery. Two weeks after the surgery, a craniotomy was performed to open the skull, inside the recording chamber and above the midbrain dopamine neurons. Monkey U had previously been implanted in similar surgeries with both a head holder and a large (40 mm by 40 mm, Gray Matter Research) recording chamber for experiments recording in the orbitofrontal cortex. Therefore, only a further craniotomy was required to access dopamine neurons. 4.6 Locating and Identifying Dopamine Neurons Following the craniotomies in each animal, the centre of the craniotomy was localized using x-ray imaging (Figure 4.3). Under anaesthesia, a metal cannula was inserted in the centre of the craniotomy and 20 mm beneath the top of the dura. This was imaged and the location of the cannula determined relative to the position of the ear bars and various bone landmarks, particularly the sphenoid bone. The relative position of the recording chamber and brain structures was refined by locating the ventral posteromedial nucleus (VPM) of the thalamus under anaesthesia. The VPM is the location of synapses between second and third order neurons in the </w:t>
      </w:r>
      <w:proofErr w:type="spellStart"/>
      <w:r>
        <w:t>trigeminothalamic</w:t>
      </w:r>
      <w:proofErr w:type="spellEnd"/>
      <w:r>
        <w:t xml:space="preserve"> tracts, carrying somatosensory information about the face and oral cavity. Lateral to the VPM is the ventral posterolateral nucleus (VPL), which contains neurons receiving somatosensory information from the arms and hands. The topographical organisation of the VPM and VPL, combined with the large, easy-to-record neurons, makes it a useful landmark in determining electrode location in all three axes. To locate the VPM, I manually stimulated the monkeys’ faces whilst during anaesthesia and advancing the recording electrode. VPM neurons have phasic responses to sensation in small, well-defined receptive fields. 80 4.6 Locating and Identifying Dopamine Neurons After characterizing the location of the VPM in the anaesthetised animal, dopamine neurons </w:t>
      </w:r>
      <w:proofErr w:type="gramStart"/>
      <w:r>
        <w:t>were located in</w:t>
      </w:r>
      <w:proofErr w:type="gramEnd"/>
      <w:r>
        <w:t xml:space="preserve"> the awake animal. Landmarks including the VPM, activated by providing the animal food to chew, ocular motor neurons with tonic or phasic direction coding were used to functionally localise the electrode during recordings with the awake animals. Dopamine neurons were characterized by standard criteria (Figure 4.4): 1. Polyphasic spikes (initially positive or negative, followed by a prolonged positive component) 2. Relatively long duration of action potential (&gt;2.2 </w:t>
      </w:r>
      <w:proofErr w:type="spellStart"/>
      <w:r>
        <w:t>ms</w:t>
      </w:r>
      <w:proofErr w:type="spellEnd"/>
      <w:r>
        <w:t xml:space="preserve"> with 100 Hz high-pass filter). 3. Irregular firing at low baseline frequencies (1-8 spikes/s). In contrast, nearby par reticulata neurons have very fast firing frequencies (often &gt;50 spikes/s). 4. Responsiveness to unpredicted juice delivery. Behavioural task was stopped, and juice delivered at random intervals (between 5 – 10 s) with no related stimuli. Generally, neurons that met the first three criteria showed phasic activation after unexpected reward. Neurons with insufficient number of trials (8 trials per condition) were excluded from the data analysis. 1 </w:t>
      </w:r>
      <w:proofErr w:type="spellStart"/>
      <w:r>
        <w:t>ms</w:t>
      </w:r>
      <w:proofErr w:type="spellEnd"/>
      <w:r>
        <w:t xml:space="preserve"> Figure 4.4 Example Dopamine Neuron Waveform Example spike from a single </w:t>
      </w:r>
      <w:r>
        <w:lastRenderedPageBreak/>
        <w:t xml:space="preserve">neuron recorded in Monkey U. Dopamine neuron waveforms were identified by (1) polyphasic waveform, with negative component followed by prolonged positive component and (2) relatively long duration of extracellularly recorded action potentials. Additional criteria were (3) irregular firing at baseline and (4) responsiveness to unpredicted juice delivery4.8 Statistical Analyses of Neuronal and Behavioural Data All statistical tests were run using R (Microsoft R Open 3.5.3, multicore R derived from R 3.5.3, R Core Team). In general, significance was determined at α = 0.05 (Type 1 error, false-positive). Comparison between group averages of data was generally performed using one- or two-way analysis of variance (ANOVA) to identify overall effects (implemented by the </w:t>
      </w:r>
      <w:proofErr w:type="spellStart"/>
      <w:r>
        <w:t>aov</w:t>
      </w:r>
      <w:proofErr w:type="spellEnd"/>
      <w:r>
        <w:t xml:space="preserve"> function in the stats package) using Tukey’s Highest Significant Difference (HSD) test to correct for multiple comparisons in comparing individual group means (implemented by the </w:t>
      </w:r>
      <w:proofErr w:type="spellStart"/>
      <w:r>
        <w:t>TukeyHSD</w:t>
      </w:r>
      <w:proofErr w:type="spellEnd"/>
      <w:r>
        <w:t xml:space="preserve"> function of the stats package). Logistic regressions, used extensively in the psychophysical procedures, were performed using the </w:t>
      </w:r>
      <w:proofErr w:type="spellStart"/>
      <w:r>
        <w:t>glm</w:t>
      </w:r>
      <w:proofErr w:type="spellEnd"/>
      <w:r>
        <w:t xml:space="preserve"> (generalized linear model) function from the stats package in R assuming an underlying binomial distribution. Relevant variables were modelled as a linear combination related to the probability of choice by the standard logistic function (y = 1/ (1+e-x). The same function returned the standard error of the mean. Coefficients were standardized using the beta function in the </w:t>
      </w:r>
      <w:proofErr w:type="spellStart"/>
      <w:r>
        <w:t>reghelper</w:t>
      </w:r>
      <w:proofErr w:type="spellEnd"/>
      <w:r>
        <w:t xml:space="preserve"> package. Comparison of fits was done by comparing the Akaike Information Criterion (calculated by the </w:t>
      </w:r>
      <w:proofErr w:type="spellStart"/>
      <w:proofErr w:type="gramStart"/>
      <w:r>
        <w:t>glm.summary</w:t>
      </w:r>
      <w:proofErr w:type="spellEnd"/>
      <w:proofErr w:type="gramEnd"/>
      <w:r>
        <w:t xml:space="preserve"> function), which penalizes the likelihood function by the number of terms in the model, and McFadden’s R2 (McFadden, 1973), a non-relative metric of fit for logistic regressions, calculated using the pR2 function of the </w:t>
      </w:r>
      <w:proofErr w:type="spellStart"/>
      <w:r>
        <w:t>pscl</w:t>
      </w:r>
      <w:proofErr w:type="spellEnd"/>
      <w:r>
        <w:t xml:space="preserve"> package. Random utility models were implemented by the </w:t>
      </w:r>
      <w:proofErr w:type="spellStart"/>
      <w:r>
        <w:t>mlogit</w:t>
      </w:r>
      <w:proofErr w:type="spellEnd"/>
      <w:r>
        <w:t xml:space="preserve"> package, which follows the description of the mixed logit model in Discrete Choice Methods with Simulations (Train, 2009). See Chapter 2 for a discussion about the theory of random utility models. In general, random utility models estimate underlying utility functions from observed choices. In Chapter 5, neither reward utility nor effort disutility functional forms were estimated, rather represented as a series of dummy variables (1 if true, 0 if false) for the various tested levels of reward and effort. Cumulative juice intake was included as interaction terms with the levels of reward in deriving the juice utility curves. Similarly, cumulative effort was included as an interaction terms with the levels of effort in deriving the effort disutility curves. Each recording session was treated as an individual in the mixed logit model, which allowed the model to account for correlation between the various variables in the manner discussed in the section of Chapter 2 on the independence of irrelevant alternative axiom. The </w:t>
      </w:r>
      <w:proofErr w:type="spellStart"/>
      <w:r>
        <w:t>rpar</w:t>
      </w:r>
      <w:proofErr w:type="spellEnd"/>
      <w:r>
        <w:t xml:space="preserve"> and </w:t>
      </w:r>
      <w:proofErr w:type="spellStart"/>
      <w:proofErr w:type="gramStart"/>
      <w:r>
        <w:t>summary.rpar</w:t>
      </w:r>
      <w:proofErr w:type="spellEnd"/>
      <w:proofErr w:type="gramEnd"/>
      <w:r>
        <w:t xml:space="preserve"> functions were used to extract the unconditional distribution of the marginal utility and the standard errors which are then used 84 4.8 Statistical Analyses of Neuronal and Behavioural Data to plot the utility functions. In Chapter 6, the effort disutility function is replaced by a reference-dependent effort function, a piece-wise linear function described in that chapter. Analysis of individual dopamine neuron activity was generally using non-parametric methods. Dopamine neurons, being slow firing with their firing frequency roughly following a </w:t>
      </w:r>
      <w:proofErr w:type="spellStart"/>
      <w:r>
        <w:t>poisson</w:t>
      </w:r>
      <w:proofErr w:type="spellEnd"/>
      <w:r>
        <w:t xml:space="preserve"> distribution, are not suited for methods that require normality assumptions. The Wilcoxon signed-rank test (implemented by the </w:t>
      </w:r>
      <w:proofErr w:type="spellStart"/>
      <w:r>
        <w:t>wilcox.text</w:t>
      </w:r>
      <w:proofErr w:type="spellEnd"/>
      <w:r>
        <w:t xml:space="preserve"> function) was used to compare the number of spikes in two equal periods of time during different parts of the task. To examine the correlation between two variables, I employed Pearson correlation (</w:t>
      </w:r>
      <w:proofErr w:type="spellStart"/>
      <w:r>
        <w:t>corr.test</w:t>
      </w:r>
      <w:proofErr w:type="spellEnd"/>
      <w:r>
        <w:t xml:space="preserve"> function). Pooled neuronal data was compared using ANOVA.</w:t>
      </w:r>
    </w:p>
    <w:sectPr w:rsidR="004C5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D3"/>
    <w:rsid w:val="002B36D3"/>
    <w:rsid w:val="004C57FD"/>
    <w:rsid w:val="00B22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DDB5"/>
  <w15:chartTrackingRefBased/>
  <w15:docId w15:val="{21C6E22E-03FA-4E69-BCE9-0EEC9226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1268</Words>
  <Characters>7229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cp:revision>
  <dcterms:created xsi:type="dcterms:W3CDTF">2021-01-07T14:33:00Z</dcterms:created>
  <dcterms:modified xsi:type="dcterms:W3CDTF">2021-01-07T20:17:00Z</dcterms:modified>
</cp:coreProperties>
</file>