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FAC296" w14:textId="45DE9C6C" w:rsidR="004A71FF" w:rsidRPr="00DA405F" w:rsidRDefault="004A71FF" w:rsidP="00B618D9">
      <w:pPr>
        <w:rPr>
          <w:rFonts w:ascii="Times New Roman" w:eastAsia="SimSun" w:hAnsi="Times New Roman" w:cs="Times New Roman"/>
          <w:kern w:val="3"/>
          <w:sz w:val="24"/>
          <w:szCs w:val="24"/>
          <w:lang w:eastAsia="zh-CN" w:bidi="hi-IN"/>
        </w:rPr>
      </w:pPr>
      <w:r w:rsidRPr="00DA405F">
        <w:rPr>
          <w:rFonts w:ascii="Times New Roman" w:hAnsi="Times New Roman" w:cs="Times New Roman"/>
          <w:b/>
          <w:bCs/>
          <w:sz w:val="24"/>
          <w:szCs w:val="24"/>
        </w:rPr>
        <w:t>Motivation</w:t>
      </w:r>
    </w:p>
    <w:p w14:paraId="1B3B6B94" w14:textId="77777777" w:rsidR="004A71FF" w:rsidRPr="00DA405F" w:rsidRDefault="004A71FF" w:rsidP="004A71FF">
      <w:pPr>
        <w:pStyle w:val="Standard"/>
        <w:rPr>
          <w:rFonts w:cs="Times New Roman"/>
          <w:b/>
          <w:bCs/>
        </w:rPr>
      </w:pPr>
    </w:p>
    <w:p w14:paraId="3C30AA63" w14:textId="14AF0018" w:rsidR="004A71FF" w:rsidRPr="00DA405F" w:rsidRDefault="004A71FF" w:rsidP="004A71FF">
      <w:pPr>
        <w:pStyle w:val="Standard"/>
        <w:rPr>
          <w:rFonts w:cs="Times New Roman"/>
        </w:rPr>
      </w:pPr>
      <w:bookmarkStart w:id="0" w:name="_Hlk56009996"/>
      <w:r w:rsidRPr="00DA405F">
        <w:rPr>
          <w:rFonts w:cs="Times New Roman"/>
        </w:rPr>
        <w:t xml:space="preserve">It is plain to see that economic decision-making is a fundamental aspect of modern human existence. Even before sitting down at </w:t>
      </w:r>
      <w:r w:rsidR="00941A0D">
        <w:rPr>
          <w:rFonts w:cs="Times New Roman"/>
        </w:rPr>
        <w:t>their</w:t>
      </w:r>
      <w:r w:rsidRPr="00DA405F">
        <w:rPr>
          <w:rFonts w:cs="Times New Roman"/>
        </w:rPr>
        <w:t xml:space="preserve"> desk, a commuter must integrate multiple decision variables to calculate which mode of transport to take, is bombarded with advertisement for consumer goods, and faces a choice of breakfast options that would be unimaginable </w:t>
      </w:r>
      <w:r w:rsidR="008A26E6" w:rsidRPr="00DA405F">
        <w:rPr>
          <w:rFonts w:cs="Times New Roman"/>
        </w:rPr>
        <w:t>even a millennium ago</w:t>
      </w:r>
      <w:r w:rsidRPr="00DA405F">
        <w:rPr>
          <w:rFonts w:cs="Times New Roman"/>
        </w:rPr>
        <w:t>. The brain has the unenviable duty to gather required information, incorporate it into a common framework, and decide between alternatives for each of these tasks.</w:t>
      </w:r>
    </w:p>
    <w:p w14:paraId="32055E53" w14:textId="77777777" w:rsidR="004A71FF" w:rsidRPr="00DA405F" w:rsidRDefault="004A71FF" w:rsidP="004A71FF">
      <w:pPr>
        <w:pStyle w:val="Standard"/>
        <w:rPr>
          <w:rFonts w:cs="Times New Roman"/>
        </w:rPr>
      </w:pPr>
    </w:p>
    <w:p w14:paraId="13005F23" w14:textId="73EB9454" w:rsidR="004A71FF" w:rsidRPr="00DA405F" w:rsidRDefault="004A71FF" w:rsidP="004A71FF">
      <w:pPr>
        <w:pStyle w:val="Standard"/>
        <w:rPr>
          <w:rFonts w:cs="Times New Roman"/>
        </w:rPr>
      </w:pPr>
      <w:r w:rsidRPr="00DA405F">
        <w:rPr>
          <w:rFonts w:cs="Times New Roman"/>
        </w:rPr>
        <w:t xml:space="preserve">Over the last 500 years, economics has found success in explaining </w:t>
      </w:r>
      <w:r w:rsidRPr="00DA405F">
        <w:rPr>
          <w:rFonts w:cs="Times New Roman"/>
          <w:i/>
          <w:iCs/>
        </w:rPr>
        <w:t>what</w:t>
      </w:r>
      <w:r w:rsidRPr="00DA405F">
        <w:rPr>
          <w:rFonts w:cs="Times New Roman"/>
        </w:rPr>
        <w:t xml:space="preserve"> people decide when they are deciding. Utility has emerged as the fundamental variable of interest which is maximised along economic choices. These </w:t>
      </w:r>
      <w:r w:rsidRPr="00DA405F">
        <w:rPr>
          <w:rFonts w:cs="Times New Roman"/>
          <w:i/>
          <w:iCs/>
        </w:rPr>
        <w:t>subjective</w:t>
      </w:r>
      <w:r w:rsidRPr="00DA405F">
        <w:rPr>
          <w:rFonts w:cs="Times New Roman"/>
        </w:rPr>
        <w:t xml:space="preserve"> values present in any choice are generated internally to the individual faced with alternatives and must be elicited via careful study of behaviour.</w:t>
      </w:r>
      <w:r w:rsidR="00805709" w:rsidRPr="00DA405F">
        <w:rPr>
          <w:rFonts w:cs="Times New Roman"/>
        </w:rPr>
        <w:t xml:space="preserve"> Over the past 50 years, auction theory has proved successful in developing </w:t>
      </w:r>
      <w:r w:rsidR="002C0996" w:rsidRPr="00DA405F">
        <w:rPr>
          <w:rFonts w:cs="Times New Roman"/>
        </w:rPr>
        <w:t>mechanisms</w:t>
      </w:r>
      <w:r w:rsidR="00805709" w:rsidRPr="00DA405F">
        <w:rPr>
          <w:rFonts w:cs="Times New Roman"/>
        </w:rPr>
        <w:t xml:space="preserve"> which </w:t>
      </w:r>
      <w:r w:rsidR="002C0996" w:rsidRPr="00DA405F">
        <w:rPr>
          <w:rFonts w:cs="Times New Roman"/>
        </w:rPr>
        <w:t xml:space="preserve">incentivise </w:t>
      </w:r>
      <w:r w:rsidR="003A56E5" w:rsidRPr="00DA405F">
        <w:rPr>
          <w:rFonts w:cs="Times New Roman"/>
        </w:rPr>
        <w:t>participants to declare the utilities of offered goods on a single trial basis.</w:t>
      </w:r>
    </w:p>
    <w:p w14:paraId="104E720C" w14:textId="77777777" w:rsidR="004A71FF" w:rsidRPr="00DA405F" w:rsidRDefault="004A71FF" w:rsidP="004A71FF">
      <w:pPr>
        <w:pStyle w:val="Standard"/>
        <w:rPr>
          <w:rFonts w:cs="Times New Roman"/>
        </w:rPr>
      </w:pPr>
    </w:p>
    <w:p w14:paraId="2C79EFE8" w14:textId="5AF0C204" w:rsidR="004A71FF" w:rsidRPr="00DA405F" w:rsidRDefault="004A71FF" w:rsidP="004A71FF">
      <w:pPr>
        <w:pStyle w:val="Standard"/>
        <w:rPr>
          <w:rFonts w:cs="Times New Roman"/>
        </w:rPr>
      </w:pPr>
      <w:r w:rsidRPr="00DA405F">
        <w:rPr>
          <w:rFonts w:cs="Times New Roman"/>
        </w:rPr>
        <w:t>Theories of utility have proved successful both prescriptively, in setting axioms for how a hyper-rational decision maker should act, and descriptively when studying how and when humans break these ‘rules’</w:t>
      </w:r>
      <w:r w:rsidR="008A26E6" w:rsidRPr="00DA405F">
        <w:rPr>
          <w:rStyle w:val="FootnoteReference"/>
          <w:rFonts w:cs="Times New Roman"/>
        </w:rPr>
        <w:t xml:space="preserve"> </w:t>
      </w:r>
      <w:r w:rsidR="008A26E6" w:rsidRPr="00DA405F">
        <w:rPr>
          <w:rFonts w:cs="Times New Roman"/>
        </w:rPr>
        <w:fldChar w:fldCharType="begin" w:fldLock="1"/>
      </w:r>
      <w:r w:rsidR="00046C39" w:rsidRPr="00DA405F">
        <w:rPr>
          <w:rFonts w:cs="Times New Roman"/>
        </w:rPr>
        <w:instrText>ADDIN CSL_CITATION {"citationItems":[{"id":"ITEM-1","itemData":{"DOI":"10.1287/mnsc.40.2.263","ISSN":"0025-1909","abstract":"Descriptive and normative modeling of decision making under risk and uncertainty have grown apart over the past decade. Psychological models attempt to accommodate the numerous violations of rationality axioms, including independence and transitivity. Meanwhile, normatively oriented decision analysts continue to insist on the applied usefulness of the subjective expected utility (SEU) model. As this gap has widened, two facts have remained largely unobserved. First, most people in real situations attempt to behave in accord with the most basic rationality principles, even though they are likely to fail in more complex situations. Second, the SEU model is likely to provide consistent and rational answers to decision problems within a given problem structure, but may not be invariant across structures. Thus, people may be more rational than the psychological literature gives them credit for, and applications of the SEU model may be susceptible to some violations of invariance principles. This paper attempts to search out the common ground between the normative, descriptive, and prescriptive modeling by exploring three types of axioms concerning structural rationality, preference rationality, and quasi-rationality. Normatively the first two are mandatory and the last, suspect. Descriptively, all have been questioned, but often the inferences involved have confounded preference and structural rationality. We propose a prescriptive view that entails full compliance with preference rationality, modifications of structural rationality, and acceptance of quasi-rationality to the extent of granting a primary role to the status quo and the decomposition of decision problems into gains and losses.","author":[{"dropping-particle":"","family":"Luce","given":"R. Duncan","non-dropping-particle":"","parse-names":false,"suffix":""},{"dropping-particle":"","family":"Winterfeldt","given":"Detlof","non-dropping-particle":"von","parse-names":false,"suffix":""}],"container-title":"Management Science","id":"ITEM-1","issue":"2","issued":{"date-parts":[["1994"]]},"page":"263-279","title":"What Common Ground Exists for Descriptive, Prescriptive, and Normative Utility Theories?","type":"article-journal","volume":"40"},"uris":["http://www.mendeley.com/documents/?uuid=ac9eeefd-bd01-41c8-a0cd-218d9bc8dbd1"]}],"mendeley":{"formattedCitation":"(Luce &amp; von Winterfeldt, 1994)","plainTextFormattedCitation":"(Luce &amp; von Winterfeldt, 1994)","previouslyFormattedCitation":"(Luce &amp; von Winterfeldt, 1994)"},"properties":{"noteIndex":0},"schema":"https://github.com/citation-style-language/schema/raw/master/csl-citation.json"}</w:instrText>
      </w:r>
      <w:r w:rsidR="008A26E6" w:rsidRPr="00DA405F">
        <w:rPr>
          <w:rFonts w:cs="Times New Roman"/>
        </w:rPr>
        <w:fldChar w:fldCharType="separate"/>
      </w:r>
      <w:r w:rsidR="008A26E6" w:rsidRPr="00DA405F">
        <w:rPr>
          <w:rFonts w:cs="Times New Roman"/>
          <w:noProof/>
        </w:rPr>
        <w:t>(Luce &amp; von Winterfeldt, 1994)</w:t>
      </w:r>
      <w:r w:rsidR="008A26E6" w:rsidRPr="00DA405F">
        <w:rPr>
          <w:rFonts w:cs="Times New Roman"/>
        </w:rPr>
        <w:fldChar w:fldCharType="end"/>
      </w:r>
      <w:r w:rsidRPr="00DA405F">
        <w:rPr>
          <w:rFonts w:cs="Times New Roman"/>
        </w:rPr>
        <w:t xml:space="preserve">. As impressive as the economics literature is, it cannot tell us </w:t>
      </w:r>
      <w:r w:rsidRPr="00DA405F">
        <w:rPr>
          <w:rFonts w:cs="Times New Roman"/>
          <w:i/>
          <w:iCs/>
        </w:rPr>
        <w:t>how</w:t>
      </w:r>
      <w:r w:rsidRPr="00DA405F">
        <w:rPr>
          <w:rFonts w:cs="Times New Roman"/>
        </w:rPr>
        <w:t xml:space="preserve"> the brain manages to navigate these choices every single day of our lives</w:t>
      </w:r>
      <w:r w:rsidRPr="00CD3967">
        <w:rPr>
          <w:rStyle w:val="FootnoteReference"/>
        </w:rPr>
        <w:footnoteReference w:id="1"/>
      </w:r>
      <w:r w:rsidRPr="00DA405F">
        <w:rPr>
          <w:rFonts w:cs="Times New Roman"/>
        </w:rPr>
        <w:t xml:space="preserve">.  </w:t>
      </w:r>
    </w:p>
    <w:p w14:paraId="5CF55DF0" w14:textId="77777777" w:rsidR="004A71FF" w:rsidRPr="00DA405F" w:rsidRDefault="004A71FF" w:rsidP="004A71FF">
      <w:pPr>
        <w:pStyle w:val="Standard"/>
        <w:rPr>
          <w:rFonts w:cs="Times New Roman"/>
        </w:rPr>
      </w:pPr>
    </w:p>
    <w:p w14:paraId="3C73A245" w14:textId="4199D89C" w:rsidR="00805709" w:rsidRPr="00DA405F" w:rsidRDefault="004A71FF" w:rsidP="004A71FF">
      <w:pPr>
        <w:pStyle w:val="Standard"/>
        <w:rPr>
          <w:rFonts w:cs="Times New Roman"/>
        </w:rPr>
      </w:pPr>
      <w:r w:rsidRPr="00DA405F">
        <w:rPr>
          <w:rFonts w:cs="Times New Roman"/>
        </w:rPr>
        <w:t xml:space="preserve">More recently, neuroscience has identified the activity of dopaminergic cells in the midbrain as a </w:t>
      </w:r>
      <w:r w:rsidR="00870656" w:rsidRPr="00DA405F">
        <w:rPr>
          <w:rFonts w:cs="Times New Roman"/>
        </w:rPr>
        <w:t xml:space="preserve">putative </w:t>
      </w:r>
      <w:r w:rsidRPr="00DA405F">
        <w:rPr>
          <w:rFonts w:cs="Times New Roman"/>
        </w:rPr>
        <w:t>substrate for utility</w:t>
      </w:r>
      <w:bookmarkEnd w:id="0"/>
      <w:r w:rsidRPr="00DA405F">
        <w:rPr>
          <w:rFonts w:cs="Times New Roman"/>
        </w:rPr>
        <w:t xml:space="preserve">. </w:t>
      </w:r>
      <w:r w:rsidR="004C356E" w:rsidRPr="00DA405F">
        <w:rPr>
          <w:rFonts w:cs="Times New Roman"/>
        </w:rPr>
        <w:t>These neurons have been shown to encode and integrate multiple variables crucial to this function such as the magnitude, probability</w:t>
      </w:r>
      <w:r w:rsidR="00941A0D">
        <w:rPr>
          <w:rFonts w:cs="Times New Roman"/>
        </w:rPr>
        <w:t>,</w:t>
      </w:r>
      <w:r w:rsidR="004C356E" w:rsidRPr="00DA405F">
        <w:rPr>
          <w:rFonts w:cs="Times New Roman"/>
        </w:rPr>
        <w:t xml:space="preserve"> and temporal delay of rewards. By combining these parameters into a common signal, dopaminergic neurons facilitate the direct comparison of and selection from choices that encompass a vast decision space.</w:t>
      </w:r>
      <w:r w:rsidR="00691777" w:rsidRPr="00DA405F">
        <w:rPr>
          <w:rFonts w:cs="Times New Roman"/>
        </w:rPr>
        <w:t xml:space="preserve"> By reinforcing choices that maximise utility, these neurons serve a crucial role in balancing an organism’s motivations and disturbances to this system have been implicated in severe neuropsychiatric disorders such as Parkinson’s disease and schizophrenia.</w:t>
      </w:r>
    </w:p>
    <w:p w14:paraId="5DE60AB4" w14:textId="5D3584D0" w:rsidR="00805709" w:rsidRPr="00DA405F" w:rsidRDefault="00805709" w:rsidP="004A71FF">
      <w:pPr>
        <w:pStyle w:val="Standard"/>
        <w:rPr>
          <w:rFonts w:cs="Times New Roman"/>
        </w:rPr>
      </w:pPr>
    </w:p>
    <w:p w14:paraId="69350F34" w14:textId="45DFE020" w:rsidR="00805709" w:rsidRPr="00DA405F" w:rsidRDefault="003A56E5" w:rsidP="004A71FF">
      <w:pPr>
        <w:pStyle w:val="Standard"/>
        <w:rPr>
          <w:rFonts w:cs="Times New Roman"/>
        </w:rPr>
      </w:pPr>
      <w:r w:rsidRPr="00DA405F">
        <w:rPr>
          <w:rFonts w:cs="Times New Roman"/>
        </w:rPr>
        <w:t>Central to research into the function of midbrain dopaminergic neurons are electrophysiological recording methods which allow researchers to study the behaviour of these cells with unparalleled temporal and spatial resolution. Such recordings require direct access to nuclei nested deep within the brain and so are unsuitable for studies of human decision making. Instead, most cellular studies of economic decision-making have relied on rodent or non-human primate models, limiting the sophistication of the choice tasks that can be employed.</w:t>
      </w:r>
    </w:p>
    <w:p w14:paraId="27E2913E" w14:textId="39EABEC8" w:rsidR="003A56E5" w:rsidRPr="00DA405F" w:rsidRDefault="003A56E5" w:rsidP="004A71FF">
      <w:pPr>
        <w:pStyle w:val="Standard"/>
        <w:rPr>
          <w:rFonts w:cs="Times New Roman"/>
        </w:rPr>
      </w:pPr>
    </w:p>
    <w:p w14:paraId="41C55D34" w14:textId="40CB08A5" w:rsidR="004A71FF" w:rsidRPr="00DA405F" w:rsidRDefault="004A71FF" w:rsidP="004A71FF">
      <w:pPr>
        <w:pStyle w:val="Standard"/>
        <w:rPr>
          <w:rFonts w:cs="Times New Roman"/>
        </w:rPr>
      </w:pPr>
      <w:r w:rsidRPr="00DA405F">
        <w:rPr>
          <w:rFonts w:cs="Times New Roman"/>
        </w:rPr>
        <w:t xml:space="preserve">The motivation for this thesis is to overcome these limitations so that we might gain a greater understanding of the dopaminergic </w:t>
      </w:r>
      <w:r w:rsidR="00EE1451">
        <w:rPr>
          <w:rFonts w:cs="Times New Roman"/>
        </w:rPr>
        <w:t>utility</w:t>
      </w:r>
      <w:r w:rsidRPr="00DA405F">
        <w:rPr>
          <w:rFonts w:cs="Times New Roman"/>
        </w:rPr>
        <w:t xml:space="preserve"> signal. We aim to investigate the activity of midbrain dopaminergic neurons </w:t>
      </w:r>
      <w:r w:rsidR="00D25DDD" w:rsidRPr="00DA405F">
        <w:rPr>
          <w:rFonts w:cs="Times New Roman"/>
        </w:rPr>
        <w:t>in rhesus macaques</w:t>
      </w:r>
      <w:r w:rsidRPr="00DA405F">
        <w:rPr>
          <w:rFonts w:cs="Times New Roman"/>
        </w:rPr>
        <w:t xml:space="preserve"> trained on a task inspired by auction theory</w:t>
      </w:r>
      <w:r w:rsidR="00D25DDD" w:rsidRPr="00DA405F">
        <w:rPr>
          <w:rFonts w:cs="Times New Roman"/>
        </w:rPr>
        <w:t xml:space="preserve"> to provide a real time readout of utility while observing changes in neuronal activity.</w:t>
      </w:r>
    </w:p>
    <w:p w14:paraId="4B95754C" w14:textId="77777777" w:rsidR="004A71FF" w:rsidRPr="00DA405F" w:rsidRDefault="004A71FF" w:rsidP="004A71FF">
      <w:pPr>
        <w:pStyle w:val="Standard"/>
        <w:rPr>
          <w:rFonts w:cs="Times New Roman"/>
        </w:rPr>
      </w:pPr>
    </w:p>
    <w:p w14:paraId="3FC1C38B" w14:textId="77777777" w:rsidR="004A71FF" w:rsidRPr="00DA405F" w:rsidRDefault="004A71FF" w:rsidP="004A71FF">
      <w:pPr>
        <w:pStyle w:val="Standard"/>
        <w:rPr>
          <w:rFonts w:cs="Times New Roman"/>
          <w:b/>
          <w:bCs/>
        </w:rPr>
      </w:pPr>
      <w:r w:rsidRPr="00DA405F">
        <w:rPr>
          <w:rFonts w:cs="Times New Roman"/>
          <w:b/>
          <w:bCs/>
        </w:rPr>
        <w:lastRenderedPageBreak/>
        <w:t>Organisation of the Thesis</w:t>
      </w:r>
    </w:p>
    <w:p w14:paraId="07778AA9" w14:textId="77777777" w:rsidR="004A71FF" w:rsidRPr="00DA405F" w:rsidRDefault="004A71FF" w:rsidP="004A71FF">
      <w:pPr>
        <w:pStyle w:val="Standard"/>
        <w:rPr>
          <w:rFonts w:cs="Times New Roman"/>
          <w:b/>
          <w:bCs/>
        </w:rPr>
      </w:pPr>
    </w:p>
    <w:p w14:paraId="100F1CBC" w14:textId="03E38933" w:rsidR="004A71FF" w:rsidRPr="00DA405F" w:rsidRDefault="004A71FF" w:rsidP="004A71FF">
      <w:pPr>
        <w:pStyle w:val="Standard"/>
        <w:rPr>
          <w:rFonts w:cs="Times New Roman"/>
          <w:color w:val="FF0000"/>
        </w:rPr>
      </w:pPr>
      <w:r w:rsidRPr="00DA405F">
        <w:rPr>
          <w:rFonts w:cs="Times New Roman"/>
          <w:color w:val="FF0000"/>
        </w:rPr>
        <w:t xml:space="preserve">The remainder of this chapter is spent reviewing the fields of economics and neuroscience. We chronicle the development of theories of utility before examining the evidence that the brain, and especially the dopaminergic midbrain circuitry, encodes utility. We also </w:t>
      </w:r>
      <w:r w:rsidR="00B618D9" w:rsidRPr="00DA405F">
        <w:rPr>
          <w:rFonts w:cs="Times New Roman"/>
          <w:color w:val="FF0000"/>
        </w:rPr>
        <w:t>discuss</w:t>
      </w:r>
      <w:r w:rsidRPr="00DA405F">
        <w:rPr>
          <w:rFonts w:cs="Times New Roman"/>
          <w:color w:val="FF0000"/>
        </w:rPr>
        <w:t xml:space="preserve"> the experimental task paradigms that animal research into utility has employed.</w:t>
      </w:r>
    </w:p>
    <w:p w14:paraId="2ECE19A3" w14:textId="77777777" w:rsidR="004A71FF" w:rsidRPr="00DA405F" w:rsidRDefault="004A71FF" w:rsidP="004A71FF">
      <w:pPr>
        <w:pStyle w:val="Standard"/>
        <w:rPr>
          <w:rFonts w:cs="Times New Roman"/>
          <w:color w:val="FF0000"/>
        </w:rPr>
      </w:pPr>
    </w:p>
    <w:p w14:paraId="33BA44AD" w14:textId="194F3E7B" w:rsidR="004A71FF" w:rsidRPr="00DA405F" w:rsidRDefault="004A71FF" w:rsidP="004A71FF">
      <w:pPr>
        <w:pStyle w:val="Standard"/>
        <w:rPr>
          <w:rFonts w:cs="Times New Roman"/>
          <w:color w:val="FF0000"/>
        </w:rPr>
      </w:pPr>
      <w:r w:rsidRPr="00DA405F">
        <w:rPr>
          <w:rFonts w:cs="Times New Roman"/>
          <w:color w:val="FF0000"/>
        </w:rPr>
        <w:t xml:space="preserve">In chapter 2, we compare these paradigms to a second-price auction developed by </w:t>
      </w:r>
      <w:r w:rsidRPr="00DA405F">
        <w:rPr>
          <w:rFonts w:cs="Times New Roman"/>
          <w:color w:val="FF0000"/>
        </w:rPr>
        <w:fldChar w:fldCharType="begin" w:fldLock="1"/>
      </w:r>
      <w:r w:rsidR="008A26E6" w:rsidRPr="00DA405F">
        <w:rPr>
          <w:rFonts w:cs="Times New Roman"/>
          <w:color w:val="FF0000"/>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1964)","manualFormatting":"Becker et al., 1964","plainTextFormattedCitation":"(Becker et al., 1964)","previouslyFormattedCitation":"(Becker et al., 1964)"},"properties":{"noteIndex":0},"schema":"https://github.com/citation-style-language/schema/raw/master/csl-citation.json"}</w:instrText>
      </w:r>
      <w:r w:rsidRPr="00DA405F">
        <w:rPr>
          <w:rFonts w:cs="Times New Roman"/>
          <w:color w:val="FF0000"/>
        </w:rPr>
        <w:fldChar w:fldCharType="separate"/>
      </w:r>
      <w:r w:rsidRPr="00DA405F">
        <w:rPr>
          <w:rFonts w:cs="Times New Roman"/>
          <w:noProof/>
          <w:color w:val="FF0000"/>
        </w:rPr>
        <w:t>Becker et al., 1964</w:t>
      </w:r>
      <w:r w:rsidRPr="00DA405F">
        <w:rPr>
          <w:rFonts w:cs="Times New Roman"/>
          <w:color w:val="FF0000"/>
        </w:rPr>
        <w:fldChar w:fldCharType="end"/>
      </w:r>
      <w:r w:rsidRPr="00DA405F">
        <w:rPr>
          <w:rFonts w:cs="Times New Roman"/>
          <w:color w:val="FF0000"/>
        </w:rPr>
        <w:t xml:space="preserve"> and explore the theory behind what makes these ‘Becker-DeGroot-Marshak’ (BDM) auctions appealing to behavioural economists.</w:t>
      </w:r>
      <w:r w:rsidR="00FB794B" w:rsidRPr="00DA405F">
        <w:rPr>
          <w:rFonts w:cs="Times New Roman"/>
          <w:color w:val="FF0000"/>
        </w:rPr>
        <w:t xml:space="preserve"> We conclude the chapter by looking at the growing</w:t>
      </w:r>
      <w:r w:rsidR="00EF0B60" w:rsidRPr="00DA405F">
        <w:rPr>
          <w:rFonts w:cs="Times New Roman"/>
          <w:color w:val="FF0000"/>
        </w:rPr>
        <w:t xml:space="preserve"> neuroscientific</w:t>
      </w:r>
      <w:r w:rsidR="00FB794B" w:rsidRPr="00DA405F">
        <w:rPr>
          <w:rFonts w:cs="Times New Roman"/>
          <w:color w:val="FF0000"/>
        </w:rPr>
        <w:t xml:space="preserve"> literature of </w:t>
      </w:r>
      <w:r w:rsidR="00EF0B60" w:rsidRPr="00DA405F">
        <w:rPr>
          <w:rFonts w:cs="Times New Roman"/>
          <w:color w:val="FF0000"/>
        </w:rPr>
        <w:t xml:space="preserve">human economic decision-making using auction tasks and why we consider the BDM an appealing choice for investigating the function of neuronal circuits of reward.  </w:t>
      </w:r>
    </w:p>
    <w:p w14:paraId="0BE97F1C" w14:textId="77777777" w:rsidR="004A71FF" w:rsidRPr="00DA405F" w:rsidRDefault="004A71FF" w:rsidP="004A71FF">
      <w:pPr>
        <w:pStyle w:val="Standard"/>
        <w:rPr>
          <w:rFonts w:cs="Times New Roman"/>
          <w:color w:val="FF0000"/>
        </w:rPr>
      </w:pPr>
    </w:p>
    <w:p w14:paraId="17BE1BFB" w14:textId="1933BB1A" w:rsidR="004A71FF" w:rsidRPr="00DA405F" w:rsidRDefault="004A71FF" w:rsidP="004A71FF">
      <w:pPr>
        <w:pStyle w:val="Standard"/>
        <w:rPr>
          <w:rFonts w:cs="Times New Roman"/>
          <w:color w:val="FF0000"/>
        </w:rPr>
      </w:pPr>
      <w:r w:rsidRPr="00DA405F">
        <w:rPr>
          <w:rFonts w:cs="Times New Roman"/>
          <w:color w:val="FF0000"/>
        </w:rPr>
        <w:t>In chapter 3 we detail a BDM</w:t>
      </w:r>
      <w:r w:rsidR="00FB794B" w:rsidRPr="00DA405F">
        <w:rPr>
          <w:rFonts w:cs="Times New Roman"/>
          <w:color w:val="FF0000"/>
        </w:rPr>
        <w:t xml:space="preserve"> auction</w:t>
      </w:r>
      <w:r w:rsidRPr="00DA405F">
        <w:rPr>
          <w:rFonts w:cs="Times New Roman"/>
          <w:color w:val="FF0000"/>
        </w:rPr>
        <w:t xml:space="preserve"> task we developed </w:t>
      </w:r>
      <w:r w:rsidR="00FB794B" w:rsidRPr="00DA405F">
        <w:rPr>
          <w:rFonts w:cs="Times New Roman"/>
          <w:color w:val="FF0000"/>
        </w:rPr>
        <w:t xml:space="preserve">and trained two rhesus macaques on. The behaviour of the primates on the task is explored and is compared to more traditional choice </w:t>
      </w:r>
    </w:p>
    <w:p w14:paraId="709D818D" w14:textId="657FE566" w:rsidR="00394D4F" w:rsidRPr="00DA405F" w:rsidRDefault="00394D4F" w:rsidP="004A71FF">
      <w:pPr>
        <w:pStyle w:val="Standard"/>
        <w:rPr>
          <w:rFonts w:cs="Times New Roman"/>
          <w:color w:val="FF0000"/>
        </w:rPr>
      </w:pPr>
    </w:p>
    <w:p w14:paraId="76905889" w14:textId="68C1E578" w:rsidR="00394D4F" w:rsidRPr="00DA405F" w:rsidRDefault="00394D4F" w:rsidP="004A71FF">
      <w:pPr>
        <w:pStyle w:val="Standard"/>
        <w:rPr>
          <w:rFonts w:cs="Times New Roman"/>
          <w:color w:val="FF0000"/>
        </w:rPr>
      </w:pPr>
      <w:r w:rsidRPr="00DA405F">
        <w:rPr>
          <w:rFonts w:cs="Times New Roman"/>
          <w:color w:val="FF0000"/>
        </w:rPr>
        <w:t>Chapter 4 concerns the electrophysiological recording of midbrain dopaminergic cells from two trained rhesus macaques. It begins with the single-cell recording procedure and the confirmation of the dopaminergic nature of recording cells. We then analyse the dataset produced to</w:t>
      </w:r>
    </w:p>
    <w:p w14:paraId="718D12B8" w14:textId="4C140CC9" w:rsidR="009F715E" w:rsidRPr="00DA405F" w:rsidRDefault="009F715E" w:rsidP="004A71FF">
      <w:pPr>
        <w:pStyle w:val="Standard"/>
        <w:rPr>
          <w:rFonts w:cs="Times New Roman"/>
          <w:color w:val="FF0000"/>
        </w:rPr>
      </w:pPr>
    </w:p>
    <w:p w14:paraId="383B633F" w14:textId="4366BBF9" w:rsidR="009F715E" w:rsidRPr="00DA405F" w:rsidRDefault="009F715E" w:rsidP="004A71FF">
      <w:pPr>
        <w:pStyle w:val="Standard"/>
        <w:rPr>
          <w:rFonts w:cs="Times New Roman"/>
          <w:color w:val="FF0000"/>
        </w:rPr>
      </w:pPr>
      <w:r w:rsidRPr="00DA405F">
        <w:rPr>
          <w:rFonts w:cs="Times New Roman"/>
          <w:color w:val="FF0000"/>
        </w:rPr>
        <w:t xml:space="preserve">In the final results chapter we take </w:t>
      </w:r>
      <w:r w:rsidR="001839E1" w:rsidRPr="00DA405F">
        <w:rPr>
          <w:rFonts w:cs="Times New Roman"/>
          <w:color w:val="FF0000"/>
        </w:rPr>
        <w:t xml:space="preserve">our findings from </w:t>
      </w:r>
    </w:p>
    <w:p w14:paraId="57462AFA" w14:textId="39EBABC3" w:rsidR="001839E1" w:rsidRPr="00DA405F" w:rsidRDefault="001839E1" w:rsidP="004A71FF">
      <w:pPr>
        <w:pStyle w:val="Standard"/>
        <w:rPr>
          <w:rFonts w:cs="Times New Roman"/>
          <w:color w:val="FF0000"/>
        </w:rPr>
      </w:pPr>
    </w:p>
    <w:p w14:paraId="799F3091" w14:textId="42A204CF" w:rsidR="006A087B" w:rsidRPr="00DA405F" w:rsidRDefault="001839E1" w:rsidP="006A087B">
      <w:pPr>
        <w:pStyle w:val="Standard"/>
        <w:rPr>
          <w:rFonts w:cs="Times New Roman"/>
          <w:color w:val="FF0000"/>
        </w:rPr>
      </w:pPr>
      <w:r w:rsidRPr="00DA405F">
        <w:rPr>
          <w:rFonts w:cs="Times New Roman"/>
          <w:color w:val="FF0000"/>
        </w:rPr>
        <w:t xml:space="preserve">Finally, we conclude by discussing </w:t>
      </w:r>
    </w:p>
    <w:p w14:paraId="5C9F452D" w14:textId="77777777" w:rsidR="006A087B" w:rsidRPr="00DA405F" w:rsidRDefault="006A087B" w:rsidP="006A087B">
      <w:pPr>
        <w:pStyle w:val="Standard"/>
        <w:rPr>
          <w:rFonts w:cs="Times New Roman"/>
          <w:color w:val="FF0000"/>
        </w:rPr>
      </w:pPr>
    </w:p>
    <w:p w14:paraId="27634F24" w14:textId="7A981154" w:rsidR="00754831" w:rsidRPr="00DA405F" w:rsidRDefault="00754831" w:rsidP="00754831">
      <w:pPr>
        <w:pStyle w:val="Textbody"/>
        <w:spacing w:after="160" w:line="225" w:lineRule="atLeast"/>
        <w:rPr>
          <w:rFonts w:cs="Times New Roman"/>
          <w:b/>
          <w:bCs/>
          <w:u w:val="single"/>
        </w:rPr>
      </w:pPr>
      <w:r w:rsidRPr="00DA405F">
        <w:rPr>
          <w:rFonts w:cs="Times New Roman"/>
          <w:b/>
          <w:bCs/>
          <w:u w:val="single"/>
        </w:rPr>
        <w:t>Organisms as utility maximisers</w:t>
      </w:r>
    </w:p>
    <w:p w14:paraId="5401B34C" w14:textId="3C869C26" w:rsidR="00DB09FD" w:rsidRPr="00DA405F" w:rsidRDefault="00754831" w:rsidP="00754831">
      <w:pPr>
        <w:rPr>
          <w:rFonts w:ascii="Times New Roman" w:hAnsi="Times New Roman" w:cs="Times New Roman"/>
          <w:sz w:val="24"/>
          <w:szCs w:val="24"/>
        </w:rPr>
      </w:pPr>
      <w:r w:rsidRPr="00DA405F">
        <w:rPr>
          <w:rFonts w:ascii="Times New Roman" w:hAnsi="Times New Roman" w:cs="Times New Roman"/>
          <w:sz w:val="24"/>
          <w:szCs w:val="24"/>
        </w:rPr>
        <w:t xml:space="preserve">The choice of all possible actions in the world is potentially infinite, yet each organism only has a limited amount of time, effort, and (in the case of humans) money they can expend. As such, a key function of the brain is to accumulate the evidence needed to whittle down choices and eventually decide on the single course of action that will benefit the organism most over the </w:t>
      </w:r>
      <w:r w:rsidR="00A31722" w:rsidRPr="00DA405F">
        <w:rPr>
          <w:rFonts w:ascii="Times New Roman" w:hAnsi="Times New Roman" w:cs="Times New Roman"/>
          <w:sz w:val="24"/>
          <w:szCs w:val="24"/>
        </w:rPr>
        <w:t xml:space="preserve">duration </w:t>
      </w:r>
      <w:r w:rsidRPr="00DA405F">
        <w:rPr>
          <w:rFonts w:ascii="Times New Roman" w:hAnsi="Times New Roman" w:cs="Times New Roman"/>
          <w:sz w:val="24"/>
          <w:szCs w:val="24"/>
        </w:rPr>
        <w:t>of its remaining lifespan.</w:t>
      </w:r>
      <w:r w:rsidR="009F6C6D" w:rsidRPr="00DA405F">
        <w:rPr>
          <w:rFonts w:ascii="Times New Roman" w:hAnsi="Times New Roman" w:cs="Times New Roman"/>
          <w:sz w:val="24"/>
          <w:szCs w:val="24"/>
        </w:rPr>
        <w:t xml:space="preserve"> On the simplest level, organisms are compelled to travel or grow towards increasing gradients of the chemicals they require to survive and propagate their genes.</w:t>
      </w:r>
      <w:r w:rsidR="00A31722" w:rsidRPr="00DA405F">
        <w:rPr>
          <w:rFonts w:ascii="Times New Roman" w:hAnsi="Times New Roman" w:cs="Times New Roman"/>
          <w:sz w:val="24"/>
          <w:szCs w:val="24"/>
        </w:rPr>
        <w:t xml:space="preserve"> In evolutionary biological terms, they maximise their ‘reproductive fitness’.</w:t>
      </w:r>
    </w:p>
    <w:p w14:paraId="53C49C2E" w14:textId="6E3F6748" w:rsidR="002D2F48" w:rsidRPr="00DA405F" w:rsidRDefault="00D6368E" w:rsidP="00754831">
      <w:pPr>
        <w:rPr>
          <w:rFonts w:ascii="Times New Roman" w:hAnsi="Times New Roman" w:cs="Times New Roman"/>
          <w:color w:val="222222"/>
          <w:sz w:val="24"/>
          <w:szCs w:val="24"/>
        </w:rPr>
      </w:pPr>
      <w:r w:rsidRPr="00DA405F">
        <w:rPr>
          <w:rFonts w:ascii="Times New Roman" w:hAnsi="Times New Roman" w:cs="Times New Roman"/>
          <w:sz w:val="24"/>
          <w:szCs w:val="24"/>
        </w:rPr>
        <w:t xml:space="preserve">In </w:t>
      </w:r>
      <w:r w:rsidR="002D2F48" w:rsidRPr="00DA405F">
        <w:rPr>
          <w:rFonts w:ascii="Times New Roman" w:hAnsi="Times New Roman" w:cs="Times New Roman"/>
          <w:sz w:val="24"/>
          <w:szCs w:val="24"/>
        </w:rPr>
        <w:t>C. elegans</w:t>
      </w:r>
      <w:r w:rsidRPr="00DA405F">
        <w:rPr>
          <w:rFonts w:ascii="Times New Roman" w:hAnsi="Times New Roman" w:cs="Times New Roman"/>
          <w:sz w:val="24"/>
          <w:szCs w:val="24"/>
        </w:rPr>
        <w:t xml:space="preserve">, </w:t>
      </w:r>
      <w:r w:rsidRPr="00DA405F">
        <w:rPr>
          <w:rFonts w:ascii="Times New Roman" w:hAnsi="Times New Roman" w:cs="Times New Roman"/>
          <w:color w:val="222222"/>
          <w:sz w:val="24"/>
          <w:szCs w:val="24"/>
        </w:rPr>
        <w:t xml:space="preserve">the decision to move forwards or backwards is simply an integration of the evidence for or against a chemical in its vicinity </w:t>
      </w:r>
      <w:r w:rsidRPr="00DA405F">
        <w:rPr>
          <w:rFonts w:ascii="Times New Roman" w:hAnsi="Times New Roman" w:cs="Times New Roman"/>
          <w:color w:val="222222"/>
          <w:sz w:val="24"/>
          <w:szCs w:val="24"/>
        </w:rPr>
        <w:fldChar w:fldCharType="begin" w:fldLock="1"/>
      </w:r>
      <w:r w:rsidRPr="00DA405F">
        <w:rPr>
          <w:rFonts w:ascii="Times New Roman" w:hAnsi="Times New Roman" w:cs="Times New Roman"/>
          <w:color w:val="222222"/>
          <w:sz w:val="24"/>
          <w:szCs w:val="24"/>
        </w:rPr>
        <w:instrText>ADDIN CSL_CITATION {"citationItems":[{"id":"ITEM-1","itemData":{"DOI":"10.7554/eLife.21629","ISSN":"2050084X","PMID":"28532547","abstract":"Brains regulate behavioral responses with distinct timings. Here we investigate the cellular and molecular mechanisms underlying the timing of decision-making during olfactory navigation in Caenorhabditis elegans. We find that, based on subtle changes in odor concentrations, the animals appear to choose the appropriate migratory direction from multiple trials as a form of behavioral decision-making. Through optophysiological, mathematical and genetic analyses of neural activity under virtual odor gradients, we further find that odor concentration information is temporally integrated for a decision by a gradual increase in intracellular calcium concentration ([Ca2+]i), which occurs via L-type voltage-gated calcium channels in a pair of olfactory neurons. In contrast, for a reflex-like behavioral response, [Ca2+]i rapidly increases via multiple types of calcium channels in a pair of nociceptive neurons. Thus, the timing of neuronal responses is determined by cell type-dependent involvement of calcium channels, which may serve as a cellular basis for decision-making.","author":[{"dropping-particle":"","family":"Tanimoto","given":"Yuki","non-dropping-particle":"","parse-names":false,"suffix":""},{"dropping-particle":"","family":"Yamazoe-Umemoto","given":"Akiko","non-dropping-particle":"","parse-names":false,"suffix":""},{"dropping-particle":"","family":"Fujita","given":"Kosuke","non-dropping-particle":"","parse-names":false,"suffix":""},{"dropping-particle":"","family":"Kawazoe","given":"Yuya","non-dropping-particle":"","parse-names":false,"suffix":""},{"dropping-particle":"","family":"Miyanishi","given":"Yosuke","non-dropping-particle":"","parse-names":false,"suffix":""},{"dropping-particle":"","family":"Yamazaki","given":"Shuhei J.","non-dropping-particle":"","parse-names":false,"suffix":""},{"dropping-particle":"","family":"Fei","given":"Xianfeng","non-dropping-particle":"","parse-names":false,"suffix":""},{"dropping-particle":"","family":"Busch","given":"Karl Emanuel","non-dropping-particle":"","parse-names":false,"suffix":""},{"dropping-particle":"","family":"Gengyo-Ando","given":"Keiko","non-dropping-particle":"","parse-names":false,"suffix":""},{"dropping-particle":"","family":"Nakai","given":"Junichi","non-dropping-particle":"","parse-names":false,"suffix":""},{"dropping-particle":"","family":"Iino","given":"Yuichi","non-dropping-particle":"","parse-names":false,"suffix":""},{"dropping-particle":"","family":"Iwasaki","given":"Yuishi","non-dropping-particle":"","parse-names":false,"suffix":""},{"dropping-particle":"","family":"Hashimoto","given":"Koichi","non-dropping-particle":"","parse-names":false,"suffix":""},{"dropping-particle":"","family":"Kimura","given":"Koutarou D.","non-dropping-particle":"","parse-names":false,"suffix":""}],"container-title":"eLife","id":"ITEM-1","issued":{"date-parts":[["2017"]]},"page":"1-30","title":"Calcium dynamics regulating the timing of decision-making in C. Elegans","type":"article-journal","volume":"6"},"uris":["http://www.mendeley.com/documents/?uuid=25e4ee1c-f270-475f-ab9e-63fb90f5171c"]}],"mendeley":{"formattedCitation":"(Tanimoto et al., 2017)","plainTextFormattedCitation":"(Tanimoto et al., 2017)","previouslyFormattedCitation":"(Tanimoto et al., 2017)"},"properties":{"noteIndex":0},"schema":"https://github.com/citation-style-language/schema/raw/master/csl-citation.json"}</w:instrText>
      </w:r>
      <w:r w:rsidRPr="00DA405F">
        <w:rPr>
          <w:rFonts w:ascii="Times New Roman" w:hAnsi="Times New Roman" w:cs="Times New Roman"/>
          <w:color w:val="222222"/>
          <w:sz w:val="24"/>
          <w:szCs w:val="24"/>
        </w:rPr>
        <w:fldChar w:fldCharType="separate"/>
      </w:r>
      <w:r w:rsidRPr="00DA405F">
        <w:rPr>
          <w:rFonts w:ascii="Times New Roman" w:hAnsi="Times New Roman" w:cs="Times New Roman"/>
          <w:noProof/>
          <w:color w:val="222222"/>
          <w:sz w:val="24"/>
          <w:szCs w:val="24"/>
        </w:rPr>
        <w:t>(Tanimoto et al., 2017)</w:t>
      </w:r>
      <w:r w:rsidRPr="00DA405F">
        <w:rPr>
          <w:rFonts w:ascii="Times New Roman" w:hAnsi="Times New Roman" w:cs="Times New Roman"/>
          <w:color w:val="222222"/>
          <w:sz w:val="24"/>
          <w:szCs w:val="24"/>
        </w:rPr>
        <w:fldChar w:fldCharType="end"/>
      </w:r>
      <w:r w:rsidRPr="00DA405F">
        <w:rPr>
          <w:rFonts w:ascii="Times New Roman" w:hAnsi="Times New Roman" w:cs="Times New Roman"/>
          <w:color w:val="222222"/>
          <w:sz w:val="24"/>
          <w:szCs w:val="24"/>
        </w:rPr>
        <w:t xml:space="preserve">. </w:t>
      </w:r>
      <w:r w:rsidR="002D2F48" w:rsidRPr="00DA405F">
        <w:rPr>
          <w:rFonts w:ascii="Times New Roman" w:hAnsi="Times New Roman" w:cs="Times New Roman"/>
          <w:color w:val="222222"/>
          <w:sz w:val="24"/>
          <w:szCs w:val="24"/>
        </w:rPr>
        <w:t xml:space="preserve">Such decisions are perceptual in that they deal with some external, observable quantity in the outside world. Regardless of whether the worm </w:t>
      </w:r>
      <w:r w:rsidR="001E3B27" w:rsidRPr="00DA405F">
        <w:rPr>
          <w:rFonts w:ascii="Times New Roman" w:hAnsi="Times New Roman" w:cs="Times New Roman"/>
          <w:color w:val="222222"/>
          <w:sz w:val="24"/>
          <w:szCs w:val="24"/>
        </w:rPr>
        <w:t xml:space="preserve">makes the </w:t>
      </w:r>
      <w:r w:rsidR="002D2F48" w:rsidRPr="00DA405F">
        <w:rPr>
          <w:rFonts w:ascii="Times New Roman" w:hAnsi="Times New Roman" w:cs="Times New Roman"/>
          <w:color w:val="222222"/>
          <w:sz w:val="24"/>
          <w:szCs w:val="24"/>
        </w:rPr>
        <w:t xml:space="preserve">decision </w:t>
      </w:r>
      <w:r w:rsidR="001E3B27" w:rsidRPr="00DA405F">
        <w:rPr>
          <w:rFonts w:ascii="Times New Roman" w:hAnsi="Times New Roman" w:cs="Times New Roman"/>
          <w:color w:val="222222"/>
          <w:sz w:val="24"/>
          <w:szCs w:val="24"/>
        </w:rPr>
        <w:t xml:space="preserve">to move away (in the case of this study) from a noxious chemical, there exists a unidimensional scale of </w:t>
      </w:r>
      <w:r w:rsidR="005569B4">
        <w:rPr>
          <w:rFonts w:ascii="Times New Roman" w:hAnsi="Times New Roman" w:cs="Times New Roman"/>
          <w:color w:val="222222"/>
          <w:sz w:val="24"/>
          <w:szCs w:val="24"/>
        </w:rPr>
        <w:t>the decision variable</w:t>
      </w:r>
      <w:r w:rsidR="001E3B27" w:rsidRPr="00DA405F">
        <w:rPr>
          <w:rFonts w:ascii="Times New Roman" w:hAnsi="Times New Roman" w:cs="Times New Roman"/>
          <w:color w:val="222222"/>
          <w:sz w:val="24"/>
          <w:szCs w:val="24"/>
        </w:rPr>
        <w:t xml:space="preserve"> (i.e. strength of concentration gradient) which behaviour can be regressed against.</w:t>
      </w:r>
    </w:p>
    <w:p w14:paraId="133BBC38" w14:textId="3F17CF2D" w:rsidR="001E3B27" w:rsidRPr="00DA405F" w:rsidRDefault="001E3B27" w:rsidP="00754831">
      <w:pPr>
        <w:rPr>
          <w:rFonts w:ascii="Times New Roman" w:hAnsi="Times New Roman" w:cs="Times New Roman"/>
          <w:color w:val="222222"/>
          <w:sz w:val="24"/>
          <w:szCs w:val="24"/>
        </w:rPr>
      </w:pPr>
      <w:r w:rsidRPr="00DA405F">
        <w:rPr>
          <w:rFonts w:ascii="Times New Roman" w:hAnsi="Times New Roman" w:cs="Times New Roman"/>
          <w:color w:val="222222"/>
          <w:sz w:val="24"/>
          <w:szCs w:val="24"/>
        </w:rPr>
        <w:t xml:space="preserve">Rhesus macaques and human participants in neuropsychological studies are able to produce similar perceptual decisions when presented with an array of randomly moving dots and the chance to win a reward (juice or money) if they can guess the correct aggregate direction </w:t>
      </w:r>
      <w:r w:rsidRPr="00DA405F">
        <w:rPr>
          <w:rFonts w:ascii="Times New Roman" w:hAnsi="Times New Roman" w:cs="Times New Roman"/>
          <w:color w:val="222222"/>
          <w:sz w:val="24"/>
          <w:szCs w:val="24"/>
        </w:rPr>
        <w:fldChar w:fldCharType="begin" w:fldLock="1"/>
      </w:r>
      <w:r w:rsidR="00046C39" w:rsidRPr="00DA405F">
        <w:rPr>
          <w:rFonts w:ascii="Times New Roman" w:hAnsi="Times New Roman" w:cs="Times New Roman"/>
          <w:color w:val="222222"/>
          <w:sz w:val="24"/>
          <w:szCs w:val="24"/>
        </w:rPr>
        <w:instrText>ADDIN CSL_CITATION {"citationItems":[{"id":"ITEM-1","itemData":{"DOI":"10.1152/jn.2001.86.4.1916","ISSN":"00223077","PMID":"11600651","abstract":"We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movement.","author":[{"dropping-particle":"","family":"Shadlen","given":"Michael N.","non-dropping-particle":"","parse-names":false,"suffix":""},{"dropping-particle":"","family":"Newsome","given":"William T.","non-dropping-particle":"","parse-names":false,"suffix":""}],"container-title":"Journal of Neurophysiology","id":"ITEM-1","issue":"4","issued":{"date-parts":[["2001"]]},"page":"1916-1936","title":"Neural basis of a perceptual decision in the parietal cortex (area LIP) of the rhesus monkey","type":"article-journal","volume":"86"},"uris":["http://www.mendeley.com/documents/?uuid=085a6de2-c3ba-40d1-ade9-c041f7624f95"]}],"mendeley":{"formattedCitation":"(Shadlen &amp; Newsome, 2001)","plainTextFormattedCitation":"(Shadlen &amp; Newsome, 2001)","previouslyFormattedCitation":"(Shadlen &amp; Newsome, 2001)"},"properties":{"noteIndex":0},"schema":"https://github.com/citation-style-language/schema/raw/master/csl-citation.json"}</w:instrText>
      </w:r>
      <w:r w:rsidRPr="00DA405F">
        <w:rPr>
          <w:rFonts w:ascii="Times New Roman" w:hAnsi="Times New Roman" w:cs="Times New Roman"/>
          <w:color w:val="222222"/>
          <w:sz w:val="24"/>
          <w:szCs w:val="24"/>
        </w:rPr>
        <w:fldChar w:fldCharType="separate"/>
      </w:r>
      <w:r w:rsidRPr="00DA405F">
        <w:rPr>
          <w:rFonts w:ascii="Times New Roman" w:hAnsi="Times New Roman" w:cs="Times New Roman"/>
          <w:noProof/>
          <w:color w:val="222222"/>
          <w:sz w:val="24"/>
          <w:szCs w:val="24"/>
        </w:rPr>
        <w:t>(Shadlen &amp; Newsome, 2001)</w:t>
      </w:r>
      <w:r w:rsidRPr="00DA405F">
        <w:rPr>
          <w:rFonts w:ascii="Times New Roman" w:hAnsi="Times New Roman" w:cs="Times New Roman"/>
          <w:color w:val="222222"/>
          <w:sz w:val="24"/>
          <w:szCs w:val="24"/>
        </w:rPr>
        <w:fldChar w:fldCharType="end"/>
      </w:r>
      <w:r w:rsidRPr="00DA405F">
        <w:rPr>
          <w:rFonts w:ascii="Times New Roman" w:hAnsi="Times New Roman" w:cs="Times New Roman"/>
          <w:color w:val="222222"/>
          <w:sz w:val="24"/>
          <w:szCs w:val="24"/>
        </w:rPr>
        <w:t xml:space="preserve">. A </w:t>
      </w:r>
      <w:r w:rsidR="007C6AA6">
        <w:rPr>
          <w:rFonts w:ascii="Times New Roman" w:hAnsi="Times New Roman" w:cs="Times New Roman"/>
          <w:color w:val="222222"/>
          <w:sz w:val="24"/>
          <w:szCs w:val="24"/>
        </w:rPr>
        <w:t xml:space="preserve">competent </w:t>
      </w:r>
      <w:r w:rsidRPr="00DA405F">
        <w:rPr>
          <w:rFonts w:ascii="Times New Roman" w:hAnsi="Times New Roman" w:cs="Times New Roman"/>
          <w:color w:val="222222"/>
          <w:sz w:val="24"/>
          <w:szCs w:val="24"/>
        </w:rPr>
        <w:t>programmer can define exactly the coherence of the dots movement without having to know a single thing about the organism participating in the task</w:t>
      </w:r>
      <w:r w:rsidR="00810FFE" w:rsidRPr="00CD3967">
        <w:rPr>
          <w:rStyle w:val="FootnoteReference"/>
        </w:rPr>
        <w:footnoteReference w:id="2"/>
      </w:r>
      <w:r w:rsidRPr="00DA405F">
        <w:rPr>
          <w:rFonts w:ascii="Times New Roman" w:hAnsi="Times New Roman" w:cs="Times New Roman"/>
          <w:color w:val="222222"/>
          <w:sz w:val="24"/>
          <w:szCs w:val="24"/>
        </w:rPr>
        <w:t>.</w:t>
      </w:r>
    </w:p>
    <w:p w14:paraId="36DDC751" w14:textId="04EE8EDC" w:rsidR="00754831" w:rsidRPr="00DA405F" w:rsidRDefault="001E3B27" w:rsidP="002D2F48">
      <w:pPr>
        <w:rPr>
          <w:rFonts w:ascii="Times New Roman" w:hAnsi="Times New Roman" w:cs="Times New Roman"/>
          <w:sz w:val="24"/>
          <w:szCs w:val="24"/>
        </w:rPr>
      </w:pPr>
      <w:r w:rsidRPr="00DA405F">
        <w:rPr>
          <w:rFonts w:ascii="Times New Roman" w:hAnsi="Times New Roman" w:cs="Times New Roman"/>
          <w:color w:val="222222"/>
          <w:sz w:val="24"/>
          <w:szCs w:val="24"/>
        </w:rPr>
        <w:lastRenderedPageBreak/>
        <w:t xml:space="preserve">In economic tasks, there is no such external dimension which dictates a correct choice between alternatives and the difficulty of that choice. </w:t>
      </w:r>
      <w:r w:rsidR="009435EA" w:rsidRPr="00DA405F">
        <w:rPr>
          <w:rFonts w:ascii="Times New Roman" w:hAnsi="Times New Roman" w:cs="Times New Roman"/>
          <w:color w:val="222222"/>
          <w:sz w:val="24"/>
          <w:szCs w:val="24"/>
        </w:rPr>
        <w:t xml:space="preserve">Even in token economies developed by humans, people frequently make choices which do not maximise monetary value. For </w:t>
      </w:r>
      <w:r w:rsidR="00046C39" w:rsidRPr="00DA405F">
        <w:rPr>
          <w:rFonts w:ascii="Times New Roman" w:hAnsi="Times New Roman" w:cs="Times New Roman"/>
          <w:color w:val="222222"/>
          <w:sz w:val="24"/>
          <w:szCs w:val="24"/>
        </w:rPr>
        <w:t xml:space="preserve">example, it is not uncommon for individuals to both seek risk and buy lottery tickets and avoid risk by paying insurance premiums, despite both having a negative expected value in units of currency </w:t>
      </w:r>
      <w:r w:rsidR="00046C39" w:rsidRPr="00DA405F">
        <w:rPr>
          <w:rFonts w:ascii="Times New Roman" w:hAnsi="Times New Roman" w:cs="Times New Roman"/>
          <w:color w:val="222222"/>
          <w:sz w:val="24"/>
          <w:szCs w:val="24"/>
        </w:rPr>
        <w:fldChar w:fldCharType="begin" w:fldLock="1"/>
      </w:r>
      <w:r w:rsidR="00375DE3" w:rsidRPr="00DA405F">
        <w:rPr>
          <w:rFonts w:ascii="Times New Roman" w:hAnsi="Times New Roman" w:cs="Times New Roman"/>
          <w:color w:val="222222"/>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approach.","author":[{"dropping-particle":"","family":"Friedman","given":"M.","non-dropping-particle":"","parse-names":false,"suffix":""},{"dropping-particle":"","family":"Savage","given":"L. J.","non-dropping-particle":"","parse-names":false,"suffix":""}],"container-title":"Journal of Political Economy","id":"ITEM-1","issue":"4","issued":{"date-parts":[["1948"]]},"page":"279-304","title":"The Utility Analysis of Choices Involving Risk","type":"article-journal","volume":"56"},"uris":["http://www.mendeley.com/documents/?uuid=355abdba-1e4c-4328-a304-0e60e4849869"]}],"mendeley":{"formattedCitation":"(Friedman &amp; Savage, 1948)","plainTextFormattedCitation":"(Friedman &amp; Savage, 1948)","previouslyFormattedCitation":"(Friedman &amp; Savage, 1948)"},"properties":{"noteIndex":0},"schema":"https://github.com/citation-style-language/schema/raw/master/csl-citation.json"}</w:instrText>
      </w:r>
      <w:r w:rsidR="00046C39" w:rsidRPr="00DA405F">
        <w:rPr>
          <w:rFonts w:ascii="Times New Roman" w:hAnsi="Times New Roman" w:cs="Times New Roman"/>
          <w:color w:val="222222"/>
          <w:sz w:val="24"/>
          <w:szCs w:val="24"/>
        </w:rPr>
        <w:fldChar w:fldCharType="separate"/>
      </w:r>
      <w:r w:rsidR="00046C39" w:rsidRPr="00DA405F">
        <w:rPr>
          <w:rFonts w:ascii="Times New Roman" w:hAnsi="Times New Roman" w:cs="Times New Roman"/>
          <w:noProof/>
          <w:color w:val="222222"/>
          <w:sz w:val="24"/>
          <w:szCs w:val="24"/>
        </w:rPr>
        <w:t>(Friedman &amp; Savage, 1948)</w:t>
      </w:r>
      <w:r w:rsidR="00046C39" w:rsidRPr="00DA405F">
        <w:rPr>
          <w:rFonts w:ascii="Times New Roman" w:hAnsi="Times New Roman" w:cs="Times New Roman"/>
          <w:color w:val="222222"/>
          <w:sz w:val="24"/>
          <w:szCs w:val="24"/>
        </w:rPr>
        <w:fldChar w:fldCharType="end"/>
      </w:r>
      <w:r w:rsidR="00046C39" w:rsidRPr="00DA405F">
        <w:rPr>
          <w:rFonts w:ascii="Times New Roman" w:hAnsi="Times New Roman" w:cs="Times New Roman"/>
          <w:color w:val="222222"/>
          <w:sz w:val="24"/>
          <w:szCs w:val="24"/>
        </w:rPr>
        <w:t xml:space="preserve">. </w:t>
      </w:r>
      <w:r w:rsidR="009F7A42" w:rsidRPr="00DA405F">
        <w:rPr>
          <w:rFonts w:ascii="Times New Roman" w:hAnsi="Times New Roman" w:cs="Times New Roman"/>
          <w:color w:val="222222"/>
          <w:sz w:val="24"/>
          <w:szCs w:val="24"/>
        </w:rPr>
        <w:t xml:space="preserve">Even for certain goods, it is plain to see that a cheeseburger has more </w:t>
      </w:r>
      <w:r w:rsidR="002E1C34" w:rsidRPr="00DA405F">
        <w:rPr>
          <w:rFonts w:ascii="Times New Roman" w:hAnsi="Times New Roman" w:cs="Times New Roman"/>
          <w:color w:val="222222"/>
          <w:sz w:val="24"/>
          <w:szCs w:val="24"/>
        </w:rPr>
        <w:t>benefit</w:t>
      </w:r>
      <w:r w:rsidR="009F7A42" w:rsidRPr="00DA405F">
        <w:rPr>
          <w:rFonts w:ascii="Times New Roman" w:hAnsi="Times New Roman" w:cs="Times New Roman"/>
          <w:color w:val="222222"/>
          <w:sz w:val="24"/>
          <w:szCs w:val="24"/>
        </w:rPr>
        <w:t xml:space="preserve"> to a starving man than a piece of jewellery which may be many times its value</w:t>
      </w:r>
      <w:r w:rsidR="00136070" w:rsidRPr="00CD3967">
        <w:rPr>
          <w:rStyle w:val="FootnoteReference"/>
        </w:rPr>
        <w:footnoteReference w:id="3"/>
      </w:r>
      <w:r w:rsidR="009F7A42" w:rsidRPr="00DA405F">
        <w:rPr>
          <w:rFonts w:ascii="Times New Roman" w:hAnsi="Times New Roman" w:cs="Times New Roman"/>
          <w:color w:val="222222"/>
          <w:sz w:val="24"/>
          <w:szCs w:val="24"/>
        </w:rPr>
        <w:t>. Instead of comparing items against cost, people instead factor the monetary cost into some utility function which they use to maximise their own internal subjective value for goods.</w:t>
      </w:r>
    </w:p>
    <w:p w14:paraId="27DFD79E" w14:textId="7EED50B8" w:rsidR="00754831" w:rsidRPr="00DA405F" w:rsidRDefault="00754831" w:rsidP="00754831">
      <w:pPr>
        <w:pStyle w:val="Textbody"/>
        <w:spacing w:before="240" w:after="160" w:line="225" w:lineRule="atLeast"/>
        <w:rPr>
          <w:rFonts w:cs="Times New Roman"/>
          <w:color w:val="222222"/>
        </w:rPr>
      </w:pPr>
      <w:r w:rsidRPr="00DA405F">
        <w:rPr>
          <w:rFonts w:cs="Times New Roman"/>
          <w:color w:val="222222"/>
        </w:rPr>
        <w:t>This tendency for individuals to seek actions that maximise a utility function</w:t>
      </w:r>
      <w:r w:rsidR="006A5BAB" w:rsidRPr="00DA405F">
        <w:rPr>
          <w:rFonts w:cs="Times New Roman"/>
          <w:color w:val="222222"/>
        </w:rPr>
        <w:t>, rather than value,</w:t>
      </w:r>
      <w:r w:rsidRPr="00DA405F">
        <w:rPr>
          <w:rFonts w:cs="Times New Roman"/>
          <w:color w:val="222222"/>
        </w:rPr>
        <w:t xml:space="preserve"> was first described by Daniel Bernoulli in the 18</w:t>
      </w:r>
      <w:r w:rsidRPr="00DA405F">
        <w:rPr>
          <w:rFonts w:cs="Times New Roman"/>
          <w:color w:val="222222"/>
          <w:position w:val="7"/>
        </w:rPr>
        <w:t>th</w:t>
      </w:r>
      <w:r w:rsidRPr="00DA405F">
        <w:rPr>
          <w:rFonts w:cs="Times New Roman"/>
          <w:color w:val="222222"/>
        </w:rPr>
        <w:t xml:space="preserve"> century as an answer to the St. </w:t>
      </w:r>
      <w:r w:rsidR="005569B4" w:rsidRPr="00DA405F">
        <w:rPr>
          <w:rFonts w:cs="Times New Roman"/>
          <w:color w:val="222222"/>
        </w:rPr>
        <w:t>Petersburg</w:t>
      </w:r>
      <w:r w:rsidRPr="00DA405F">
        <w:rPr>
          <w:rFonts w:cs="Times New Roman"/>
          <w:color w:val="222222"/>
        </w:rPr>
        <w:t xml:space="preserve"> 'paradox'</w:t>
      </w:r>
      <w:r w:rsidR="0058545C">
        <w:rPr>
          <w:rFonts w:cs="Times New Roman"/>
          <w:color w:val="222222"/>
        </w:rPr>
        <w:t xml:space="preserve"> </w:t>
      </w:r>
      <w:r w:rsidR="0058545C">
        <w:rPr>
          <w:rFonts w:cs="Times New Roman"/>
          <w:color w:val="222222"/>
        </w:rPr>
        <w:fldChar w:fldCharType="begin" w:fldLock="1"/>
      </w:r>
      <w:r w:rsidR="00551993">
        <w:rPr>
          <w:rFonts w:cs="Times New Roman"/>
          <w:color w:val="222222"/>
        </w:rPr>
        <w:instrText>ADDIN CSL_CITATION {"citationItems":[{"id":"ITEM-1","itemData":{"author":[{"dropping-particle":"","family":"Bernoulli","given":"Daniel","non-dropping-particle":"","parse-names":false,"suffix":""}],"container-title":"Econometrica","id":"ITEM-1","issue":"1","issued":{"date-parts":[["1738"]]},"page":"23-36","title":"Exposition of a New Theory on the Measurement of Risk","type":"article-journal","volume":"22"},"uris":["http://www.mendeley.com/documents/?uuid=ac9701dc-8b5f-42e9-8cb1-2333386d4ac0"]}],"mendeley":{"formattedCitation":"(Bernoulli, 1738)","plainTextFormattedCitation":"(Bernoulli, 1738)","previouslyFormattedCitation":"(Bernoulli, 1738)"},"properties":{"noteIndex":0},"schema":"https://github.com/citation-style-language/schema/raw/master/csl-citation.json"}</w:instrText>
      </w:r>
      <w:r w:rsidR="0058545C">
        <w:rPr>
          <w:rFonts w:cs="Times New Roman"/>
          <w:color w:val="222222"/>
        </w:rPr>
        <w:fldChar w:fldCharType="separate"/>
      </w:r>
      <w:r w:rsidR="0058545C" w:rsidRPr="0058545C">
        <w:rPr>
          <w:rFonts w:cs="Times New Roman"/>
          <w:noProof/>
          <w:color w:val="222222"/>
        </w:rPr>
        <w:t>(Bernoulli, 1738)</w:t>
      </w:r>
      <w:r w:rsidR="0058545C">
        <w:rPr>
          <w:rFonts w:cs="Times New Roman"/>
          <w:color w:val="222222"/>
        </w:rPr>
        <w:fldChar w:fldCharType="end"/>
      </w:r>
      <w:r w:rsidRPr="00DA405F">
        <w:rPr>
          <w:rFonts w:cs="Times New Roman"/>
          <w:color w:val="222222"/>
        </w:rPr>
        <w:t xml:space="preserve">. In this thought experiment, a player is offered the chance to buy into a lottery where a coin will be flipped </w:t>
      </w:r>
      <m:oMath>
        <m:r>
          <m:rPr>
            <m:sty m:val="bi"/>
          </m:rPr>
          <w:rPr>
            <w:rFonts w:ascii="Cambria Math" w:hAnsi="Cambria Math" w:cs="Times New Roman"/>
            <w:color w:val="222222"/>
          </w:rPr>
          <m:t>n</m:t>
        </m:r>
      </m:oMath>
      <w:r w:rsidRPr="00DA405F">
        <w:rPr>
          <w:rFonts w:cs="Times New Roman"/>
          <w:b/>
          <w:bCs/>
          <w:color w:val="222222"/>
        </w:rPr>
        <w:t xml:space="preserve"> </w:t>
      </w:r>
      <w:r w:rsidRPr="00DA405F">
        <w:rPr>
          <w:rFonts w:cs="Times New Roman"/>
          <w:color w:val="222222"/>
        </w:rPr>
        <w:t xml:space="preserve">times until it lands on heads. At that point, the player will be paid out </w:t>
      </w:r>
      <m:oMath>
        <m:sSup>
          <m:sSupPr>
            <m:ctrlPr>
              <w:rPr>
                <w:rFonts w:ascii="Cambria Math" w:hAnsi="Cambria Math" w:cs="Times New Roman"/>
                <w:b/>
                <w:bCs/>
                <w:i/>
                <w:color w:val="222222"/>
              </w:rPr>
            </m:ctrlPr>
          </m:sSupPr>
          <m:e>
            <m:r>
              <m:rPr>
                <m:sty m:val="bi"/>
              </m:rPr>
              <w:rPr>
                <w:rFonts w:ascii="Cambria Math" w:hAnsi="Cambria Math" w:cs="Times New Roman"/>
                <w:color w:val="222222"/>
              </w:rPr>
              <m:t>2</m:t>
            </m:r>
          </m:e>
          <m:sup>
            <m:r>
              <m:rPr>
                <m:sty m:val="bi"/>
              </m:rPr>
              <w:rPr>
                <w:rFonts w:ascii="Cambria Math" w:hAnsi="Cambria Math" w:cs="Times New Roman"/>
                <w:color w:val="222222"/>
              </w:rPr>
              <m:t>n</m:t>
            </m:r>
          </m:sup>
        </m:sSup>
      </m:oMath>
      <w:r w:rsidRPr="00DA405F">
        <w:rPr>
          <w:rFonts w:cs="Times New Roman"/>
          <w:color w:val="222222"/>
        </w:rPr>
        <w:t xml:space="preserve"> dollars. The first five terms of the expected value (</w:t>
      </w:r>
      <m:oMath>
        <m:r>
          <m:rPr>
            <m:sty m:val="bi"/>
          </m:rPr>
          <w:rPr>
            <w:rFonts w:ascii="Cambria Math" w:hAnsi="Cambria Math" w:cs="Times New Roman"/>
            <w:color w:val="222222"/>
          </w:rPr>
          <m:t>EV</m:t>
        </m:r>
      </m:oMath>
      <w:r w:rsidRPr="00DA405F">
        <w:rPr>
          <w:rFonts w:cs="Times New Roman"/>
          <w:color w:val="222222"/>
        </w:rPr>
        <w:t>) of this game are equal to the chance of each outcome (</w:t>
      </w:r>
      <m:oMath>
        <m:r>
          <m:rPr>
            <m:sty m:val="bi"/>
          </m:rPr>
          <w:rPr>
            <w:rFonts w:ascii="Cambria Math" w:hAnsi="Cambria Math" w:cs="Times New Roman"/>
            <w:color w:val="222222"/>
          </w:rPr>
          <m:t>p(</m:t>
        </m:r>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EF78DA">
        <w:rPr>
          <w:rFonts w:cs="Times New Roman"/>
          <w:b/>
          <w:bCs/>
          <w:color w:val="222222"/>
        </w:rPr>
        <w:t>)</w:t>
      </w:r>
      <w:r w:rsidR="00EF78DA" w:rsidRPr="00EF78DA">
        <w:rPr>
          <w:rFonts w:cs="Times New Roman"/>
          <w:color w:val="222222"/>
        </w:rPr>
        <w:t>)</w:t>
      </w:r>
      <w:r w:rsidRPr="00DA405F">
        <w:rPr>
          <w:rFonts w:cs="Times New Roman"/>
          <w:color w:val="222222"/>
        </w:rPr>
        <w:t xml:space="preserve"> multiplied by the magnitude of that outcome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color w:val="222222"/>
        </w:rPr>
        <w:t>), and are as follows:</w:t>
      </w:r>
      <w:r w:rsidRPr="00DA405F">
        <w:rPr>
          <w:rFonts w:cs="Times New Roman"/>
          <w:color w:val="222222"/>
        </w:rPr>
        <w:br/>
      </w:r>
    </w:p>
    <w:p w14:paraId="515FA370" w14:textId="3677B4BD" w:rsidR="00754831" w:rsidRPr="00DA405F" w:rsidRDefault="00754831" w:rsidP="00754831">
      <w:pPr>
        <w:pStyle w:val="Caption"/>
        <w:keepNext/>
        <w:rPr>
          <w:rFonts w:cs="Times New Roman"/>
        </w:rPr>
      </w:pPr>
      <w:r w:rsidRPr="00DA405F">
        <w:rPr>
          <w:rFonts w:cs="Times New Roman"/>
        </w:rPr>
        <w:t xml:space="preserve">Equation </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1150D8">
        <w:rPr>
          <w:rFonts w:cs="Times New Roman"/>
          <w:noProof/>
        </w:rPr>
        <w:t>1</w:t>
      </w:r>
      <w:r w:rsidRPr="00DA405F">
        <w:rPr>
          <w:rFonts w:cs="Times New Roman"/>
        </w:rPr>
        <w:fldChar w:fldCharType="end"/>
      </w:r>
      <w:r w:rsidRPr="00DA405F">
        <w:rPr>
          <w:rFonts w:cs="Times New Roman"/>
        </w:rPr>
        <w:t>.1</w:t>
      </w:r>
    </w:p>
    <w:p w14:paraId="5D0DCDC3" w14:textId="5F785365" w:rsidR="00754831" w:rsidRPr="00DA405F" w:rsidRDefault="004540CE" w:rsidP="00754831">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EV</m:t>
              </m:r>
            </m:e>
            <m:sub>
              <m:r>
                <w:rPr>
                  <w:rFonts w:ascii="Cambria Math" w:hAnsi="Cambria Math" w:cs="Times New Roman"/>
                  <w:color w:val="222222"/>
                </w:rPr>
                <m:t>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m:oMathPara>
    </w:p>
    <w:p w14:paraId="759B9604" w14:textId="77777777" w:rsidR="00754831" w:rsidRPr="00DA405F" w:rsidRDefault="00754831"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EV = </m:t>
          </m:r>
          <m:nary>
            <m:naryPr>
              <m:chr m:val="∑"/>
              <m:limLoc m:val="undOvr"/>
              <m:ctrlPr>
                <w:rPr>
                  <w:rFonts w:ascii="Cambria Math" w:hAnsi="Cambria Math" w:cs="Times New Roman"/>
                  <w:i/>
                  <w:color w:val="222222"/>
                </w:rPr>
              </m:ctrlPr>
            </m:naryPr>
            <m:sub>
              <m:r>
                <w:rPr>
                  <w:rFonts w:ascii="Cambria Math" w:hAnsi="Cambria Math" w:cs="Times New Roman"/>
                  <w:color w:val="222222"/>
                </w:rPr>
                <m:t>n = 1</m:t>
              </m:r>
            </m:sub>
            <m:sup>
              <m:r>
                <w:rPr>
                  <w:rFonts w:ascii="Cambria Math" w:hAnsi="Cambria Math" w:cs="Times New Roman"/>
                  <w:color w:val="4D5156"/>
                  <w:shd w:val="clear" w:color="auto" w:fill="FFFFFF"/>
                </w:rPr>
                <m:t>∞</m:t>
              </m:r>
            </m:sup>
            <m:e>
              <m:sSup>
                <m:sSupPr>
                  <m:ctrlPr>
                    <w:rPr>
                      <w:rFonts w:ascii="Cambria Math" w:hAnsi="Cambria Math" w:cs="Times New Roman"/>
                      <w:i/>
                      <w:color w:val="222222"/>
                    </w:rPr>
                  </m:ctrlPr>
                </m:sSupPr>
                <m:e>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e>
                  </m:d>
                </m:e>
                <m:sup>
                  <m:r>
                    <w:rPr>
                      <w:rFonts w:ascii="Cambria Math" w:hAnsi="Cambria Math" w:cs="Times New Roman"/>
                      <w:color w:val="222222"/>
                    </w:rPr>
                    <m:t>n</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e>
          </m:nary>
        </m:oMath>
      </m:oMathPara>
    </w:p>
    <w:p w14:paraId="6CD71209" w14:textId="77777777" w:rsidR="00754831" w:rsidRPr="00DA405F" w:rsidRDefault="00754831"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EV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r>
                <w:rPr>
                  <w:rFonts w:ascii="Cambria Math" w:hAnsi="Cambria Math" w:cs="Times New Roman"/>
                </w:rPr>
                <m:t>⋅</m:t>
              </m:r>
              <m:r>
                <w:rPr>
                  <w:rFonts w:ascii="Cambria Math" w:hAnsi="Cambria Math" w:cs="Times New Roman"/>
                  <w:color w:val="222222"/>
                </w:rPr>
                <m:t>2</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4</m:t>
                  </m:r>
                </m:den>
              </m:f>
              <m:r>
                <w:rPr>
                  <w:rFonts w:ascii="Cambria Math" w:hAnsi="Cambria Math" w:cs="Times New Roman"/>
                </w:rPr>
                <m:t>⋅</m:t>
              </m:r>
              <m:r>
                <w:rPr>
                  <w:rFonts w:ascii="Cambria Math" w:hAnsi="Cambria Math" w:cs="Times New Roman"/>
                  <w:color w:val="222222"/>
                </w:rPr>
                <m:t>4</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8</m:t>
                  </m:r>
                </m:den>
              </m:f>
              <m:r>
                <w:rPr>
                  <w:rFonts w:ascii="Cambria Math" w:hAnsi="Cambria Math" w:cs="Times New Roman"/>
                </w:rPr>
                <m:t>⋅8</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16</m:t>
                  </m:r>
                </m:den>
              </m:f>
              <m:r>
                <w:rPr>
                  <w:rFonts w:ascii="Cambria Math" w:hAnsi="Cambria Math" w:cs="Times New Roman"/>
                </w:rPr>
                <m:t>⋅16</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32</m:t>
                  </m:r>
                </m:den>
              </m:f>
              <m:r>
                <w:rPr>
                  <w:rFonts w:ascii="Cambria Math" w:hAnsi="Cambria Math" w:cs="Times New Roman"/>
                </w:rPr>
                <m:t>⋅32</m:t>
              </m:r>
            </m:e>
          </m:d>
          <m:r>
            <w:rPr>
              <w:rFonts w:ascii="Cambria Math" w:hAnsi="Cambria Math" w:cs="Times New Roman"/>
              <w:color w:val="222222"/>
            </w:rPr>
            <m:t>... = 1 + 1 + 1 + 1 + 1 +....</m:t>
          </m:r>
        </m:oMath>
      </m:oMathPara>
    </w:p>
    <w:p w14:paraId="11DBC368" w14:textId="544B20D8" w:rsidR="00754831" w:rsidRPr="00DA405F" w:rsidRDefault="00754831" w:rsidP="00754831">
      <w:pPr>
        <w:pStyle w:val="Textbody"/>
        <w:spacing w:before="240" w:after="160" w:line="225" w:lineRule="atLeast"/>
        <w:rPr>
          <w:rFonts w:cs="Times New Roman"/>
        </w:rPr>
      </w:pPr>
      <w:r w:rsidRPr="00DA405F">
        <w:rPr>
          <w:rFonts w:cs="Times New Roman"/>
          <w:color w:val="222222"/>
        </w:rPr>
        <w:t>For instance, if a player bought into the lottery for $10 and the coin landed on heads on the third flip, the player would win $8 and make a total loss of $2. However, as the summation term</w:t>
      </w:r>
      <w:r w:rsidR="0095497C">
        <w:rPr>
          <w:rFonts w:cs="Times New Roman"/>
          <w:color w:val="222222"/>
        </w:rPr>
        <w:t xml:space="preserve"> in equation 1.1</w:t>
      </w:r>
      <w:r w:rsidRPr="00DA405F">
        <w:rPr>
          <w:rFonts w:cs="Times New Roman"/>
          <w:color w:val="222222"/>
        </w:rPr>
        <w:t xml:space="preserve"> </w:t>
      </w:r>
      <w:r w:rsidR="00AF2226">
        <w:rPr>
          <w:rFonts w:cs="Times New Roman"/>
          <w:color w:val="222222"/>
        </w:rPr>
        <w:t>is infinitely long</w:t>
      </w:r>
      <w:r w:rsidRPr="00DA405F">
        <w:rPr>
          <w:rFonts w:cs="Times New Roman"/>
          <w:color w:val="222222"/>
        </w:rPr>
        <w:t>, the expected value of the lottery becomes infinite. That is, a ‘rational’ player should be willing to spend an infinite amount to play this game. Clearly this defies common sense; it seems clear to an observer that any person who gambled away their life savings buying into the game would likely end up disappointed. In reality</w:t>
      </w:r>
      <w:r w:rsidR="00893C6E" w:rsidRPr="00DA405F">
        <w:rPr>
          <w:rFonts w:cs="Times New Roman"/>
          <w:color w:val="222222"/>
        </w:rPr>
        <w:t>,</w:t>
      </w:r>
      <w:r w:rsidRPr="00DA405F">
        <w:rPr>
          <w:rFonts w:cs="Times New Roman"/>
          <w:color w:val="222222"/>
        </w:rPr>
        <w:t xml:space="preserve"> Bernoulli remarks</w:t>
      </w:r>
      <w:r w:rsidR="000E2E30">
        <w:rPr>
          <w:rFonts w:cs="Times New Roman"/>
          <w:color w:val="222222"/>
        </w:rPr>
        <w:t xml:space="preserve">, </w:t>
      </w:r>
      <w:r w:rsidRPr="00DA405F">
        <w:rPr>
          <w:rFonts w:cs="Times New Roman"/>
          <w:i/>
          <w:iCs/>
          <w:color w:val="222222"/>
        </w:rPr>
        <w:t>‘</w:t>
      </w:r>
      <w:r w:rsidRPr="00DA405F">
        <w:rPr>
          <w:rFonts w:cs="Times New Roman"/>
          <w:i/>
          <w:iCs/>
        </w:rPr>
        <w:t>any fairly reasonable man would sell his chance, with great pleasure, for twenty ducats’</w:t>
      </w:r>
      <w:r w:rsidRPr="00CD3967">
        <w:rPr>
          <w:rStyle w:val="FootnoteReference"/>
        </w:rPr>
        <w:footnoteReference w:id="4"/>
      </w:r>
      <w:r w:rsidRPr="00DA405F">
        <w:rPr>
          <w:rFonts w:cs="Times New Roman"/>
        </w:rPr>
        <w:t xml:space="preserve">. Instead of judging the expected value of the lottery, he supposed that </w:t>
      </w:r>
      <w:r w:rsidRPr="00DA405F">
        <w:rPr>
          <w:rFonts w:cs="Times New Roman"/>
          <w:i/>
          <w:iCs/>
        </w:rPr>
        <w:t>‘people with common sense evaluate money in proportion to the utility they can obtain from it’</w:t>
      </w:r>
      <w:r w:rsidRPr="00DA405F">
        <w:rPr>
          <w:rFonts w:cs="Times New Roman"/>
        </w:rPr>
        <w:t xml:space="preserve">. </w:t>
      </w:r>
    </w:p>
    <w:p w14:paraId="36E4220E" w14:textId="3B1D45A2" w:rsidR="00754831" w:rsidRPr="00DA405F" w:rsidRDefault="00754831" w:rsidP="00754831">
      <w:pPr>
        <w:pStyle w:val="Textbody"/>
        <w:spacing w:before="240" w:after="160" w:line="225" w:lineRule="atLeast"/>
        <w:rPr>
          <w:rFonts w:cs="Times New Roman"/>
        </w:rPr>
      </w:pPr>
      <w:r w:rsidRPr="00DA405F">
        <w:rPr>
          <w:rFonts w:cs="Times New Roman"/>
        </w:rPr>
        <w:t xml:space="preserve">This formulation of utility stipulates that the </w:t>
      </w:r>
      <w:r w:rsidRPr="00DA405F">
        <w:rPr>
          <w:rFonts w:cs="Times New Roman"/>
          <w:i/>
          <w:iCs/>
        </w:rPr>
        <w:t>subjective</w:t>
      </w:r>
      <w:r w:rsidRPr="00DA405F">
        <w:rPr>
          <w:rFonts w:cs="Times New Roman"/>
        </w:rPr>
        <w:t xml:space="preserve"> value of the possible winnings is different from person to person. For instance, though a $10 bill lying on the sidewalk is a net profit for any person who comes across it, it is likely to elicit much greater joy in a poor man that one who is already rich. If the expected value of the St Petersburg Lottery is given in Equation 1.1, the expected </w:t>
      </w:r>
      <w:r w:rsidRPr="00DA405F">
        <w:rPr>
          <w:rFonts w:cs="Times New Roman"/>
          <w:i/>
          <w:iCs/>
        </w:rPr>
        <w:t>utility</w:t>
      </w:r>
      <w:r w:rsidRPr="00DA405F">
        <w:rPr>
          <w:rFonts w:cs="Times New Roman"/>
        </w:rPr>
        <w:t xml:space="preserve"> </w:t>
      </w:r>
      <w:r w:rsidRPr="00DA405F">
        <w:rPr>
          <w:rFonts w:cs="Times New Roman"/>
          <w:color w:val="222222"/>
        </w:rPr>
        <w:t>(</w:t>
      </w:r>
      <m:oMath>
        <m:r>
          <m:rPr>
            <m:sty m:val="bi"/>
          </m:rPr>
          <w:rPr>
            <w:rFonts w:ascii="Cambria Math" w:hAnsi="Cambria Math" w:cs="Times New Roman"/>
            <w:color w:val="222222"/>
          </w:rPr>
          <m:t>EU</m:t>
        </m:r>
      </m:oMath>
      <w:r w:rsidRPr="00DA405F">
        <w:rPr>
          <w:rFonts w:cs="Times New Roman"/>
          <w:color w:val="222222"/>
        </w:rPr>
        <w:t>)</w:t>
      </w:r>
      <w:r w:rsidR="001E182C">
        <w:rPr>
          <w:rFonts w:cs="Times New Roman"/>
          <w:color w:val="222222"/>
        </w:rPr>
        <w:t xml:space="preserve"> for a given individual </w:t>
      </w:r>
      <m:oMath>
        <m:r>
          <m:rPr>
            <m:sty m:val="bi"/>
          </m:rPr>
          <w:rPr>
            <w:rFonts w:ascii="Cambria Math" w:hAnsi="Cambria Math" w:cs="Times New Roman"/>
            <w:color w:val="222222"/>
          </w:rPr>
          <m:t>i</m:t>
        </m:r>
      </m:oMath>
      <w:r w:rsidRPr="00DA405F">
        <w:rPr>
          <w:rFonts w:cs="Times New Roman"/>
          <w:color w:val="222222"/>
        </w:rPr>
        <w:t xml:space="preserve"> </w:t>
      </w:r>
      <w:r w:rsidRPr="00DA405F">
        <w:rPr>
          <w:rFonts w:cs="Times New Roman"/>
        </w:rPr>
        <w:t>is given in Equation 1.2:</w:t>
      </w:r>
    </w:p>
    <w:p w14:paraId="68FB528B" w14:textId="51C316EE" w:rsidR="00754831" w:rsidRPr="00DA405F" w:rsidRDefault="00754831" w:rsidP="00754831">
      <w:pPr>
        <w:pStyle w:val="Caption"/>
        <w:keepNext/>
        <w:rPr>
          <w:rFonts w:cs="Times New Roman"/>
        </w:rPr>
      </w:pPr>
      <w:r w:rsidRPr="00DA405F">
        <w:rPr>
          <w:rFonts w:cs="Times New Roman"/>
        </w:rPr>
        <w:lastRenderedPageBreak/>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1150D8">
        <w:rPr>
          <w:rFonts w:cs="Times New Roman"/>
          <w:noProof/>
        </w:rPr>
        <w:t>2</w:t>
      </w:r>
      <w:r w:rsidRPr="00DA405F">
        <w:rPr>
          <w:rFonts w:cs="Times New Roman"/>
        </w:rPr>
        <w:fldChar w:fldCharType="end"/>
      </w:r>
    </w:p>
    <w:p w14:paraId="0C9A8813" w14:textId="49FC23C8" w:rsidR="00754831" w:rsidRPr="00DA405F" w:rsidRDefault="004540CE" w:rsidP="00754831">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1F62F1C2" w14:textId="77777777" w:rsidR="00754831" w:rsidRPr="00DA405F" w:rsidRDefault="004540CE" w:rsidP="00754831">
      <w:pPr>
        <w:pStyle w:val="Textbody"/>
        <w:spacing w:before="240" w:after="160" w:line="225" w:lineRule="atLeast"/>
        <w:rPr>
          <w:rFonts w:cs="Times New Roman"/>
        </w:rPr>
      </w:pPr>
      <m:oMathPara>
        <m:oMath>
          <m:sSub>
            <m:sSubPr>
              <m:ctrlPr>
                <w:rPr>
                  <w:rFonts w:ascii="Cambria Math" w:hAnsi="Cambria Math" w:cs="Times New Roman"/>
                  <w:i/>
                </w:rPr>
              </m:ctrlPr>
            </m:sSubPr>
            <m:e>
              <m:r>
                <w:rPr>
                  <w:rFonts w:ascii="Cambria Math" w:hAnsi="Cambria Math" w:cs="Times New Roman"/>
                </w:rPr>
                <m:t>EU</m:t>
              </m:r>
            </m:e>
            <m:sub>
              <m:r>
                <w:rPr>
                  <w:rFonts w:ascii="Cambria Math" w:hAnsi="Cambria Math" w:cs="Times New Roman"/>
                </w:rPr>
                <m:t>i</m:t>
              </m:r>
            </m:sub>
          </m:sSub>
          <m:r>
            <w:rPr>
              <w:rFonts w:ascii="Cambria Math" w:hAnsi="Cambria Math" w:cs="Times New Roman"/>
            </w:rPr>
            <m:t xml:space="preserve"> = </m:t>
          </m:r>
          <m:nary>
            <m:naryPr>
              <m:chr m:val="∑"/>
              <m:limLoc m:val="undOvr"/>
              <m:ctrlPr>
                <w:rPr>
                  <w:rFonts w:ascii="Cambria Math" w:hAnsi="Cambria Math" w:cs="Times New Roman"/>
                  <w:i/>
                  <w:color w:val="222222"/>
                </w:rPr>
              </m:ctrlPr>
            </m:naryPr>
            <m:sub>
              <m:r>
                <w:rPr>
                  <w:rFonts w:ascii="Cambria Math" w:hAnsi="Cambria Math" w:cs="Times New Roman"/>
                  <w:color w:val="222222"/>
                </w:rPr>
                <m:t>n = 1</m:t>
              </m:r>
            </m:sub>
            <m:sup>
              <m:r>
                <w:rPr>
                  <w:rFonts w:ascii="Cambria Math" w:hAnsi="Cambria Math" w:cs="Times New Roman"/>
                  <w:color w:val="4D5156"/>
                  <w:shd w:val="clear" w:color="auto" w:fill="FFFFFF"/>
                </w:rPr>
                <m:t>∞</m:t>
              </m:r>
            </m:sup>
            <m:e>
              <m:sSup>
                <m:sSupPr>
                  <m:ctrlPr>
                    <w:rPr>
                      <w:rFonts w:ascii="Cambria Math" w:hAnsi="Cambria Math" w:cs="Times New Roman"/>
                      <w:i/>
                      <w:color w:val="222222"/>
                    </w:rPr>
                  </m:ctrlPr>
                </m:sSupPr>
                <m:e>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e>
                  </m:d>
                </m:e>
                <m:sup>
                  <m:r>
                    <w:rPr>
                      <w:rFonts w:ascii="Cambria Math" w:hAnsi="Cambria Math" w:cs="Times New Roman"/>
                      <w:color w:val="222222"/>
                    </w:rPr>
                    <m:t>n</m:t>
                  </m:r>
                </m:sup>
              </m:sSup>
              <m:r>
                <w:rPr>
                  <w:rFonts w:ascii="Cambria Math" w:hAnsi="Cambria Math" w:cs="Times New Roman"/>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e>
          </m:nary>
        </m:oMath>
      </m:oMathPara>
    </w:p>
    <w:p w14:paraId="1A274A2B" w14:textId="65CE7DBB" w:rsidR="006A5BAB" w:rsidRPr="00DA405F" w:rsidRDefault="00754831" w:rsidP="00754831">
      <w:pPr>
        <w:pStyle w:val="Textbody"/>
        <w:spacing w:before="240" w:after="160" w:line="225" w:lineRule="atLeast"/>
        <w:rPr>
          <w:rFonts w:cs="Times New Roman"/>
          <w:color w:val="222222"/>
        </w:rPr>
      </w:pPr>
      <w:r w:rsidRPr="00DA405F">
        <w:rPr>
          <w:rFonts w:cs="Times New Roman"/>
          <w:color w:val="222222"/>
        </w:rPr>
        <w:t xml:space="preserve">Where </w:t>
      </w:r>
      <m:oMath>
        <m:r>
          <m:rPr>
            <m:sty m:val="bi"/>
          </m:rPr>
          <w:rPr>
            <w:rFonts w:ascii="Cambria Math" w:hAnsi="Cambria Math" w:cs="Times New Roman"/>
            <w:color w:val="222222"/>
          </w:rPr>
          <m:t>υ</m:t>
        </m:r>
      </m:oMath>
      <w:r w:rsidRPr="00DA405F">
        <w:rPr>
          <w:rFonts w:cs="Times New Roman"/>
          <w:b/>
          <w:bCs/>
          <w:color w:val="222222"/>
        </w:rPr>
        <w:t xml:space="preserve"> </w:t>
      </w:r>
      <w:r w:rsidRPr="00DA405F">
        <w:rPr>
          <w:rFonts w:cs="Times New Roman"/>
          <w:color w:val="222222"/>
        </w:rPr>
        <w:t xml:space="preserve">is a function which transforms the objective payout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color w:val="222222"/>
        </w:rPr>
        <w:t xml:space="preserve"> to a subjective utility for an individual </w:t>
      </w:r>
      <m:oMath>
        <m:r>
          <m:rPr>
            <m:sty m:val="bi"/>
          </m:rPr>
          <w:rPr>
            <w:rFonts w:ascii="Cambria Math" w:hAnsi="Cambria Math" w:cs="Times New Roman"/>
            <w:color w:val="222222"/>
          </w:rPr>
          <m:t>i</m:t>
        </m:r>
      </m:oMath>
      <w:r w:rsidRPr="00DA405F">
        <w:rPr>
          <w:rFonts w:cs="Times New Roman"/>
          <w:color w:val="222222"/>
        </w:rPr>
        <w:t xml:space="preserve"> </w:t>
      </w:r>
      <w:r w:rsidR="005A0EAA">
        <w:rPr>
          <w:rFonts w:cs="Times New Roman"/>
          <w:color w:val="222222"/>
        </w:rPr>
        <w:t>studied</w:t>
      </w:r>
      <w:r w:rsidRPr="00DA405F">
        <w:rPr>
          <w:rFonts w:cs="Times New Roman"/>
          <w:color w:val="222222"/>
        </w:rPr>
        <w:t xml:space="preserve">. Bernoulli’s insight to ‘solve’ the St Petersburg </w:t>
      </w:r>
      <w:r w:rsidR="008F5CB0">
        <w:rPr>
          <w:rFonts w:cs="Times New Roman"/>
          <w:color w:val="222222"/>
        </w:rPr>
        <w:t>p</w:t>
      </w:r>
      <w:r w:rsidRPr="00DA405F">
        <w:rPr>
          <w:rFonts w:cs="Times New Roman"/>
          <w:color w:val="222222"/>
        </w:rPr>
        <w:t xml:space="preserve">aradox was to imagine a concave utility function: that as an individual’s wealth increases, the marginal utility of winning an extra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b/>
          <w:bCs/>
          <w:color w:val="222222"/>
        </w:rPr>
        <w:t xml:space="preserve"> </w:t>
      </w:r>
      <w:r w:rsidRPr="00DA405F">
        <w:rPr>
          <w:rFonts w:cs="Times New Roman"/>
          <w:color w:val="222222"/>
        </w:rPr>
        <w:t>dollars is decreases until it eventually plateaus</w:t>
      </w:r>
      <w:r w:rsidR="0001268A" w:rsidRPr="00CD3967">
        <w:rPr>
          <w:rStyle w:val="FootnoteReference"/>
        </w:rPr>
        <w:footnoteReference w:id="5"/>
      </w:r>
      <w:r w:rsidRPr="00DA405F">
        <w:rPr>
          <w:rFonts w:cs="Times New Roman"/>
          <w:color w:val="222222"/>
        </w:rPr>
        <w:t>. A rich individual who could afford to pay $10,000 would gain comparatively little by increasing their wealth by (e.g.) $6,000</w:t>
      </w:r>
      <w:r w:rsidR="00180202">
        <w:rPr>
          <w:rFonts w:cs="Times New Roman"/>
          <w:color w:val="222222"/>
        </w:rPr>
        <w:t xml:space="preserve"> (winning on the 14</w:t>
      </w:r>
      <w:r w:rsidR="00180202" w:rsidRPr="00180202">
        <w:rPr>
          <w:rFonts w:cs="Times New Roman"/>
          <w:color w:val="222222"/>
          <w:vertAlign w:val="superscript"/>
        </w:rPr>
        <w:t>th</w:t>
      </w:r>
      <w:r w:rsidR="00180202">
        <w:rPr>
          <w:rFonts w:cs="Times New Roman"/>
          <w:color w:val="222222"/>
        </w:rPr>
        <w:t xml:space="preserve"> flip)</w:t>
      </w:r>
      <w:r w:rsidRPr="00DA405F">
        <w:rPr>
          <w:rFonts w:cs="Times New Roman"/>
          <w:color w:val="222222"/>
        </w:rPr>
        <w:t>, which has a proportionally tiny chance of occurring.</w:t>
      </w:r>
      <w:r w:rsidR="00401893" w:rsidRPr="00DA405F">
        <w:rPr>
          <w:rFonts w:cs="Times New Roman"/>
          <w:color w:val="222222"/>
        </w:rPr>
        <w:t xml:space="preserve"> Bernoulli imagines this utility function to be logarithmic, i.e. that expected utility is proportional to the log of the expected value</w:t>
      </w:r>
      <w:r w:rsidR="00CA608C">
        <w:rPr>
          <w:rFonts w:cs="Times New Roman"/>
          <w:color w:val="222222"/>
        </w:rPr>
        <w:t>, however,</w:t>
      </w:r>
      <w:r w:rsidR="0001268A" w:rsidRPr="00DA405F">
        <w:rPr>
          <w:rFonts w:cs="Times New Roman"/>
          <w:color w:val="222222"/>
        </w:rPr>
        <w:t xml:space="preserve"> </w:t>
      </w:r>
      <w:r w:rsidR="00CA608C">
        <w:rPr>
          <w:rFonts w:cs="Times New Roman"/>
          <w:color w:val="222222"/>
        </w:rPr>
        <w:t>a</w:t>
      </w:r>
      <w:r w:rsidR="00BC2D62" w:rsidRPr="00DA405F">
        <w:rPr>
          <w:rFonts w:cs="Times New Roman"/>
          <w:color w:val="222222"/>
        </w:rPr>
        <w:t xml:space="preserve">s the </w:t>
      </w:r>
      <w:r w:rsidR="00401893" w:rsidRPr="00DA405F">
        <w:rPr>
          <w:rFonts w:cs="Times New Roman"/>
          <w:color w:val="222222"/>
        </w:rPr>
        <w:t>exact shape of the utility curve is unique</w:t>
      </w:r>
      <w:r w:rsidR="00BC2D62" w:rsidRPr="00DA405F">
        <w:rPr>
          <w:rFonts w:cs="Times New Roman"/>
          <w:color w:val="222222"/>
        </w:rPr>
        <w:t>,</w:t>
      </w:r>
      <w:r w:rsidR="00401893" w:rsidRPr="00DA405F">
        <w:rPr>
          <w:rFonts w:cs="Times New Roman"/>
          <w:color w:val="222222"/>
        </w:rPr>
        <w:t xml:space="preserve"> the utility of the</w:t>
      </w:r>
      <w:r w:rsidR="0001268A" w:rsidRPr="00DA405F">
        <w:rPr>
          <w:rFonts w:cs="Times New Roman"/>
          <w:color w:val="222222"/>
        </w:rPr>
        <w:t xml:space="preserve"> St Petersburg</w:t>
      </w:r>
      <w:r w:rsidR="00401893" w:rsidRPr="00DA405F">
        <w:rPr>
          <w:rFonts w:cs="Times New Roman"/>
          <w:color w:val="222222"/>
        </w:rPr>
        <w:t xml:space="preserve"> lottery</w:t>
      </w:r>
      <w:r w:rsidR="00EA5528" w:rsidRPr="00DA405F">
        <w:rPr>
          <w:rFonts w:cs="Times New Roman"/>
          <w:color w:val="222222"/>
        </w:rPr>
        <w:t xml:space="preserve"> (or any good, for that matter)</w:t>
      </w:r>
      <w:r w:rsidR="00401893" w:rsidRPr="00DA405F">
        <w:rPr>
          <w:rFonts w:cs="Times New Roman"/>
          <w:color w:val="222222"/>
        </w:rPr>
        <w:t xml:space="preserve"> varies from individual to individual.</w:t>
      </w:r>
    </w:p>
    <w:p w14:paraId="091AB749" w14:textId="4A78F26C" w:rsidR="00917856" w:rsidRPr="00DA405F" w:rsidRDefault="001619ED" w:rsidP="00754831">
      <w:pPr>
        <w:pStyle w:val="Textbody"/>
        <w:spacing w:before="240" w:after="160" w:line="225" w:lineRule="atLeast"/>
        <w:rPr>
          <w:rFonts w:cs="Times New Roman"/>
          <w:color w:val="222222"/>
        </w:rPr>
      </w:pPr>
      <w:r w:rsidRPr="00DA405F">
        <w:rPr>
          <w:rFonts w:cs="Times New Roman"/>
          <w:color w:val="222222"/>
        </w:rPr>
        <w:t>Economists in the 19</w:t>
      </w:r>
      <w:r w:rsidRPr="00DA405F">
        <w:rPr>
          <w:rFonts w:cs="Times New Roman"/>
          <w:color w:val="222222"/>
          <w:vertAlign w:val="superscript"/>
        </w:rPr>
        <w:t>th</w:t>
      </w:r>
      <w:r w:rsidRPr="00DA405F">
        <w:rPr>
          <w:rFonts w:cs="Times New Roman"/>
          <w:color w:val="222222"/>
        </w:rPr>
        <w:t xml:space="preserve"> century dreamed of directly measuring utility using a ‘hedonimeter’ </w:t>
      </w:r>
      <w:r w:rsidRPr="00DA405F">
        <w:rPr>
          <w:rFonts w:cs="Times New Roman"/>
          <w:color w:val="222222"/>
        </w:rPr>
        <w:fldChar w:fldCharType="begin" w:fldLock="1"/>
      </w:r>
      <w:r w:rsidR="000C6983" w:rsidRPr="00DA405F">
        <w:rPr>
          <w:rFonts w:cs="Times New Roman"/>
          <w:color w:val="222222"/>
        </w:rPr>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rsidRPr="00DA405F">
        <w:rPr>
          <w:rFonts w:cs="Times New Roman"/>
          <w:color w:val="222222"/>
        </w:rPr>
        <w:fldChar w:fldCharType="separate"/>
      </w:r>
      <w:r w:rsidRPr="00DA405F">
        <w:rPr>
          <w:rFonts w:cs="Times New Roman"/>
          <w:noProof/>
          <w:color w:val="222222"/>
        </w:rPr>
        <w:t>(Edgeworth, 1881)</w:t>
      </w:r>
      <w:r w:rsidRPr="00DA405F">
        <w:rPr>
          <w:rFonts w:cs="Times New Roman"/>
          <w:color w:val="222222"/>
        </w:rPr>
        <w:fldChar w:fldCharType="end"/>
      </w:r>
      <w:r w:rsidR="00B42671" w:rsidRPr="00DA405F">
        <w:rPr>
          <w:rFonts w:cs="Times New Roman"/>
          <w:color w:val="222222"/>
        </w:rPr>
        <w:t xml:space="preserve"> and developed tasks to study the revealed preference of individuals. By presenting subjects with ‘bundles’ comprised of amounts two goods </w:t>
      </w:r>
      <m:oMath>
        <m:r>
          <m:rPr>
            <m:sty m:val="bi"/>
          </m:rPr>
          <w:rPr>
            <w:rFonts w:ascii="Cambria Math" w:hAnsi="Cambria Math" w:cs="Times New Roman"/>
            <w:color w:val="222222"/>
          </w:rPr>
          <m:t>A</m:t>
        </m:r>
      </m:oMath>
      <w:r w:rsidR="00B42671" w:rsidRPr="00DA405F">
        <w:rPr>
          <w:rFonts w:cs="Times New Roman"/>
          <w:color w:val="222222"/>
        </w:rPr>
        <w:t xml:space="preserve"> and </w:t>
      </w:r>
      <m:oMath>
        <m:r>
          <m:rPr>
            <m:sty m:val="bi"/>
          </m:rPr>
          <w:rPr>
            <w:rFonts w:ascii="Cambria Math" w:hAnsi="Cambria Math" w:cs="Times New Roman"/>
            <w:color w:val="222222"/>
          </w:rPr>
          <m:t>B</m:t>
        </m:r>
      </m:oMath>
      <w:r w:rsidR="00B42671" w:rsidRPr="00DA405F">
        <w:rPr>
          <w:rFonts w:cs="Times New Roman"/>
          <w:b/>
          <w:bCs/>
          <w:color w:val="222222"/>
        </w:rPr>
        <w:t xml:space="preserve"> </w:t>
      </w:r>
      <w:r w:rsidR="00B42671" w:rsidRPr="00DA405F">
        <w:rPr>
          <w:rFonts w:cs="Times New Roman"/>
          <w:color w:val="222222"/>
        </w:rPr>
        <w:t xml:space="preserve">and studying the choices made between, they were able to measure ordinal utility. For instance in </w:t>
      </w:r>
      <w:r w:rsidR="00B73882">
        <w:rPr>
          <w:rFonts w:cs="Times New Roman"/>
          <w:color w:val="222222"/>
        </w:rPr>
        <w:t>f</w:t>
      </w:r>
      <w:r w:rsidR="00B42671" w:rsidRPr="00DA405F">
        <w:rPr>
          <w:rFonts w:cs="Times New Roman"/>
          <w:color w:val="222222"/>
        </w:rPr>
        <w:t>igure 1</w:t>
      </w:r>
      <w:r w:rsidR="009A50CB">
        <w:rPr>
          <w:rFonts w:cs="Times New Roman"/>
          <w:color w:val="222222"/>
        </w:rPr>
        <w:t>c</w:t>
      </w:r>
      <w:r w:rsidR="00B42671" w:rsidRPr="00DA405F">
        <w:rPr>
          <w:rFonts w:cs="Times New Roman"/>
          <w:color w:val="222222"/>
        </w:rPr>
        <w:t xml:space="preserve">, a subject is indifferent, i.e. has no preference, between </w:t>
      </w:r>
      <w:r w:rsidR="00903B9A">
        <w:rPr>
          <w:rFonts w:cs="Times New Roman"/>
          <w:color w:val="222222"/>
        </w:rPr>
        <w:t xml:space="preserve">a </w:t>
      </w:r>
      <w:r w:rsidR="00B42671" w:rsidRPr="00DA405F">
        <w:rPr>
          <w:rFonts w:cs="Times New Roman"/>
          <w:color w:val="222222"/>
        </w:rPr>
        <w:t xml:space="preserve">bundle </w:t>
      </w:r>
      <m:oMath>
        <m:r>
          <m:rPr>
            <m:sty m:val="bi"/>
          </m:rPr>
          <w:rPr>
            <w:rFonts w:ascii="Cambria Math" w:hAnsi="Cambria Math" w:cs="Times New Roman"/>
            <w:color w:val="222222"/>
          </w:rPr>
          <m:t>X</m:t>
        </m:r>
      </m:oMath>
      <w:r w:rsidR="00B42671" w:rsidRPr="00DA405F">
        <w:rPr>
          <w:rFonts w:cs="Times New Roman"/>
          <w:b/>
          <w:bCs/>
          <w:color w:val="222222"/>
        </w:rPr>
        <w:t xml:space="preserve"> (</w:t>
      </w:r>
      <w:r w:rsidR="00B42671" w:rsidRPr="00DA405F">
        <w:rPr>
          <w:rFonts w:cs="Times New Roman"/>
          <w:color w:val="222222"/>
        </w:rPr>
        <w:t xml:space="preserve">which is comprised of 4 units of good </w:t>
      </w:r>
      <m:oMath>
        <m:r>
          <m:rPr>
            <m:sty m:val="bi"/>
          </m:rPr>
          <w:rPr>
            <w:rFonts w:ascii="Cambria Math" w:hAnsi="Cambria Math" w:cs="Times New Roman"/>
            <w:color w:val="222222"/>
          </w:rPr>
          <m:t>A</m:t>
        </m:r>
      </m:oMath>
      <w:r w:rsidR="00B42671" w:rsidRPr="00DA405F">
        <w:rPr>
          <w:rFonts w:cs="Times New Roman"/>
          <w:color w:val="222222"/>
        </w:rPr>
        <w:t xml:space="preserve"> and 1 unit of good </w:t>
      </w:r>
      <m:oMath>
        <m:r>
          <m:rPr>
            <m:sty m:val="bi"/>
          </m:rPr>
          <w:rPr>
            <w:rFonts w:ascii="Cambria Math" w:hAnsi="Cambria Math" w:cs="Times New Roman"/>
            <w:color w:val="222222"/>
          </w:rPr>
          <m:t>B</m:t>
        </m:r>
      </m:oMath>
      <w:r w:rsidR="00B42671" w:rsidRPr="00DA405F">
        <w:rPr>
          <w:rFonts w:cs="Times New Roman"/>
          <w:color w:val="222222"/>
        </w:rPr>
        <w:t>) and</w:t>
      </w:r>
      <w:r w:rsidR="00903B9A">
        <w:rPr>
          <w:rFonts w:cs="Times New Roman"/>
          <w:color w:val="222222"/>
        </w:rPr>
        <w:t xml:space="preserve"> a</w:t>
      </w:r>
      <w:r w:rsidR="00B42671" w:rsidRPr="00DA405F">
        <w:rPr>
          <w:rFonts w:cs="Times New Roman"/>
          <w:color w:val="222222"/>
        </w:rPr>
        <w:t xml:space="preserve"> bundle </w:t>
      </w:r>
      <m:oMath>
        <m:r>
          <m:rPr>
            <m:sty m:val="bi"/>
          </m:rPr>
          <w:rPr>
            <w:rFonts w:ascii="Cambria Math" w:hAnsi="Cambria Math" w:cs="Times New Roman"/>
            <w:color w:val="222222"/>
          </w:rPr>
          <m:t>Y</m:t>
        </m:r>
      </m:oMath>
      <w:r w:rsidR="00B42671" w:rsidRPr="00DA405F">
        <w:rPr>
          <w:rFonts w:cs="Times New Roman"/>
          <w:color w:val="222222"/>
        </w:rPr>
        <w:t xml:space="preserve"> (which is comprised of 1 unit of good </w:t>
      </w:r>
      <m:oMath>
        <m:r>
          <m:rPr>
            <m:sty m:val="bi"/>
          </m:rPr>
          <w:rPr>
            <w:rFonts w:ascii="Cambria Math" w:hAnsi="Cambria Math" w:cs="Times New Roman"/>
            <w:color w:val="222222"/>
          </w:rPr>
          <m:t>A</m:t>
        </m:r>
      </m:oMath>
      <w:r w:rsidR="00B42671" w:rsidRPr="00DA405F">
        <w:rPr>
          <w:rFonts w:cs="Times New Roman"/>
          <w:color w:val="222222"/>
        </w:rPr>
        <w:t xml:space="preserve"> and 5 units of good </w:t>
      </w:r>
      <m:oMath>
        <m:r>
          <m:rPr>
            <m:sty m:val="bi"/>
          </m:rPr>
          <w:rPr>
            <w:rFonts w:ascii="Cambria Math" w:hAnsi="Cambria Math" w:cs="Times New Roman"/>
            <w:color w:val="222222"/>
          </w:rPr>
          <m:t>B</m:t>
        </m:r>
      </m:oMath>
      <w:r w:rsidR="00B42671" w:rsidRPr="00DA405F">
        <w:rPr>
          <w:rFonts w:cs="Times New Roman"/>
          <w:color w:val="222222"/>
        </w:rPr>
        <w:t xml:space="preserve">). If such a choice </w:t>
      </w:r>
      <w:r w:rsidR="00920644" w:rsidRPr="00DA405F">
        <w:rPr>
          <w:rFonts w:cs="Times New Roman"/>
          <w:color w:val="222222"/>
        </w:rPr>
        <w:t>were</w:t>
      </w:r>
      <w:r w:rsidR="00B42671" w:rsidRPr="00DA405F">
        <w:rPr>
          <w:rFonts w:cs="Times New Roman"/>
          <w:color w:val="222222"/>
        </w:rPr>
        <w:t xml:space="preserve"> presented an infinite number of times to this individual, we would expect them to choose at random and pick each bundle an equal number of times.</w:t>
      </w:r>
      <w:r w:rsidR="00917856" w:rsidRPr="00DA405F">
        <w:rPr>
          <w:rFonts w:cs="Times New Roman"/>
          <w:color w:val="222222"/>
        </w:rPr>
        <w:t xml:space="preserve"> </w:t>
      </w:r>
      <w:r w:rsidR="00CA2530" w:rsidRPr="00DA405F">
        <w:rPr>
          <w:rFonts w:cs="Times New Roman"/>
          <w:color w:val="222222"/>
        </w:rPr>
        <w:t>Non-intersecting i</w:t>
      </w:r>
      <w:r w:rsidR="00917856" w:rsidRPr="00DA405F">
        <w:rPr>
          <w:rFonts w:cs="Times New Roman"/>
          <w:color w:val="222222"/>
        </w:rPr>
        <w:t xml:space="preserve">ndifference curves can be built up </w:t>
      </w:r>
      <w:r w:rsidR="00CA2530" w:rsidRPr="00DA405F">
        <w:rPr>
          <w:rFonts w:cs="Times New Roman"/>
          <w:color w:val="222222"/>
        </w:rPr>
        <w:t>representing</w:t>
      </w:r>
      <w:r w:rsidR="00917856" w:rsidRPr="00DA405F">
        <w:rPr>
          <w:rFonts w:cs="Times New Roman"/>
          <w:color w:val="222222"/>
        </w:rPr>
        <w:t xml:space="preserve"> a</w:t>
      </w:r>
      <w:r w:rsidR="00CA2530" w:rsidRPr="00DA405F">
        <w:rPr>
          <w:rFonts w:cs="Times New Roman"/>
          <w:color w:val="222222"/>
        </w:rPr>
        <w:t xml:space="preserve"> monotonic</w:t>
      </w:r>
      <w:r w:rsidR="00917856" w:rsidRPr="00DA405F">
        <w:rPr>
          <w:rFonts w:cs="Times New Roman"/>
          <w:color w:val="222222"/>
        </w:rPr>
        <w:t xml:space="preserve"> increase in utility </w:t>
      </w:r>
      <w:r w:rsidR="00CA2530" w:rsidRPr="00DA405F">
        <w:rPr>
          <w:rFonts w:cs="Times New Roman"/>
          <w:color w:val="222222"/>
        </w:rPr>
        <w:t xml:space="preserve">as preferential and indifferent choices are made. </w:t>
      </w:r>
    </w:p>
    <w:p w14:paraId="60D3CBF5" w14:textId="75CB8753" w:rsidR="001619ED" w:rsidRPr="00DA405F" w:rsidRDefault="00B42671" w:rsidP="00754831">
      <w:pPr>
        <w:pStyle w:val="Textbody"/>
        <w:spacing w:before="240" w:after="160" w:line="225" w:lineRule="atLeast"/>
        <w:rPr>
          <w:rFonts w:cs="Times New Roman"/>
          <w:color w:val="222222"/>
        </w:rPr>
      </w:pPr>
      <w:r w:rsidRPr="00DA405F">
        <w:rPr>
          <w:rFonts w:cs="Times New Roman"/>
          <w:color w:val="222222"/>
        </w:rPr>
        <w:t xml:space="preserve"> </w:t>
      </w:r>
      <w:r w:rsidR="00920644" w:rsidRPr="00DA405F">
        <w:rPr>
          <w:rFonts w:cs="Times New Roman"/>
          <w:color w:val="222222"/>
        </w:rPr>
        <w:t xml:space="preserve">To generate </w:t>
      </w:r>
      <w:r w:rsidR="00192C4F" w:rsidRPr="00DA405F">
        <w:rPr>
          <w:rFonts w:cs="Times New Roman"/>
          <w:color w:val="222222"/>
        </w:rPr>
        <w:t>these</w:t>
      </w:r>
      <w:r w:rsidR="00920644" w:rsidRPr="00DA405F">
        <w:rPr>
          <w:rFonts w:cs="Times New Roman"/>
          <w:color w:val="222222"/>
        </w:rPr>
        <w:t xml:space="preserve"> ‘indifference curve</w:t>
      </w:r>
      <w:r w:rsidR="00192C4F" w:rsidRPr="00DA405F">
        <w:rPr>
          <w:rFonts w:cs="Times New Roman"/>
          <w:color w:val="222222"/>
        </w:rPr>
        <w:t>s</w:t>
      </w:r>
      <w:r w:rsidR="00920644" w:rsidRPr="00DA405F">
        <w:rPr>
          <w:rFonts w:cs="Times New Roman"/>
          <w:color w:val="222222"/>
        </w:rPr>
        <w:t xml:space="preserve">’, only </w:t>
      </w:r>
      <w:r w:rsidR="00192C4F" w:rsidRPr="00DA405F">
        <w:rPr>
          <w:rFonts w:cs="Times New Roman"/>
          <w:color w:val="222222"/>
        </w:rPr>
        <w:t>two</w:t>
      </w:r>
      <w:r w:rsidR="00920644" w:rsidRPr="00DA405F">
        <w:rPr>
          <w:rFonts w:cs="Times New Roman"/>
          <w:color w:val="222222"/>
        </w:rPr>
        <w:t xml:space="preserve"> axiom</w:t>
      </w:r>
      <w:r w:rsidR="00192C4F" w:rsidRPr="00DA405F">
        <w:rPr>
          <w:rFonts w:cs="Times New Roman"/>
          <w:color w:val="222222"/>
        </w:rPr>
        <w:t>s are required. The</w:t>
      </w:r>
      <w:r w:rsidR="00E476CD">
        <w:rPr>
          <w:rFonts w:cs="Times New Roman"/>
          <w:color w:val="222222"/>
        </w:rPr>
        <w:t xml:space="preserve"> first</w:t>
      </w:r>
      <w:r w:rsidR="00192C4F" w:rsidRPr="00DA405F">
        <w:rPr>
          <w:rFonts w:cs="Times New Roman"/>
          <w:color w:val="222222"/>
        </w:rPr>
        <w:t xml:space="preserve"> axiom of </w:t>
      </w:r>
      <w:r w:rsidR="005C7827" w:rsidRPr="00DA405F">
        <w:rPr>
          <w:rFonts w:cs="Times New Roman"/>
          <w:color w:val="222222"/>
        </w:rPr>
        <w:t>c</w:t>
      </w:r>
      <w:r w:rsidR="00192C4F" w:rsidRPr="00DA405F">
        <w:rPr>
          <w:rFonts w:cs="Times New Roman"/>
          <w:color w:val="222222"/>
        </w:rPr>
        <w:t>ompleteness is described by</w:t>
      </w:r>
      <w:r w:rsidR="00920644" w:rsidRPr="00DA405F">
        <w:rPr>
          <w:rFonts w:cs="Times New Roman"/>
          <w:color w:val="222222"/>
        </w:rPr>
        <w:t>:</w:t>
      </w:r>
    </w:p>
    <w:p w14:paraId="0F9D51B9" w14:textId="26AABF89" w:rsidR="00920644" w:rsidRPr="00DA405F" w:rsidRDefault="00920644" w:rsidP="00920644">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1150D8">
        <w:rPr>
          <w:rFonts w:cs="Times New Roman"/>
          <w:noProof/>
        </w:rPr>
        <w:t>3</w:t>
      </w:r>
      <w:r w:rsidRPr="00DA405F">
        <w:rPr>
          <w:rFonts w:cs="Times New Roman"/>
        </w:rPr>
        <w:fldChar w:fldCharType="end"/>
      </w:r>
    </w:p>
    <w:p w14:paraId="349858C3" w14:textId="7935EDE9" w:rsidR="00920644" w:rsidRPr="00DA405F" w:rsidRDefault="003B74A9" w:rsidP="00754831">
      <w:pPr>
        <w:pStyle w:val="Textbody"/>
        <w:spacing w:before="240" w:after="160" w:line="225" w:lineRule="atLeast"/>
        <w:rPr>
          <w:rFonts w:cs="Times New Roman"/>
          <w:color w:val="222222"/>
        </w:rPr>
      </w:pPr>
      <m:oMathPara>
        <m:oMath>
          <m:r>
            <w:rPr>
              <w:rFonts w:ascii="Cambria Math" w:hAnsi="Cambria Math" w:cs="Times New Roman"/>
              <w:color w:val="202124"/>
              <w:shd w:val="clear" w:color="auto" w:fill="FFFFFF"/>
            </w:rPr>
            <m:t xml:space="preserve">∀X,Y: </m:t>
          </m:r>
          <m:r>
            <w:rPr>
              <w:rFonts w:ascii="Cambria Math" w:hAnsi="Cambria Math" w:cs="Times New Roman"/>
              <w:color w:val="222222"/>
            </w:rPr>
            <m:t>X</m:t>
          </m:r>
          <m:r>
            <m:rPr>
              <m:sty m:val="p"/>
            </m:rPr>
            <w:rPr>
              <w:rFonts w:ascii="Cambria Math" w:hAnsi="Cambria Math" w:cs="Times New Roman"/>
              <w:color w:val="282829"/>
              <w:shd w:val="clear" w:color="auto" w:fill="FFFFFF"/>
            </w:rPr>
            <m:t>≺</m:t>
          </m:r>
          <m:r>
            <w:rPr>
              <w:rFonts w:ascii="Cambria Math" w:hAnsi="Cambria Math" w:cs="Times New Roman"/>
              <w:color w:val="222222"/>
            </w:rPr>
            <m:t>Y, Y</m:t>
          </m:r>
          <m:r>
            <m:rPr>
              <m:sty m:val="p"/>
            </m:rPr>
            <w:rPr>
              <w:rFonts w:ascii="Cambria Math" w:hAnsi="Cambria Math" w:cs="Times New Roman"/>
              <w:color w:val="282829"/>
              <w:shd w:val="clear" w:color="auto" w:fill="FFFFFF"/>
            </w:rPr>
            <m:t>≺</m:t>
          </m:r>
          <m:r>
            <w:rPr>
              <w:rFonts w:ascii="Cambria Math" w:hAnsi="Cambria Math" w:cs="Times New Roman"/>
              <w:color w:val="222222"/>
            </w:rPr>
            <m:t>X, or X~Y</m:t>
          </m:r>
        </m:oMath>
      </m:oMathPara>
    </w:p>
    <w:p w14:paraId="01D7694F" w14:textId="44F955CB" w:rsidR="00192C4F" w:rsidRPr="00DA405F" w:rsidRDefault="003B74A9" w:rsidP="00754831">
      <w:pPr>
        <w:pStyle w:val="Textbody"/>
        <w:spacing w:before="240" w:after="160" w:line="225" w:lineRule="atLeast"/>
        <w:rPr>
          <w:rFonts w:cs="Times New Roman"/>
          <w:color w:val="222222"/>
        </w:rPr>
      </w:pPr>
      <w:r w:rsidRPr="00DA405F">
        <w:rPr>
          <w:rFonts w:cs="Times New Roman"/>
          <w:color w:val="222222"/>
        </w:rPr>
        <w:t xml:space="preserve">For any bundles </w:t>
      </w:r>
      <m:oMath>
        <m:r>
          <m:rPr>
            <m:sty m:val="bi"/>
          </m:rPr>
          <w:rPr>
            <w:rFonts w:ascii="Cambria Math" w:hAnsi="Cambria Math" w:cs="Times New Roman"/>
            <w:color w:val="222222"/>
          </w:rPr>
          <m:t>X</m:t>
        </m:r>
      </m:oMath>
      <w:r w:rsidRPr="00DA405F">
        <w:rPr>
          <w:rFonts w:cs="Times New Roman"/>
          <w:color w:val="222222"/>
        </w:rPr>
        <w:t xml:space="preserve"> and </w:t>
      </w:r>
      <m:oMath>
        <m:r>
          <m:rPr>
            <m:sty m:val="bi"/>
          </m:rPr>
          <w:rPr>
            <w:rFonts w:ascii="Cambria Math" w:hAnsi="Cambria Math" w:cs="Times New Roman"/>
            <w:color w:val="222222"/>
          </w:rPr>
          <m:t>Y</m:t>
        </m:r>
      </m:oMath>
      <w:r w:rsidRPr="00DA405F">
        <w:rPr>
          <w:rFonts w:cs="Times New Roman"/>
          <w:color w:val="222222"/>
        </w:rPr>
        <w:t>, either a</w:t>
      </w:r>
      <w:r w:rsidR="00920644" w:rsidRPr="00DA405F">
        <w:rPr>
          <w:rFonts w:cs="Times New Roman"/>
          <w:color w:val="222222"/>
        </w:rPr>
        <w:t xml:space="preserve"> bundle </w:t>
      </w:r>
      <m:oMath>
        <m:r>
          <m:rPr>
            <m:sty m:val="bi"/>
          </m:rPr>
          <w:rPr>
            <w:rFonts w:ascii="Cambria Math" w:hAnsi="Cambria Math" w:cs="Times New Roman"/>
            <w:color w:val="222222"/>
          </w:rPr>
          <m:t>X</m:t>
        </m:r>
      </m:oMath>
      <w:r w:rsidR="00920644" w:rsidRPr="00DA405F">
        <w:rPr>
          <w:rFonts w:cs="Times New Roman"/>
          <w:color w:val="222222"/>
        </w:rPr>
        <w:t xml:space="preserve"> is preferred to a bundle </w:t>
      </w:r>
      <m:oMath>
        <m:r>
          <m:rPr>
            <m:sty m:val="bi"/>
          </m:rPr>
          <w:rPr>
            <w:rFonts w:ascii="Cambria Math" w:hAnsi="Cambria Math" w:cs="Times New Roman"/>
            <w:color w:val="222222"/>
          </w:rPr>
          <m:t>Y</m:t>
        </m:r>
      </m:oMath>
      <w:r w:rsidR="00920644" w:rsidRPr="00DA405F">
        <w:rPr>
          <w:rFonts w:cs="Times New Roman"/>
          <w:color w:val="222222"/>
        </w:rPr>
        <w:t xml:space="preserve">, </w:t>
      </w:r>
      <m:oMath>
        <m:r>
          <m:rPr>
            <m:sty m:val="bi"/>
          </m:rPr>
          <w:rPr>
            <w:rFonts w:ascii="Cambria Math" w:hAnsi="Cambria Math" w:cs="Times New Roman"/>
            <w:color w:val="222222"/>
          </w:rPr>
          <m:t>Y</m:t>
        </m:r>
      </m:oMath>
      <w:r w:rsidR="00920644" w:rsidRPr="00DA405F">
        <w:rPr>
          <w:rFonts w:cs="Times New Roman"/>
          <w:color w:val="222222"/>
        </w:rPr>
        <w:t xml:space="preserve"> is preferred to </w:t>
      </w:r>
      <m:oMath>
        <m:r>
          <m:rPr>
            <m:sty m:val="bi"/>
          </m:rPr>
          <w:rPr>
            <w:rFonts w:ascii="Cambria Math" w:hAnsi="Cambria Math" w:cs="Times New Roman"/>
            <w:color w:val="222222"/>
          </w:rPr>
          <m:t>X</m:t>
        </m:r>
      </m:oMath>
      <w:r w:rsidR="00920644" w:rsidRPr="00DA405F">
        <w:rPr>
          <w:rFonts w:cs="Times New Roman"/>
          <w:color w:val="222222"/>
        </w:rPr>
        <w:t xml:space="preserve">, or bundles </w:t>
      </w:r>
      <m:oMath>
        <m:r>
          <m:rPr>
            <m:sty m:val="bi"/>
          </m:rPr>
          <w:rPr>
            <w:rFonts w:ascii="Cambria Math" w:hAnsi="Cambria Math" w:cs="Times New Roman"/>
            <w:color w:val="222222"/>
          </w:rPr>
          <m:t>X</m:t>
        </m:r>
      </m:oMath>
      <w:r w:rsidR="00920644" w:rsidRPr="00DA405F">
        <w:rPr>
          <w:rFonts w:cs="Times New Roman"/>
          <w:color w:val="222222"/>
        </w:rPr>
        <w:t xml:space="preserve"> and </w:t>
      </w:r>
      <m:oMath>
        <m:r>
          <m:rPr>
            <m:sty m:val="bi"/>
          </m:rPr>
          <w:rPr>
            <w:rFonts w:ascii="Cambria Math" w:hAnsi="Cambria Math" w:cs="Times New Roman"/>
            <w:color w:val="222222"/>
          </w:rPr>
          <m:t>Y</m:t>
        </m:r>
      </m:oMath>
      <w:r w:rsidR="00920644" w:rsidRPr="00DA405F">
        <w:rPr>
          <w:rFonts w:cs="Times New Roman"/>
          <w:color w:val="222222"/>
        </w:rPr>
        <w:t xml:space="preserve"> are valued equally</w:t>
      </w:r>
      <w:r w:rsidR="00092C4A" w:rsidRPr="00DA405F">
        <w:rPr>
          <w:rFonts w:cs="Times New Roman"/>
          <w:color w:val="222222"/>
        </w:rPr>
        <w:t xml:space="preserve">. </w:t>
      </w:r>
      <w:r w:rsidR="00192C4F" w:rsidRPr="00DA405F">
        <w:rPr>
          <w:rFonts w:cs="Times New Roman"/>
          <w:color w:val="222222"/>
        </w:rPr>
        <w:t>The second axio</w:t>
      </w:r>
      <w:r w:rsidR="00A75B15">
        <w:rPr>
          <w:rFonts w:cs="Times New Roman"/>
          <w:color w:val="222222"/>
        </w:rPr>
        <w:t>m</w:t>
      </w:r>
      <w:r w:rsidR="00092C4A" w:rsidRPr="00DA405F">
        <w:rPr>
          <w:rFonts w:cs="Times New Roman"/>
          <w:color w:val="222222"/>
        </w:rPr>
        <w:t xml:space="preserve"> is that</w:t>
      </w:r>
      <w:r w:rsidR="00192C4F" w:rsidRPr="00DA405F">
        <w:rPr>
          <w:rFonts w:cs="Times New Roman"/>
          <w:color w:val="222222"/>
        </w:rPr>
        <w:t xml:space="preserve"> of </w:t>
      </w:r>
      <w:r w:rsidR="005C7827" w:rsidRPr="00DA405F">
        <w:rPr>
          <w:rFonts w:cs="Times New Roman"/>
          <w:color w:val="222222"/>
        </w:rPr>
        <w:t>t</w:t>
      </w:r>
      <w:r w:rsidR="00192C4F" w:rsidRPr="00DA405F">
        <w:rPr>
          <w:rFonts w:cs="Times New Roman"/>
          <w:color w:val="222222"/>
        </w:rPr>
        <w:t>ransitivity, namely:</w:t>
      </w:r>
    </w:p>
    <w:p w14:paraId="58D071E6" w14:textId="1D7617D9" w:rsidR="00A76871" w:rsidRPr="00DA405F" w:rsidRDefault="00A76871" w:rsidP="00A7687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1150D8">
        <w:rPr>
          <w:rFonts w:cs="Times New Roman"/>
          <w:noProof/>
        </w:rPr>
        <w:t>4</w:t>
      </w:r>
      <w:r w:rsidRPr="00DA405F">
        <w:rPr>
          <w:rFonts w:cs="Times New Roman"/>
        </w:rPr>
        <w:fldChar w:fldCharType="end"/>
      </w:r>
    </w:p>
    <w:p w14:paraId="49CFE793" w14:textId="486B8EFF" w:rsidR="00192C4F" w:rsidRPr="00DA405F" w:rsidRDefault="00192C4F" w:rsidP="00754831">
      <w:pPr>
        <w:pStyle w:val="Textbody"/>
        <w:spacing w:before="240" w:after="160" w:line="225" w:lineRule="atLeast"/>
        <w:rPr>
          <w:rFonts w:cs="Times New Roman"/>
          <w:i/>
          <w:color w:val="222222"/>
        </w:rPr>
      </w:pPr>
      <m:oMathPara>
        <m:oMath>
          <m:r>
            <w:rPr>
              <w:rFonts w:ascii="Cambria Math" w:hAnsi="Cambria Math" w:cs="Times New Roman"/>
              <w:color w:val="222222"/>
            </w:rPr>
            <m:t>if X  and Y</m:t>
          </m:r>
          <m:r>
            <w:rPr>
              <w:rFonts w:ascii="Cambria Math" w:hAnsi="Cambria Math" w:cs="Times New Roman"/>
              <w:color w:val="282829"/>
              <w:shd w:val="clear" w:color="auto" w:fill="FFFFFF"/>
            </w:rPr>
            <m:t xml:space="preserve">≺Z </m:t>
          </m:r>
          <m:r>
            <m:rPr>
              <m:sty m:val="p"/>
            </m:rPr>
            <w:rPr>
              <w:rFonts w:ascii="Cambria Math" w:hAnsi="Cambria Math" w:cs="Times New Roman"/>
            </w:rPr>
            <m:t>⇒</m:t>
          </m:r>
          <m:r>
            <w:rPr>
              <w:rFonts w:ascii="Cambria Math" w:hAnsi="Cambria Math" w:cs="Times New Roman"/>
              <w:color w:val="282829"/>
              <w:shd w:val="clear" w:color="auto" w:fill="FFFFFF"/>
            </w:rPr>
            <m:t xml:space="preserve"> X≺Z</m:t>
          </m:r>
        </m:oMath>
      </m:oMathPara>
    </w:p>
    <w:p w14:paraId="4BDA6EFB" w14:textId="735F9C26" w:rsidR="00092C4A" w:rsidRPr="00DA405F" w:rsidRDefault="00192C4F" w:rsidP="00754831">
      <w:pPr>
        <w:pStyle w:val="Textbody"/>
        <w:spacing w:before="240" w:after="160" w:line="225" w:lineRule="atLeast"/>
        <w:rPr>
          <w:rFonts w:cs="Times New Roman"/>
          <w:color w:val="222222"/>
        </w:rPr>
      </w:pPr>
      <w:r w:rsidRPr="00DA405F">
        <w:rPr>
          <w:rFonts w:cs="Times New Roman"/>
          <w:color w:val="222222"/>
        </w:rPr>
        <w:t xml:space="preserve">If a bundle </w:t>
      </w:r>
      <m:oMath>
        <m:r>
          <m:rPr>
            <m:sty m:val="bi"/>
          </m:rPr>
          <w:rPr>
            <w:rFonts w:ascii="Cambria Math" w:hAnsi="Cambria Math" w:cs="Times New Roman"/>
            <w:color w:val="222222"/>
          </w:rPr>
          <m:t>X</m:t>
        </m:r>
      </m:oMath>
      <w:r w:rsidRPr="00DA405F">
        <w:rPr>
          <w:rFonts w:cs="Times New Roman"/>
          <w:color w:val="222222"/>
        </w:rPr>
        <w:t xml:space="preserve"> is preferred to a bundle </w:t>
      </w:r>
      <m:oMath>
        <m:r>
          <m:rPr>
            <m:sty m:val="bi"/>
          </m:rPr>
          <w:rPr>
            <w:rFonts w:ascii="Cambria Math" w:hAnsi="Cambria Math" w:cs="Times New Roman"/>
            <w:color w:val="222222"/>
          </w:rPr>
          <m:t>Y</m:t>
        </m:r>
      </m:oMath>
      <w:r w:rsidRPr="00DA405F">
        <w:rPr>
          <w:rFonts w:cs="Times New Roman"/>
          <w:color w:val="222222"/>
        </w:rPr>
        <w:t xml:space="preserve">, and a bundle </w:t>
      </w:r>
      <m:oMath>
        <m:r>
          <m:rPr>
            <m:sty m:val="bi"/>
          </m:rPr>
          <w:rPr>
            <w:rFonts w:ascii="Cambria Math" w:hAnsi="Cambria Math" w:cs="Times New Roman"/>
            <w:color w:val="222222"/>
          </w:rPr>
          <m:t>Y</m:t>
        </m:r>
      </m:oMath>
      <w:r w:rsidRPr="00DA405F">
        <w:rPr>
          <w:rFonts w:cs="Times New Roman"/>
          <w:color w:val="222222"/>
        </w:rPr>
        <w:t xml:space="preserve"> is preferred to a bundle </w:t>
      </w:r>
      <m:oMath>
        <m:r>
          <m:rPr>
            <m:sty m:val="bi"/>
          </m:rPr>
          <w:rPr>
            <w:rFonts w:ascii="Cambria Math" w:hAnsi="Cambria Math" w:cs="Times New Roman"/>
            <w:color w:val="222222"/>
          </w:rPr>
          <m:t>Z</m:t>
        </m:r>
      </m:oMath>
      <w:r w:rsidRPr="00DA405F">
        <w:rPr>
          <w:rFonts w:cs="Times New Roman"/>
          <w:color w:val="222222"/>
        </w:rPr>
        <w:t xml:space="preserve">, then bundle </w:t>
      </w:r>
      <m:oMath>
        <m:r>
          <m:rPr>
            <m:sty m:val="bi"/>
          </m:rPr>
          <w:rPr>
            <w:rFonts w:ascii="Cambria Math" w:hAnsi="Cambria Math" w:cs="Times New Roman"/>
            <w:color w:val="222222"/>
          </w:rPr>
          <m:t>X</m:t>
        </m:r>
      </m:oMath>
      <w:r w:rsidRPr="00DA405F">
        <w:rPr>
          <w:rFonts w:cs="Times New Roman"/>
          <w:color w:val="222222"/>
        </w:rPr>
        <w:t xml:space="preserve"> is preferred to bundle </w:t>
      </w:r>
      <m:oMath>
        <m:r>
          <m:rPr>
            <m:sty m:val="bi"/>
          </m:rPr>
          <w:rPr>
            <w:rFonts w:ascii="Cambria Math" w:hAnsi="Cambria Math" w:cs="Times New Roman"/>
            <w:color w:val="222222"/>
          </w:rPr>
          <m:t>Z</m:t>
        </m:r>
      </m:oMath>
      <w:r w:rsidR="00092C4A" w:rsidRPr="00DA405F">
        <w:rPr>
          <w:rFonts w:cs="Times New Roman"/>
          <w:color w:val="222222"/>
        </w:rPr>
        <w:t>. A third implication is that we ignore goods that might have disutility and assume that a greater magnitude of a good(s) in a bundle is always preferential</w:t>
      </w:r>
      <w:r w:rsidR="00D72E87" w:rsidRPr="00DA405F">
        <w:rPr>
          <w:rFonts w:cs="Times New Roman"/>
          <w:color w:val="222222"/>
        </w:rPr>
        <w:t xml:space="preserve"> (as </w:t>
      </w:r>
      <w:r w:rsidR="00B31203" w:rsidRPr="00DA405F">
        <w:rPr>
          <w:rFonts w:cs="Times New Roman"/>
          <w:color w:val="222222"/>
        </w:rPr>
        <w:t>illustrated</w:t>
      </w:r>
      <w:r w:rsidR="00D72E87" w:rsidRPr="00DA405F">
        <w:rPr>
          <w:rFonts w:cs="Times New Roman"/>
          <w:color w:val="222222"/>
        </w:rPr>
        <w:t xml:space="preserve"> in figure 1b)</w:t>
      </w:r>
      <w:r w:rsidR="00092C4A" w:rsidRPr="00DA405F">
        <w:rPr>
          <w:rFonts w:cs="Times New Roman"/>
          <w:color w:val="222222"/>
        </w:rPr>
        <w:t>.</w:t>
      </w:r>
    </w:p>
    <w:p w14:paraId="4C0254F0" w14:textId="49AD21B5" w:rsidR="004224D1" w:rsidRPr="00DA405F" w:rsidRDefault="000C6983">
      <w:pPr>
        <w:rPr>
          <w:rFonts w:ascii="Times New Roman" w:hAnsi="Times New Roman" w:cs="Times New Roman"/>
          <w:sz w:val="24"/>
          <w:szCs w:val="24"/>
        </w:rPr>
      </w:pPr>
      <w:r w:rsidRPr="00DA405F">
        <w:rPr>
          <w:rFonts w:ascii="Times New Roman" w:hAnsi="Times New Roman" w:cs="Times New Roman"/>
          <w:sz w:val="24"/>
          <w:szCs w:val="24"/>
        </w:rPr>
        <w:t xml:space="preserve">However, </w:t>
      </w:r>
      <w:r w:rsidR="007C3B3E" w:rsidRPr="00DA405F">
        <w:rPr>
          <w:rFonts w:ascii="Times New Roman" w:hAnsi="Times New Roman" w:cs="Times New Roman"/>
          <w:sz w:val="24"/>
          <w:szCs w:val="24"/>
        </w:rPr>
        <w:t xml:space="preserve">this ordinal revealed preference theory of utility </w:t>
      </w:r>
      <w:r w:rsidRPr="00DA405F">
        <w:rPr>
          <w:rFonts w:ascii="Times New Roman" w:hAnsi="Times New Roman" w:cs="Times New Roman"/>
          <w:sz w:val="24"/>
          <w:szCs w:val="24"/>
        </w:rPr>
        <w:t xml:space="preserve">can only </w:t>
      </w:r>
      <w:r w:rsidR="007C3B3E" w:rsidRPr="00DA405F">
        <w:rPr>
          <w:rFonts w:ascii="Times New Roman" w:hAnsi="Times New Roman" w:cs="Times New Roman"/>
          <w:sz w:val="24"/>
          <w:szCs w:val="24"/>
        </w:rPr>
        <w:t xml:space="preserve">explain choices made </w:t>
      </w:r>
      <w:r w:rsidRPr="00DA405F">
        <w:rPr>
          <w:rFonts w:ascii="Times New Roman" w:hAnsi="Times New Roman" w:cs="Times New Roman"/>
          <w:sz w:val="24"/>
          <w:szCs w:val="24"/>
        </w:rPr>
        <w:t>between certain (riskless) choices</w:t>
      </w:r>
      <w:r w:rsidR="007C3B3E" w:rsidRPr="00DA405F">
        <w:rPr>
          <w:rFonts w:ascii="Times New Roman" w:hAnsi="Times New Roman" w:cs="Times New Roman"/>
          <w:sz w:val="24"/>
          <w:szCs w:val="24"/>
        </w:rPr>
        <w:t>.</w:t>
      </w:r>
      <w:r w:rsidRPr="00DA405F">
        <w:rPr>
          <w:rFonts w:ascii="Times New Roman" w:hAnsi="Times New Roman" w:cs="Times New Roman"/>
          <w:sz w:val="24"/>
          <w:szCs w:val="24"/>
        </w:rPr>
        <w:t xml:space="preserve"> It was not until 1944 that von Neumann and Morgenstern showed that a cardinal utility function could be sampled from a subjects choices between risky gambles in their seminal work </w:t>
      </w:r>
      <w:r w:rsidRPr="00DA405F">
        <w:rPr>
          <w:rFonts w:ascii="Times New Roman" w:hAnsi="Times New Roman" w:cs="Times New Roman"/>
          <w:sz w:val="24"/>
          <w:szCs w:val="24"/>
        </w:rPr>
        <w:fldChar w:fldCharType="begin" w:fldLock="1"/>
      </w:r>
      <w:r w:rsidR="00F025E6" w:rsidRPr="00DA405F">
        <w:rPr>
          <w:rFonts w:ascii="Times New Roman" w:hAnsi="Times New Roman" w:cs="Times New Roman"/>
          <w:sz w:val="24"/>
          <w:szCs w:val="24"/>
        </w:rPr>
        <w:instrText>ADDIN CSL_CITATION {"citationItems":[{"id":"ITEM-1","itemData":{"author":[{"dropping-particle":"","family":"Neumann, J Morgenstern","given":"O","non-dropping-particle":"von","parse-names":false,"suffix":""}],"container-title":"Princeton University Press","id":"ITEM-1","issued":{"date-parts":[["1944"]]},"title":"Theory of games and economic behavior","type":"article-journal"},"uris":["http://www.mendeley.com/documents/?uuid=73de79b1-cc48-4452-bfa0-a5a0573774da"]}],"mendeley":{"formattedCitation":"(von Neumann, J Morgenstern, 1944)","plainTextFormattedCitation":"(von Neumann, J Morgenstern, 1944)","previouslyFormattedCitation":"(von Neumann, J Morgenstern, 1944)"},"properties":{"noteIndex":0},"schema":"https://github.com/citation-style-language/schema/raw/master/csl-citation.json"}</w:instrText>
      </w:r>
      <w:r w:rsidRPr="00DA405F">
        <w:rPr>
          <w:rFonts w:ascii="Times New Roman" w:hAnsi="Times New Roman" w:cs="Times New Roman"/>
          <w:sz w:val="24"/>
          <w:szCs w:val="24"/>
        </w:rPr>
        <w:fldChar w:fldCharType="separate"/>
      </w:r>
      <w:r w:rsidRPr="00DA405F">
        <w:rPr>
          <w:rFonts w:ascii="Times New Roman" w:hAnsi="Times New Roman" w:cs="Times New Roman"/>
          <w:noProof/>
          <w:sz w:val="24"/>
          <w:szCs w:val="24"/>
        </w:rPr>
        <w:t>(von Neumann, J Morgenstern, 1944)</w:t>
      </w:r>
      <w:r w:rsidRPr="00DA405F">
        <w:rPr>
          <w:rFonts w:ascii="Times New Roman" w:hAnsi="Times New Roman" w:cs="Times New Roman"/>
          <w:sz w:val="24"/>
          <w:szCs w:val="24"/>
        </w:rPr>
        <w:fldChar w:fldCharType="end"/>
      </w:r>
      <w:r w:rsidRPr="00DA405F">
        <w:rPr>
          <w:rFonts w:ascii="Times New Roman" w:hAnsi="Times New Roman" w:cs="Times New Roman"/>
          <w:sz w:val="24"/>
          <w:szCs w:val="24"/>
        </w:rPr>
        <w:t>.</w:t>
      </w:r>
      <w:r w:rsidR="00EE5D90" w:rsidRPr="00DA405F">
        <w:rPr>
          <w:rFonts w:ascii="Times New Roman" w:hAnsi="Times New Roman" w:cs="Times New Roman"/>
          <w:sz w:val="24"/>
          <w:szCs w:val="24"/>
        </w:rPr>
        <w:t xml:space="preserve"> </w:t>
      </w:r>
      <w:r w:rsidR="006A6C3E" w:rsidRPr="00DA405F">
        <w:rPr>
          <w:rFonts w:ascii="Times New Roman" w:hAnsi="Times New Roman" w:cs="Times New Roman"/>
          <w:sz w:val="24"/>
          <w:szCs w:val="24"/>
        </w:rPr>
        <w:t>The authors proposed four axioms</w:t>
      </w:r>
      <w:r w:rsidR="00EE5D90" w:rsidRPr="00DA405F">
        <w:rPr>
          <w:rFonts w:ascii="Times New Roman" w:hAnsi="Times New Roman" w:cs="Times New Roman"/>
          <w:sz w:val="24"/>
          <w:szCs w:val="24"/>
        </w:rPr>
        <w:t xml:space="preserve"> (a further </w:t>
      </w:r>
      <w:r w:rsidR="00EE5D90" w:rsidRPr="00DA405F">
        <w:rPr>
          <w:rFonts w:ascii="Times New Roman" w:hAnsi="Times New Roman" w:cs="Times New Roman"/>
          <w:sz w:val="24"/>
          <w:szCs w:val="24"/>
        </w:rPr>
        <w:lastRenderedPageBreak/>
        <w:t>two plus those above in equations 1.3 and 1.4)</w:t>
      </w:r>
      <w:r w:rsidR="006A6C3E" w:rsidRPr="00DA405F">
        <w:rPr>
          <w:rFonts w:ascii="Times New Roman" w:hAnsi="Times New Roman" w:cs="Times New Roman"/>
          <w:sz w:val="24"/>
          <w:szCs w:val="24"/>
        </w:rPr>
        <w:t xml:space="preserve"> which any decision maker must satisfy if they can be said to be behaving </w:t>
      </w:r>
      <w:r w:rsidR="006A6C3E" w:rsidRPr="00DA405F">
        <w:rPr>
          <w:rFonts w:ascii="Times New Roman" w:hAnsi="Times New Roman" w:cs="Times New Roman"/>
          <w:i/>
          <w:iCs/>
          <w:sz w:val="24"/>
          <w:szCs w:val="24"/>
        </w:rPr>
        <w:t>as if</w:t>
      </w:r>
      <w:r w:rsidR="006A6C3E" w:rsidRPr="00DA405F">
        <w:rPr>
          <w:rFonts w:ascii="Times New Roman" w:hAnsi="Times New Roman" w:cs="Times New Roman"/>
          <w:sz w:val="24"/>
          <w:szCs w:val="24"/>
        </w:rPr>
        <w:t xml:space="preserve"> they are maximising their expected utility (as defined in equation 1.2</w:t>
      </w:r>
      <w:r w:rsidR="00F667DD" w:rsidRPr="00CD3967">
        <w:rPr>
          <w:rStyle w:val="FootnoteReference"/>
        </w:rPr>
        <w:footnoteReference w:id="6"/>
      </w:r>
      <w:r w:rsidR="006A6C3E" w:rsidRPr="00DA405F">
        <w:rPr>
          <w:rFonts w:ascii="Times New Roman" w:hAnsi="Times New Roman" w:cs="Times New Roman"/>
          <w:sz w:val="24"/>
          <w:szCs w:val="24"/>
        </w:rPr>
        <w:t xml:space="preserve">). </w:t>
      </w:r>
      <w:r w:rsidR="004224D1" w:rsidRPr="00DA405F">
        <w:rPr>
          <w:rFonts w:ascii="Times New Roman" w:hAnsi="Times New Roman" w:cs="Times New Roman"/>
          <w:sz w:val="24"/>
          <w:szCs w:val="24"/>
        </w:rPr>
        <w:t xml:space="preserve">These final two axioms are the axioms of </w:t>
      </w:r>
      <w:r w:rsidR="005C7827" w:rsidRPr="00DA405F">
        <w:rPr>
          <w:rFonts w:ascii="Times New Roman" w:hAnsi="Times New Roman" w:cs="Times New Roman"/>
          <w:sz w:val="24"/>
          <w:szCs w:val="24"/>
        </w:rPr>
        <w:t>c</w:t>
      </w:r>
      <w:r w:rsidR="004224D1" w:rsidRPr="00DA405F">
        <w:rPr>
          <w:rFonts w:ascii="Times New Roman" w:hAnsi="Times New Roman" w:cs="Times New Roman"/>
          <w:sz w:val="24"/>
          <w:szCs w:val="24"/>
        </w:rPr>
        <w:t xml:space="preserve">ontinuity and </w:t>
      </w:r>
      <w:r w:rsidR="005C7827" w:rsidRPr="00DA405F">
        <w:rPr>
          <w:rFonts w:ascii="Times New Roman" w:hAnsi="Times New Roman" w:cs="Times New Roman"/>
          <w:sz w:val="24"/>
          <w:szCs w:val="24"/>
        </w:rPr>
        <w:t>i</w:t>
      </w:r>
      <w:r w:rsidR="004224D1" w:rsidRPr="00DA405F">
        <w:rPr>
          <w:rFonts w:ascii="Times New Roman" w:hAnsi="Times New Roman" w:cs="Times New Roman"/>
          <w:sz w:val="24"/>
          <w:szCs w:val="24"/>
        </w:rPr>
        <w:t>ndependence, and are shown in equations 1.5 and 1.6:</w:t>
      </w:r>
    </w:p>
    <w:p w14:paraId="5FF06726" w14:textId="6C948E80" w:rsidR="004224D1" w:rsidRPr="00DA405F" w:rsidRDefault="004224D1" w:rsidP="004224D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1150D8">
        <w:rPr>
          <w:rFonts w:cs="Times New Roman"/>
          <w:noProof/>
        </w:rPr>
        <w:t>5</w:t>
      </w:r>
      <w:r w:rsidRPr="00DA405F">
        <w:rPr>
          <w:rFonts w:cs="Times New Roman"/>
        </w:rPr>
        <w:fldChar w:fldCharType="end"/>
      </w:r>
    </w:p>
    <w:p w14:paraId="06A181B3" w14:textId="29EAA9E1" w:rsidR="004224D1" w:rsidRPr="00DA405F" w:rsidRDefault="0071354C">
      <w:pPr>
        <w:rPr>
          <w:rFonts w:ascii="Times New Roman" w:eastAsiaTheme="minorEastAsia" w:hAnsi="Times New Roman" w:cs="Times New Roman"/>
          <w:i/>
          <w:color w:val="242729"/>
          <w:sz w:val="24"/>
          <w:szCs w:val="24"/>
          <w:shd w:val="clear" w:color="auto" w:fill="FFFFFF"/>
        </w:rPr>
      </w:pPr>
      <m:oMathPara>
        <m:oMath>
          <m:r>
            <w:rPr>
              <w:rFonts w:ascii="Cambria Math" w:hAnsi="Cambria Math" w:cs="Times New Roman"/>
              <w:color w:val="202124"/>
              <w:sz w:val="24"/>
              <w:szCs w:val="24"/>
              <w:shd w:val="clear" w:color="auto" w:fill="FFFFFF"/>
            </w:rPr>
            <m:t>∀</m:t>
          </m:r>
          <m:r>
            <w:rPr>
              <w:rFonts w:ascii="Cambria Math" w:hAnsi="Cambria Math" w:cs="Times New Roman"/>
              <w:sz w:val="24"/>
              <w:szCs w:val="24"/>
            </w:rPr>
            <m:t>X</m:t>
          </m:r>
          <m:r>
            <w:rPr>
              <w:rFonts w:ascii="Cambria Math" w:hAnsi="Cambria Math" w:cs="Times New Roman"/>
              <w:color w:val="282829"/>
              <w:sz w:val="24"/>
              <w:szCs w:val="24"/>
              <w:shd w:val="clear" w:color="auto" w:fill="FFFFFF"/>
            </w:rPr>
            <m:t>≾</m:t>
          </m:r>
          <m:r>
            <w:rPr>
              <w:rFonts w:ascii="Cambria Math" w:hAnsi="Cambria Math" w:cs="Times New Roman"/>
              <w:color w:val="222222"/>
              <w:sz w:val="24"/>
              <w:szCs w:val="24"/>
            </w:rPr>
            <m:t xml:space="preserve"> Y</m:t>
          </m:r>
          <m:r>
            <w:rPr>
              <w:rFonts w:ascii="Cambria Math" w:hAnsi="Cambria Math" w:cs="Times New Roman"/>
              <w:color w:val="282829"/>
              <w:sz w:val="24"/>
              <w:szCs w:val="24"/>
              <w:shd w:val="clear" w:color="auto" w:fill="FFFFFF"/>
            </w:rPr>
            <m:t>≾</m:t>
          </m:r>
          <m:r>
            <w:rPr>
              <w:rFonts w:ascii="Cambria Math" w:hAnsi="Cambria Math" w:cs="Times New Roman"/>
              <w:color w:val="222222"/>
              <w:sz w:val="24"/>
              <w:szCs w:val="24"/>
            </w:rPr>
            <m:t xml:space="preserve"> Z, </m:t>
          </m:r>
          <m:r>
            <w:rPr>
              <w:rFonts w:ascii="Cambria Math" w:hAnsi="Cambria Math" w:cs="Times New Roman"/>
              <w:color w:val="202124"/>
              <w:sz w:val="24"/>
              <w:szCs w:val="24"/>
              <w:shd w:val="clear" w:color="auto" w:fill="FFFFFF"/>
            </w:rPr>
            <m:t>∃p</m:t>
          </m:r>
          <m:r>
            <w:rPr>
              <w:rFonts w:ascii="Cambria Math" w:hAnsi="Cambria Math" w:cs="Times New Roman"/>
              <w:color w:val="242729"/>
              <w:sz w:val="24"/>
              <w:szCs w:val="24"/>
              <w:shd w:val="clear" w:color="auto" w:fill="FFFFFF"/>
            </w:rPr>
            <m:t>∈[0,1]:pX+(1-p)Y~Z</m:t>
          </m:r>
        </m:oMath>
      </m:oMathPara>
    </w:p>
    <w:p w14:paraId="21BD9C47" w14:textId="6D6AFFEF" w:rsidR="009A3945" w:rsidRPr="00DA405F" w:rsidRDefault="006A5569">
      <w:pPr>
        <w:rPr>
          <w:rFonts w:ascii="Times New Roman" w:hAnsi="Times New Roman" w:cs="Times New Roman"/>
          <w:iCs/>
          <w:sz w:val="24"/>
          <w:szCs w:val="24"/>
        </w:rPr>
      </w:pPr>
      <w:r w:rsidRPr="00DA405F">
        <w:rPr>
          <w:rFonts w:ascii="Times New Roman" w:eastAsiaTheme="minorEastAsia" w:hAnsi="Times New Roman" w:cs="Times New Roman"/>
          <w:iCs/>
          <w:color w:val="242729"/>
          <w:sz w:val="24"/>
          <w:szCs w:val="24"/>
          <w:shd w:val="clear" w:color="auto" w:fill="FFFFFF"/>
        </w:rPr>
        <w:t>For all choices where</w:t>
      </w:r>
      <w:r w:rsidR="009A3945"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is preferred to </w:t>
      </w:r>
      <m:oMath>
        <m:r>
          <m:rPr>
            <m:sty m:val="bi"/>
          </m:rPr>
          <w:rPr>
            <w:rFonts w:ascii="Cambria Math" w:eastAsiaTheme="minorEastAsia" w:hAnsi="Cambria Math" w:cs="Times New Roman"/>
            <w:color w:val="242729"/>
            <w:sz w:val="24"/>
            <w:szCs w:val="24"/>
            <w:shd w:val="clear" w:color="auto" w:fill="FFFFFF"/>
          </w:rPr>
          <m:t>Y</m:t>
        </m:r>
      </m:oMath>
      <w:r w:rsidR="009A3945" w:rsidRPr="00DA405F">
        <w:rPr>
          <w:rFonts w:ascii="Times New Roman" w:eastAsiaTheme="minorEastAsia" w:hAnsi="Times New Roman" w:cs="Times New Roman"/>
          <w:iCs/>
          <w:color w:val="242729"/>
          <w:sz w:val="24"/>
          <w:szCs w:val="24"/>
          <w:shd w:val="clear" w:color="auto" w:fill="FFFFFF"/>
        </w:rPr>
        <w:t xml:space="preserve">, which itself is preferred to </w:t>
      </w:r>
      <m:oMath>
        <m:r>
          <m:rPr>
            <m:sty m:val="bi"/>
          </m:rPr>
          <w:rPr>
            <w:rFonts w:ascii="Cambria Math" w:eastAsiaTheme="minorEastAsia" w:hAnsi="Cambria Math" w:cs="Times New Roman"/>
            <w:color w:val="242729"/>
            <w:sz w:val="24"/>
            <w:szCs w:val="24"/>
            <w:shd w:val="clear" w:color="auto" w:fill="FFFFFF"/>
          </w:rPr>
          <m:t>Z</m:t>
        </m:r>
      </m:oMath>
      <w:r w:rsidR="009A3945" w:rsidRPr="00DA405F">
        <w:rPr>
          <w:rFonts w:ascii="Times New Roman" w:eastAsiaTheme="minorEastAsia" w:hAnsi="Times New Roman" w:cs="Times New Roman"/>
          <w:iCs/>
          <w:color w:val="242729"/>
          <w:sz w:val="24"/>
          <w:szCs w:val="24"/>
          <w:shd w:val="clear" w:color="auto" w:fill="FFFFFF"/>
        </w:rPr>
        <w:t xml:space="preserve"> (and so, by transitivity, </w:t>
      </w:r>
      <m:oMath>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is preferred to </w:t>
      </w:r>
      <m:oMath>
        <m:r>
          <m:rPr>
            <m:sty m:val="bi"/>
          </m:rPr>
          <w:rPr>
            <w:rFonts w:ascii="Cambria Math" w:eastAsiaTheme="minorEastAsia" w:hAnsi="Cambria Math" w:cs="Times New Roman"/>
            <w:color w:val="242729"/>
            <w:sz w:val="24"/>
            <w:szCs w:val="24"/>
            <w:shd w:val="clear" w:color="auto" w:fill="FFFFFF"/>
          </w:rPr>
          <m:t>Z</m:t>
        </m:r>
      </m:oMath>
      <w:r w:rsidR="009A3945" w:rsidRPr="00DA405F">
        <w:rPr>
          <w:rFonts w:ascii="Times New Roman" w:eastAsiaTheme="minorEastAsia" w:hAnsi="Times New Roman" w:cs="Times New Roman"/>
          <w:iCs/>
          <w:color w:val="242729"/>
          <w:sz w:val="24"/>
          <w:szCs w:val="24"/>
          <w:shd w:val="clear" w:color="auto" w:fill="FFFFFF"/>
        </w:rPr>
        <w:t xml:space="preserve">), there must exist some probability </w:t>
      </w:r>
      <m:oMath>
        <m:r>
          <m:rPr>
            <m:sty m:val="bi"/>
          </m:rPr>
          <w:rPr>
            <w:rFonts w:ascii="Cambria Math" w:eastAsiaTheme="minorEastAsia" w:hAnsi="Cambria Math" w:cs="Times New Roman"/>
            <w:color w:val="242729"/>
            <w:sz w:val="24"/>
            <w:szCs w:val="24"/>
            <w:shd w:val="clear" w:color="auto" w:fill="FFFFFF"/>
          </w:rPr>
          <m:t>p</m:t>
        </m:r>
      </m:oMath>
      <w:r w:rsidR="009A3945" w:rsidRPr="00DA405F">
        <w:rPr>
          <w:rFonts w:ascii="Times New Roman" w:eastAsiaTheme="minorEastAsia" w:hAnsi="Times New Roman" w:cs="Times New Roman"/>
          <w:iCs/>
          <w:color w:val="242729"/>
          <w:sz w:val="24"/>
          <w:szCs w:val="24"/>
          <w:shd w:val="clear" w:color="auto" w:fill="FFFFFF"/>
        </w:rPr>
        <w:t xml:space="preserve"> for which the composite of </w:t>
      </w:r>
      <m:oMath>
        <m:r>
          <m:rPr>
            <m:sty m:val="bi"/>
          </m:rPr>
          <w:rPr>
            <w:rFonts w:ascii="Cambria Math" w:eastAsiaTheme="minorEastAsia" w:hAnsi="Cambria Math" w:cs="Times New Roman"/>
            <w:color w:val="242729"/>
            <w:sz w:val="24"/>
            <w:szCs w:val="24"/>
            <w:shd w:val="clear" w:color="auto" w:fill="FFFFFF"/>
          </w:rPr>
          <m:t>p</m:t>
        </m:r>
        <m:r>
          <m:rPr>
            <m:sty m:val="b"/>
          </m:rPr>
          <w:rPr>
            <w:rFonts w:ascii="Cambria Math" w:hAnsi="Cambria Math" w:cs="Times New Roman"/>
            <w:sz w:val="24"/>
            <w:szCs w:val="24"/>
          </w:rPr>
          <m:t>⋅</m:t>
        </m:r>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and </w:t>
      </w:r>
      <m:oMath>
        <m:r>
          <m:rPr>
            <m:sty m:val="bi"/>
          </m:rPr>
          <w:rPr>
            <w:rFonts w:ascii="Cambria Math" w:eastAsiaTheme="minorEastAsia" w:hAnsi="Cambria Math" w:cs="Times New Roman"/>
            <w:color w:val="242729"/>
            <w:sz w:val="24"/>
            <w:szCs w:val="24"/>
            <w:shd w:val="clear" w:color="auto" w:fill="FFFFFF"/>
          </w:rPr>
          <m:t>(1-p)</m:t>
        </m:r>
        <m:r>
          <m:rPr>
            <m:sty m:val="b"/>
          </m:rPr>
          <w:rPr>
            <w:rFonts w:ascii="Cambria Math" w:hAnsi="Cambria Math" w:cs="Times New Roman"/>
            <w:sz w:val="24"/>
            <w:szCs w:val="24"/>
          </w:rPr>
          <m:t>⋅Z</m:t>
        </m:r>
      </m:oMath>
      <w:r w:rsidR="009A3945" w:rsidRPr="00DA405F">
        <w:rPr>
          <w:rFonts w:ascii="Times New Roman" w:eastAsiaTheme="minorEastAsia" w:hAnsi="Times New Roman" w:cs="Times New Roman"/>
          <w:iCs/>
          <w:color w:val="242729"/>
          <w:sz w:val="24"/>
          <w:szCs w:val="24"/>
          <w:shd w:val="clear" w:color="auto" w:fill="FFFFFF"/>
        </w:rPr>
        <w:t xml:space="preserve"> which is equal in preference to the </w:t>
      </w:r>
      <w:r w:rsidR="00356B9E">
        <w:rPr>
          <w:rFonts w:ascii="Times New Roman" w:eastAsiaTheme="minorEastAsia" w:hAnsi="Times New Roman" w:cs="Times New Roman"/>
          <w:iCs/>
          <w:color w:val="242729"/>
          <w:sz w:val="24"/>
          <w:szCs w:val="24"/>
          <w:shd w:val="clear" w:color="auto" w:fill="FFFFFF"/>
        </w:rPr>
        <w:t>second</w:t>
      </w:r>
      <w:r w:rsidR="009A3945" w:rsidRPr="00DA405F">
        <w:rPr>
          <w:rFonts w:ascii="Times New Roman" w:eastAsiaTheme="minorEastAsia" w:hAnsi="Times New Roman" w:cs="Times New Roman"/>
          <w:iCs/>
          <w:color w:val="242729"/>
          <w:sz w:val="24"/>
          <w:szCs w:val="24"/>
          <w:shd w:val="clear" w:color="auto" w:fill="FFFFFF"/>
        </w:rPr>
        <w:t xml:space="preserve"> option </w:t>
      </w:r>
      <m:oMath>
        <m:r>
          <m:rPr>
            <m:sty m:val="bi"/>
          </m:rPr>
          <w:rPr>
            <w:rFonts w:ascii="Cambria Math" w:eastAsiaTheme="minorEastAsia" w:hAnsi="Cambria Math" w:cs="Times New Roman"/>
            <w:color w:val="242729"/>
            <w:sz w:val="24"/>
            <w:szCs w:val="24"/>
            <w:shd w:val="clear" w:color="auto" w:fill="FFFFFF"/>
          </w:rPr>
          <m:t>Y</m:t>
        </m:r>
      </m:oMath>
      <w:r w:rsidR="009A3945" w:rsidRPr="00DA405F">
        <w:rPr>
          <w:rFonts w:ascii="Times New Roman" w:eastAsiaTheme="minorEastAsia" w:hAnsi="Times New Roman" w:cs="Times New Roman"/>
          <w:iCs/>
          <w:color w:val="242729"/>
          <w:sz w:val="24"/>
          <w:szCs w:val="24"/>
          <w:shd w:val="clear" w:color="auto" w:fill="FFFFFF"/>
        </w:rPr>
        <w:t>.</w:t>
      </w:r>
      <w:r w:rsidR="00852E65" w:rsidRPr="00DA405F">
        <w:rPr>
          <w:rFonts w:ascii="Times New Roman" w:eastAsiaTheme="minorEastAsia" w:hAnsi="Times New Roman" w:cs="Times New Roman"/>
          <w:iCs/>
          <w:color w:val="242729"/>
          <w:sz w:val="24"/>
          <w:szCs w:val="24"/>
          <w:shd w:val="clear" w:color="auto" w:fill="FFFFFF"/>
        </w:rPr>
        <w:t>The continuity axiom dictates that the ordered choices of revealed preference theory can be compared on a continuous scale of utility where probability and magnitude of outcome are integrated.</w:t>
      </w:r>
    </w:p>
    <w:p w14:paraId="3A22E5B5" w14:textId="0D6EDDC9" w:rsidR="004224D1" w:rsidRPr="00DA405F" w:rsidRDefault="004224D1" w:rsidP="004224D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1150D8">
        <w:rPr>
          <w:rFonts w:cs="Times New Roman"/>
          <w:noProof/>
        </w:rPr>
        <w:t>6</w:t>
      </w:r>
      <w:r w:rsidRPr="00DA405F">
        <w:rPr>
          <w:rFonts w:cs="Times New Roman"/>
        </w:rPr>
        <w:fldChar w:fldCharType="end"/>
      </w:r>
    </w:p>
    <w:p w14:paraId="003833C7" w14:textId="49A80616" w:rsidR="004224D1" w:rsidRPr="00DA405F" w:rsidRDefault="0031296E">
      <w:pPr>
        <w:rPr>
          <w:rFonts w:ascii="Times New Roman" w:eastAsiaTheme="minorEastAsia" w:hAnsi="Times New Roman" w:cs="Times New Roman"/>
          <w:i/>
          <w:sz w:val="24"/>
          <w:szCs w:val="24"/>
        </w:rPr>
      </w:pPr>
      <m:oMathPara>
        <m:oMath>
          <m:r>
            <w:rPr>
              <w:rFonts w:ascii="Cambria Math" w:hAnsi="Cambria Math" w:cs="Times New Roman"/>
              <w:color w:val="202124"/>
              <w:sz w:val="24"/>
              <w:szCs w:val="24"/>
              <w:shd w:val="clear" w:color="auto" w:fill="FFFFFF"/>
            </w:rPr>
            <m:t>∀</m:t>
          </m:r>
          <m:r>
            <w:rPr>
              <w:rFonts w:ascii="Cambria Math" w:hAnsi="Cambria Math" w:cs="Times New Roman"/>
              <w:sz w:val="24"/>
              <w:szCs w:val="24"/>
            </w:rPr>
            <m:t xml:space="preserve">X≾Y, </m:t>
          </m:r>
          <m:r>
            <m:rPr>
              <m:sty m:val="p"/>
            </m:rPr>
            <w:rPr>
              <w:rFonts w:ascii="Cambria Math" w:hAnsi="Cambria Math" w:cs="Times New Roman"/>
              <w:sz w:val="24"/>
              <w:szCs w:val="24"/>
            </w:rPr>
            <m:t>⇒</m:t>
          </m:r>
          <m:r>
            <w:rPr>
              <w:rFonts w:ascii="Cambria Math" w:hAnsi="Cambria Math" w:cs="Times New Roman"/>
              <w:color w:val="202124"/>
              <w:sz w:val="24"/>
              <w:szCs w:val="24"/>
              <w:shd w:val="clear" w:color="auto" w:fill="FFFFFF"/>
            </w:rPr>
            <m:t>∀Z and ∀p</m:t>
          </m:r>
          <m:r>
            <w:rPr>
              <w:rFonts w:ascii="Cambria Math" w:hAnsi="Cambria Math" w:cs="Times New Roman"/>
              <w:color w:val="242729"/>
              <w:sz w:val="24"/>
              <w:szCs w:val="24"/>
              <w:shd w:val="clear" w:color="auto" w:fill="FFFFFF"/>
            </w:rPr>
            <m:t>∈[0,1]: pX + (1-p)Z</m:t>
          </m:r>
          <m:r>
            <w:rPr>
              <w:rFonts w:ascii="Cambria Math" w:hAnsi="Cambria Math" w:cs="Times New Roman"/>
              <w:sz w:val="24"/>
              <w:szCs w:val="24"/>
            </w:rPr>
            <m:t>≾pY + (1-p)Z</m:t>
          </m:r>
        </m:oMath>
      </m:oMathPara>
    </w:p>
    <w:p w14:paraId="3F8CA1B7" w14:textId="36D7F4DC" w:rsidR="005225D6" w:rsidRPr="00DA405F" w:rsidRDefault="007A3397">
      <w:pPr>
        <w:rPr>
          <w:rFonts w:ascii="Times New Roman" w:hAnsi="Times New Roman" w:cs="Times New Roman"/>
          <w:sz w:val="24"/>
          <w:szCs w:val="24"/>
        </w:rPr>
      </w:pPr>
      <w:r w:rsidRPr="00DA405F">
        <w:rPr>
          <w:rFonts w:ascii="Times New Roman" w:eastAsiaTheme="minorEastAsia" w:hAnsi="Times New Roman" w:cs="Times New Roman"/>
          <w:iCs/>
          <w:color w:val="242729"/>
          <w:sz w:val="24"/>
          <w:szCs w:val="24"/>
          <w:shd w:val="clear" w:color="auto" w:fill="FFFFFF"/>
        </w:rPr>
        <w:t>In all cases where</w:t>
      </w:r>
      <w:r w:rsidR="00EE58C0"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EE58C0" w:rsidRPr="00DA405F">
        <w:rPr>
          <w:rFonts w:ascii="Times New Roman" w:eastAsiaTheme="minorEastAsia" w:hAnsi="Times New Roman" w:cs="Times New Roman"/>
          <w:iCs/>
          <w:color w:val="242729"/>
          <w:sz w:val="24"/>
          <w:szCs w:val="24"/>
          <w:shd w:val="clear" w:color="auto" w:fill="FFFFFF"/>
        </w:rPr>
        <w:t xml:space="preserve"> is </w:t>
      </w:r>
      <w:r w:rsidRPr="00DA405F">
        <w:rPr>
          <w:rFonts w:ascii="Times New Roman" w:eastAsiaTheme="minorEastAsia" w:hAnsi="Times New Roman" w:cs="Times New Roman"/>
          <w:iCs/>
          <w:color w:val="242729"/>
          <w:sz w:val="24"/>
          <w:szCs w:val="24"/>
          <w:shd w:val="clear" w:color="auto" w:fill="FFFFFF"/>
        </w:rPr>
        <w:t>at least as preferable as</w:t>
      </w:r>
      <w:r w:rsidR="00EE58C0"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Y</m:t>
        </m:r>
      </m:oMath>
      <w:r w:rsidR="00EE58C0" w:rsidRPr="00DA405F">
        <w:rPr>
          <w:rFonts w:ascii="Times New Roman" w:eastAsiaTheme="minorEastAsia" w:hAnsi="Times New Roman" w:cs="Times New Roman"/>
          <w:iCs/>
          <w:color w:val="242729"/>
          <w:sz w:val="24"/>
          <w:szCs w:val="24"/>
          <w:shd w:val="clear" w:color="auto" w:fill="FFFFFF"/>
        </w:rPr>
        <w:t xml:space="preserve">, then for any possible third option </w:t>
      </w:r>
      <m:oMath>
        <m:r>
          <m:rPr>
            <m:sty m:val="bi"/>
          </m:rPr>
          <w:rPr>
            <w:rFonts w:ascii="Cambria Math" w:eastAsiaTheme="minorEastAsia" w:hAnsi="Cambria Math" w:cs="Times New Roman"/>
            <w:color w:val="242729"/>
            <w:sz w:val="24"/>
            <w:szCs w:val="24"/>
            <w:shd w:val="clear" w:color="auto" w:fill="FFFFFF"/>
          </w:rPr>
          <m:t>Z</m:t>
        </m:r>
      </m:oMath>
      <w:r w:rsidR="00EE58C0" w:rsidRPr="00DA405F">
        <w:rPr>
          <w:rFonts w:ascii="Times New Roman" w:eastAsiaTheme="minorEastAsia" w:hAnsi="Times New Roman" w:cs="Times New Roman"/>
          <w:iCs/>
          <w:color w:val="242729"/>
          <w:sz w:val="24"/>
          <w:szCs w:val="24"/>
          <w:shd w:val="clear" w:color="auto" w:fill="FFFFFF"/>
        </w:rPr>
        <w:t xml:space="preserve"> and any possible probability </w:t>
      </w:r>
      <m:oMath>
        <m:r>
          <m:rPr>
            <m:sty m:val="bi"/>
          </m:rPr>
          <w:rPr>
            <w:rFonts w:ascii="Cambria Math" w:eastAsiaTheme="minorEastAsia" w:hAnsi="Cambria Math" w:cs="Times New Roman"/>
            <w:color w:val="242729"/>
            <w:sz w:val="24"/>
            <w:szCs w:val="24"/>
            <w:shd w:val="clear" w:color="auto" w:fill="FFFFFF"/>
          </w:rPr>
          <m:t>p</m:t>
        </m:r>
      </m:oMath>
      <w:r w:rsidR="00EE58C0" w:rsidRPr="00DA405F">
        <w:rPr>
          <w:rFonts w:ascii="Times New Roman" w:eastAsiaTheme="minorEastAsia" w:hAnsi="Times New Roman" w:cs="Times New Roman"/>
          <w:iCs/>
          <w:color w:val="242729"/>
          <w:sz w:val="24"/>
          <w:szCs w:val="24"/>
          <w:shd w:val="clear" w:color="auto" w:fill="FFFFFF"/>
        </w:rPr>
        <w:t xml:space="preserve">, the bundling of either the probability </w:t>
      </w:r>
      <m:oMath>
        <m:r>
          <m:rPr>
            <m:sty m:val="bi"/>
          </m:rPr>
          <w:rPr>
            <w:rFonts w:ascii="Cambria Math" w:eastAsiaTheme="minorEastAsia" w:hAnsi="Cambria Math" w:cs="Times New Roman"/>
            <w:color w:val="242729"/>
            <w:sz w:val="24"/>
            <w:szCs w:val="24"/>
            <w:shd w:val="clear" w:color="auto" w:fill="FFFFFF"/>
          </w:rPr>
          <m:t>p</m:t>
        </m:r>
      </m:oMath>
      <w:r w:rsidR="00571AE9" w:rsidRPr="00DA405F">
        <w:rPr>
          <w:rFonts w:ascii="Times New Roman" w:eastAsiaTheme="minorEastAsia" w:hAnsi="Times New Roman" w:cs="Times New Roman"/>
          <w:iCs/>
          <w:color w:val="242729"/>
          <w:sz w:val="24"/>
          <w:szCs w:val="24"/>
          <w:shd w:val="clear" w:color="auto" w:fill="FFFFFF"/>
        </w:rPr>
        <w:t xml:space="preserve"> or the third option </w:t>
      </w:r>
      <m:oMath>
        <m:r>
          <m:rPr>
            <m:sty m:val="bi"/>
          </m:rPr>
          <w:rPr>
            <w:rFonts w:ascii="Cambria Math" w:eastAsiaTheme="minorEastAsia" w:hAnsi="Cambria Math" w:cs="Times New Roman"/>
            <w:color w:val="242729"/>
            <w:sz w:val="24"/>
            <w:szCs w:val="24"/>
            <w:shd w:val="clear" w:color="auto" w:fill="FFFFFF"/>
          </w:rPr>
          <m:t>Z</m:t>
        </m:r>
      </m:oMath>
      <w:r w:rsidR="00571AE9" w:rsidRPr="00DA405F">
        <w:rPr>
          <w:rFonts w:ascii="Times New Roman" w:eastAsiaTheme="minorEastAsia" w:hAnsi="Times New Roman" w:cs="Times New Roman"/>
          <w:iCs/>
          <w:color w:val="242729"/>
          <w:sz w:val="24"/>
          <w:szCs w:val="24"/>
          <w:shd w:val="clear" w:color="auto" w:fill="FFFFFF"/>
        </w:rPr>
        <w:t xml:space="preserve"> to both sides of the original choice should have no effect on the preference of the first option over the second</w:t>
      </w:r>
      <w:r w:rsidR="00000F4E" w:rsidRPr="00DA405F">
        <w:rPr>
          <w:rFonts w:ascii="Times New Roman" w:eastAsiaTheme="minorEastAsia" w:hAnsi="Times New Roman" w:cs="Times New Roman"/>
          <w:iCs/>
          <w:color w:val="242729"/>
          <w:sz w:val="24"/>
          <w:szCs w:val="24"/>
          <w:shd w:val="clear" w:color="auto" w:fill="FFFFFF"/>
        </w:rPr>
        <w:t xml:space="preserve">. </w:t>
      </w:r>
      <w:r w:rsidR="00000F4E" w:rsidRPr="00DA405F">
        <w:rPr>
          <w:rFonts w:ascii="Times New Roman" w:hAnsi="Times New Roman" w:cs="Times New Roman"/>
          <w:sz w:val="24"/>
          <w:szCs w:val="24"/>
        </w:rPr>
        <w:t>If the</w:t>
      </w:r>
      <w:r w:rsidR="009A3945" w:rsidRPr="00DA405F">
        <w:rPr>
          <w:rFonts w:ascii="Times New Roman" w:hAnsi="Times New Roman" w:cs="Times New Roman"/>
          <w:sz w:val="24"/>
          <w:szCs w:val="24"/>
        </w:rPr>
        <w:t xml:space="preserve"> first three axioms of this Expected Utility Theory (</w:t>
      </w:r>
      <w:r w:rsidR="005C7827" w:rsidRPr="00DA405F">
        <w:rPr>
          <w:rFonts w:ascii="Times New Roman" w:hAnsi="Times New Roman" w:cs="Times New Roman"/>
          <w:sz w:val="24"/>
          <w:szCs w:val="24"/>
        </w:rPr>
        <w:t>c</w:t>
      </w:r>
      <w:r w:rsidR="009A3945" w:rsidRPr="00DA405F">
        <w:rPr>
          <w:rFonts w:ascii="Times New Roman" w:hAnsi="Times New Roman" w:cs="Times New Roman"/>
          <w:sz w:val="24"/>
          <w:szCs w:val="24"/>
        </w:rPr>
        <w:t xml:space="preserve">ompleteness, </w:t>
      </w:r>
      <w:r w:rsidR="005C7827" w:rsidRPr="00DA405F">
        <w:rPr>
          <w:rFonts w:ascii="Times New Roman" w:hAnsi="Times New Roman" w:cs="Times New Roman"/>
          <w:sz w:val="24"/>
          <w:szCs w:val="24"/>
        </w:rPr>
        <w:t>t</w:t>
      </w:r>
      <w:r w:rsidR="009A3945" w:rsidRPr="00DA405F">
        <w:rPr>
          <w:rFonts w:ascii="Times New Roman" w:hAnsi="Times New Roman" w:cs="Times New Roman"/>
          <w:sz w:val="24"/>
          <w:szCs w:val="24"/>
        </w:rPr>
        <w:t xml:space="preserve">ransitivity, and </w:t>
      </w:r>
      <w:r w:rsidR="005C7827" w:rsidRPr="00DA405F">
        <w:rPr>
          <w:rFonts w:ascii="Times New Roman" w:hAnsi="Times New Roman" w:cs="Times New Roman"/>
          <w:sz w:val="24"/>
          <w:szCs w:val="24"/>
        </w:rPr>
        <w:t>c</w:t>
      </w:r>
      <w:r w:rsidR="009A3945" w:rsidRPr="00DA405F">
        <w:rPr>
          <w:rFonts w:ascii="Times New Roman" w:hAnsi="Times New Roman" w:cs="Times New Roman"/>
          <w:sz w:val="24"/>
          <w:szCs w:val="24"/>
        </w:rPr>
        <w:t>ontinuity) describe the shape of a utility function</w:t>
      </w:r>
      <w:r w:rsidR="005C7827" w:rsidRPr="00DA405F">
        <w:rPr>
          <w:rFonts w:ascii="Times New Roman" w:hAnsi="Times New Roman" w:cs="Times New Roman"/>
          <w:sz w:val="24"/>
          <w:szCs w:val="24"/>
        </w:rPr>
        <w:t xml:space="preserve">, the independence axiom states that preferences should be static. The order choices are presented in, or the addition of decoys to the presented choice should have no effect </w:t>
      </w:r>
      <w:r w:rsidR="003127E9">
        <w:rPr>
          <w:rFonts w:ascii="Times New Roman" w:hAnsi="Times New Roman" w:cs="Times New Roman"/>
          <w:sz w:val="24"/>
          <w:szCs w:val="24"/>
        </w:rPr>
        <w:t xml:space="preserve">on </w:t>
      </w:r>
      <w:r w:rsidR="005C7827" w:rsidRPr="00DA405F">
        <w:rPr>
          <w:rFonts w:ascii="Times New Roman" w:hAnsi="Times New Roman" w:cs="Times New Roman"/>
          <w:sz w:val="24"/>
          <w:szCs w:val="24"/>
        </w:rPr>
        <w:t>which is chosen.</w:t>
      </w:r>
    </w:p>
    <w:p w14:paraId="527C85BC" w14:textId="4386620A" w:rsidR="003160B4" w:rsidRPr="00DA405F" w:rsidRDefault="002D37BC">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Any economic decision-maker that satisfies these four axioms can be said to be </w:t>
      </w:r>
      <w:r w:rsidR="007413C6" w:rsidRPr="00DA405F">
        <w:rPr>
          <w:rFonts w:ascii="Times New Roman" w:eastAsiaTheme="minorEastAsia" w:hAnsi="Times New Roman" w:cs="Times New Roman"/>
          <w:iCs/>
          <w:color w:val="242729"/>
          <w:sz w:val="24"/>
          <w:szCs w:val="24"/>
          <w:shd w:val="clear" w:color="auto" w:fill="FFFFFF"/>
        </w:rPr>
        <w:t>making choices</w:t>
      </w:r>
      <w:r w:rsidRPr="00DA405F">
        <w:rPr>
          <w:rFonts w:ascii="Times New Roman" w:eastAsiaTheme="minorEastAsia" w:hAnsi="Times New Roman" w:cs="Times New Roman"/>
          <w:iCs/>
          <w:color w:val="242729"/>
          <w:sz w:val="24"/>
          <w:szCs w:val="24"/>
          <w:shd w:val="clear" w:color="auto" w:fill="FFFFFF"/>
        </w:rPr>
        <w:t xml:space="preserve"> </w:t>
      </w:r>
      <w:r w:rsidR="007413C6" w:rsidRPr="00DA405F">
        <w:rPr>
          <w:rFonts w:ascii="Times New Roman" w:eastAsiaTheme="minorEastAsia" w:hAnsi="Times New Roman" w:cs="Times New Roman"/>
          <w:iCs/>
          <w:color w:val="242729"/>
          <w:sz w:val="24"/>
          <w:szCs w:val="24"/>
          <w:shd w:val="clear" w:color="auto" w:fill="FFFFFF"/>
        </w:rPr>
        <w:t xml:space="preserve">as if they are trying to maximise their utility. </w:t>
      </w:r>
      <w:r w:rsidR="006A1692" w:rsidRPr="00DA405F">
        <w:rPr>
          <w:rFonts w:ascii="Times New Roman" w:eastAsiaTheme="minorEastAsia" w:hAnsi="Times New Roman" w:cs="Times New Roman"/>
          <w:iCs/>
          <w:color w:val="242729"/>
          <w:sz w:val="24"/>
          <w:szCs w:val="24"/>
          <w:shd w:val="clear" w:color="auto" w:fill="FFFFFF"/>
        </w:rPr>
        <w:t>Thus, the formalisation by von Neumann and Morgenstern allowed for measurement of an organisms utility from the binary choices</w:t>
      </w:r>
      <w:r w:rsidR="00B90F2D" w:rsidRPr="00CD3967">
        <w:rPr>
          <w:rStyle w:val="FootnoteReference"/>
        </w:rPr>
        <w:footnoteReference w:id="7"/>
      </w:r>
      <w:r w:rsidR="006A1692" w:rsidRPr="00DA405F">
        <w:rPr>
          <w:rFonts w:ascii="Times New Roman" w:eastAsiaTheme="minorEastAsia" w:hAnsi="Times New Roman" w:cs="Times New Roman"/>
          <w:iCs/>
          <w:color w:val="242729"/>
          <w:sz w:val="24"/>
          <w:szCs w:val="24"/>
          <w:shd w:val="clear" w:color="auto" w:fill="FFFFFF"/>
        </w:rPr>
        <w:t xml:space="preserve"> they make between bundles of goods with given probabilities</w:t>
      </w:r>
      <w:r w:rsidR="001D5852" w:rsidRPr="00DA405F">
        <w:rPr>
          <w:rFonts w:ascii="Times New Roman" w:eastAsiaTheme="minorEastAsia" w:hAnsi="Times New Roman" w:cs="Times New Roman"/>
          <w:iCs/>
          <w:color w:val="242729"/>
          <w:sz w:val="24"/>
          <w:szCs w:val="24"/>
          <w:shd w:val="clear" w:color="auto" w:fill="FFFFFF"/>
        </w:rPr>
        <w:t>, and underpins the last half of a century of research into both human</w:t>
      </w:r>
      <w:r w:rsidR="00F667DD" w:rsidRPr="00DA405F">
        <w:rPr>
          <w:rFonts w:ascii="Times New Roman" w:eastAsiaTheme="minorEastAsia" w:hAnsi="Times New Roman" w:cs="Times New Roman"/>
          <w:iCs/>
          <w:color w:val="242729"/>
          <w:sz w:val="24"/>
          <w:szCs w:val="24"/>
          <w:shd w:val="clear" w:color="auto" w:fill="FFFFFF"/>
        </w:rPr>
        <w:t xml:space="preserve"> </w:t>
      </w:r>
      <w:r w:rsidR="00F667DD" w:rsidRPr="00DA405F">
        <w:rPr>
          <w:rFonts w:ascii="Times New Roman" w:eastAsiaTheme="minorEastAsia" w:hAnsi="Times New Roman" w:cs="Times New Roman"/>
          <w:iCs/>
          <w:color w:val="242729"/>
          <w:sz w:val="24"/>
          <w:szCs w:val="24"/>
          <w:shd w:val="clear" w:color="auto" w:fill="FFFFFF"/>
        </w:rPr>
        <w:fldChar w:fldCharType="begin" w:fldLock="1"/>
      </w:r>
      <w:r w:rsidR="00F667DD" w:rsidRPr="00DA405F">
        <w:rPr>
          <w:rFonts w:ascii="Times New Roman" w:eastAsiaTheme="minorEastAsia" w:hAnsi="Times New Roman" w:cs="Times New Roman"/>
          <w:iCs/>
          <w:color w:val="242729"/>
          <w:sz w:val="24"/>
          <w:szCs w:val="24"/>
          <w:shd w:val="clear" w:color="auto" w:fill="FFFFFF"/>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rsidR="00F667DD" w:rsidRPr="00DA405F">
        <w:rPr>
          <w:rFonts w:ascii="Times New Roman" w:eastAsiaTheme="minorEastAsia" w:hAnsi="Times New Roman" w:cs="Times New Roman"/>
          <w:iCs/>
          <w:color w:val="242729"/>
          <w:sz w:val="24"/>
          <w:szCs w:val="24"/>
          <w:shd w:val="clear" w:color="auto" w:fill="FFFFFF"/>
        </w:rPr>
        <w:fldChar w:fldCharType="separate"/>
      </w:r>
      <w:r w:rsidR="00F667DD" w:rsidRPr="00DA405F">
        <w:rPr>
          <w:rFonts w:ascii="Times New Roman" w:eastAsiaTheme="minorEastAsia" w:hAnsi="Times New Roman" w:cs="Times New Roman"/>
          <w:iCs/>
          <w:noProof/>
          <w:color w:val="242729"/>
          <w:sz w:val="24"/>
          <w:szCs w:val="24"/>
          <w:shd w:val="clear" w:color="auto" w:fill="FFFFFF"/>
        </w:rPr>
        <w:t>(Mosteller &amp; Nogee, 1951)</w:t>
      </w:r>
      <w:r w:rsidR="00F667DD" w:rsidRPr="00DA405F">
        <w:rPr>
          <w:rFonts w:ascii="Times New Roman" w:eastAsiaTheme="minorEastAsia" w:hAnsi="Times New Roman" w:cs="Times New Roman"/>
          <w:iCs/>
          <w:color w:val="242729"/>
          <w:sz w:val="24"/>
          <w:szCs w:val="24"/>
          <w:shd w:val="clear" w:color="auto" w:fill="FFFFFF"/>
        </w:rPr>
        <w:fldChar w:fldCharType="end"/>
      </w:r>
      <w:r w:rsidR="001D5852" w:rsidRPr="00DA405F">
        <w:rPr>
          <w:rFonts w:ascii="Times New Roman" w:eastAsiaTheme="minorEastAsia" w:hAnsi="Times New Roman" w:cs="Times New Roman"/>
          <w:iCs/>
          <w:color w:val="242729"/>
          <w:sz w:val="24"/>
          <w:szCs w:val="24"/>
          <w:shd w:val="clear" w:color="auto" w:fill="FFFFFF"/>
        </w:rPr>
        <w:t xml:space="preserve"> and animal</w:t>
      </w:r>
      <w:r w:rsidR="00F025E6" w:rsidRPr="00DA405F">
        <w:rPr>
          <w:rFonts w:ascii="Times New Roman" w:eastAsiaTheme="minorEastAsia" w:hAnsi="Times New Roman" w:cs="Times New Roman"/>
          <w:iCs/>
          <w:color w:val="242729"/>
          <w:sz w:val="24"/>
          <w:szCs w:val="24"/>
          <w:shd w:val="clear" w:color="auto" w:fill="FFFFFF"/>
        </w:rPr>
        <w:t xml:space="preserve"> </w:t>
      </w:r>
      <w:r w:rsidR="00F025E6" w:rsidRPr="00DA405F">
        <w:rPr>
          <w:rFonts w:ascii="Times New Roman" w:eastAsiaTheme="minorEastAsia" w:hAnsi="Times New Roman" w:cs="Times New Roman"/>
          <w:iCs/>
          <w:color w:val="242729"/>
          <w:sz w:val="24"/>
          <w:szCs w:val="24"/>
          <w:shd w:val="clear" w:color="auto" w:fill="FFFFFF"/>
        </w:rPr>
        <w:fldChar w:fldCharType="begin" w:fldLock="1"/>
      </w:r>
      <w:r w:rsidR="00664DCE">
        <w:rPr>
          <w:rFonts w:ascii="Times New Roman" w:eastAsiaTheme="minorEastAsia" w:hAnsi="Times New Roman" w:cs="Times New Roman"/>
          <w:iCs/>
          <w:color w:val="242729"/>
          <w:sz w:val="24"/>
          <w:szCs w:val="24"/>
          <w:shd w:val="clear" w:color="auto" w:fill="FFFFFF"/>
        </w:rPr>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Monkeys","type":"article-journal"},"uris":["http://www.mendeley.com/documents/?uuid=bef3edc0-3828-4b9c-8751-467a67638cc1"]},{"id":"ITEM-3","itemData":{"DOI":"10.1073/pnas.1602217113","ISSN":"10916490","PMID":"27402743","abstract":"Utility is the fundamental variable thought to underlie economic choices. In particular, utility functions are believed to reflect preferences toward risk, a key decision variable in many real-life situations. To assess the validity of utility representations, it is therefore important to examine risk preferences. In turn, this approach requires formal definitions of risk. A standard approach is to focus on the variance of reward distributions (variance-risk). In this study, we also examined a form of risk related to the skewness of reward distributions (skewness-risk). Thus, we tested the extent to which empirically derived utility functions predicted preferences for variance-risk and skewness-risk in macaques. The expected utilities calculated for various symmetrical and skewed gambles served to define formally the direction of stochastic dominance between gambles. In direct choices, the animals' preferences followed both second-order (variance) and third-order (skewness) stochastic dominance. Specifically, for gambles with different variance but identical expected values (EVs), the monkeys preferred high-variance gambles at low EVs and low-variance gambles at high EVs; in gambles with different skewness but identical EVs and variances, the animals preferred positively over symmetrical and negatively skewed gambles in a strongly transitive fashion. Thus, the utility functions predicted the animals' preferences for variance-risk and skewness-risk. Using these well-defined forms of risk, this study shows that monkeys' choices conform to the internal reward valuations suggested by their utility functions. This result implies a representation of utility in monkeys that accounts for both variance-risk and skewness-risk preferences.","author":[{"dropping-particle":"","family":"Genest","given":"Wilfried","non-dropping-particle":"","parse-names":false,"suffix":""},{"dropping-particle":"","family":"Stauffer","given":"William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America","id":"ITEM-3","issue":"30","issued":{"date-parts":[["2016"]]},"page":"8402-8407","title":"Utility functions predict variance and skewness risk preferences in monkeys","type":"article-journal","volume":"113"},"uris":["http://www.mendeley.com/documents/?uuid=459967bd-c3f9-4fdf-95c2-7c1b9e7efa8b"]}],"mendeley":{"formattedCitation":"(Ferrari-Toniolo et al., 2020; Genest et al., 2016; Pastor-Bernier et al., 2017)","plainTextFormattedCitation":"(Ferrari-Toniolo et al., 2020; Genest et al., 2016; Pastor-Bernier et al., 2017)","previouslyFormattedCitation":"(Ferrari-Toniolo et al., 2020; Genest et al., 2016; Pastor-Bernier et al., 2017)"},"properties":{"noteIndex":0},"schema":"https://github.com/citation-style-language/schema/raw/master/csl-citation.json"}</w:instrText>
      </w:r>
      <w:r w:rsidR="00F025E6" w:rsidRPr="00DA405F">
        <w:rPr>
          <w:rFonts w:ascii="Times New Roman" w:eastAsiaTheme="minorEastAsia" w:hAnsi="Times New Roman" w:cs="Times New Roman"/>
          <w:iCs/>
          <w:color w:val="242729"/>
          <w:sz w:val="24"/>
          <w:szCs w:val="24"/>
          <w:shd w:val="clear" w:color="auto" w:fill="FFFFFF"/>
        </w:rPr>
        <w:fldChar w:fldCharType="separate"/>
      </w:r>
      <w:r w:rsidR="00FA374C" w:rsidRPr="00FA374C">
        <w:rPr>
          <w:rFonts w:ascii="Times New Roman" w:eastAsiaTheme="minorEastAsia" w:hAnsi="Times New Roman" w:cs="Times New Roman"/>
          <w:iCs/>
          <w:noProof/>
          <w:color w:val="242729"/>
          <w:sz w:val="24"/>
          <w:szCs w:val="24"/>
          <w:shd w:val="clear" w:color="auto" w:fill="FFFFFF"/>
        </w:rPr>
        <w:t>(Ferrari-Toniolo et al., 2020; Genest et al., 2016; Pastor-Bernier et al., 2017)</w:t>
      </w:r>
      <w:r w:rsidR="00F025E6" w:rsidRPr="00DA405F">
        <w:rPr>
          <w:rFonts w:ascii="Times New Roman" w:eastAsiaTheme="minorEastAsia" w:hAnsi="Times New Roman" w:cs="Times New Roman"/>
          <w:iCs/>
          <w:color w:val="242729"/>
          <w:sz w:val="24"/>
          <w:szCs w:val="24"/>
          <w:shd w:val="clear" w:color="auto" w:fill="FFFFFF"/>
        </w:rPr>
        <w:fldChar w:fldCharType="end"/>
      </w:r>
      <w:r w:rsidR="001D5852" w:rsidRPr="00DA405F">
        <w:rPr>
          <w:rFonts w:ascii="Times New Roman" w:eastAsiaTheme="minorEastAsia" w:hAnsi="Times New Roman" w:cs="Times New Roman"/>
          <w:iCs/>
          <w:color w:val="242729"/>
          <w:sz w:val="24"/>
          <w:szCs w:val="24"/>
          <w:shd w:val="clear" w:color="auto" w:fill="FFFFFF"/>
        </w:rPr>
        <w:t xml:space="preserve"> studies of economic decision-making. </w:t>
      </w:r>
      <w:r w:rsidR="00F667DD" w:rsidRPr="00DA405F">
        <w:rPr>
          <w:rFonts w:ascii="Times New Roman" w:eastAsiaTheme="minorEastAsia" w:hAnsi="Times New Roman" w:cs="Times New Roman"/>
          <w:iCs/>
          <w:color w:val="242729"/>
          <w:sz w:val="24"/>
          <w:szCs w:val="24"/>
          <w:shd w:val="clear" w:color="auto" w:fill="FFFFFF"/>
        </w:rPr>
        <w:t xml:space="preserve">Even as many violations of the four axioms have been discovered during this time </w:t>
      </w:r>
      <w:r w:rsidR="005818FB" w:rsidRPr="00DA405F">
        <w:rPr>
          <w:rFonts w:ascii="Times New Roman" w:eastAsiaTheme="minorEastAsia" w:hAnsi="Times New Roman" w:cs="Times New Roman"/>
          <w:iCs/>
          <w:color w:val="242729"/>
          <w:sz w:val="24"/>
          <w:szCs w:val="24"/>
          <w:shd w:val="clear" w:color="auto" w:fill="FFFFFF"/>
        </w:rPr>
        <w:t xml:space="preserve">(see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5818FB"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Allais, 1953</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and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5818FB"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{"citationItems":[{"id":"ITEM-1","itemData":{"author":[{"dropping-particle":"","family":"Ellsberg","given":"D","non-dropping-particle":"","parse-names":false,"suffix":""}],"container-title":"Quarterly Journal of Economics","id":"ITEM-1","issue":"4","issued":{"date-parts":[["1961"]]},"page":"643-669","title":"Risk, Ambiguity, and the Savage Axioms","type":"article-journal","volume":"75"},"uris":["http://www.mendeley.com/documents/?uuid=8bd017bd-f875-4e7b-be6d-2c6a275cf10a"]}],"mendeley":{"formattedCitation":"(Ellsberg, 1961)","manualFormatting":"Ellsberg, 1961","plainTextFormattedCitation":"(Ellsberg, 1961)","previouslyFormattedCitation":"(Ellsberg, 1961)"},"properties":{"noteIndex":0},"schema":"https://github.com/citation-style-language/schema/raw/master/csl-citation.json"}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Ellsberg, 1961</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for two high profile violations, and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2F206E" w:rsidRPr="00DA405F">
        <w:rPr>
          <w:rFonts w:ascii="Times New Roman" w:eastAsiaTheme="minorEastAsia" w:hAnsi="Times New Roman" w:cs="Times New Roman"/>
          <w:iCs/>
          <w:color w:val="242729"/>
          <w:sz w:val="24"/>
          <w:szCs w:val="24"/>
          <w:shd w:val="clear" w:color="auto" w:fill="FFFFFF"/>
        </w:rPr>
        <w:instrText>ADDIN CSL_CITATION {"citationItems":[{"id":"ITEM-1","itemData":{"DOI":"10.1257/jep.1.1.121","ISSN":"0895-3309","abstract":"Fifteen years ago, the theory of choice under uncertainty could be considered one of the “success stories” of economic analysis: it rested on solid axiomatic foundations, it had seen important breakthroughs in the analytics of risk, risk aversion, and their applications to economic issues, and it stood ready to provide the theoretical underpinnings for the newly emerging “information revolution” in economics. Today choice under uncertainty is a field in flux: the standard theory is being challenged on several grounds from both within and outside economics. The nature of these challenges, and of our profession's responses to them, is the topic of this paper.","author":[{"dropping-particle":"","family":"Machina","given":"Mark J","non-dropping-particle":"","parse-names":false,"suffix":""}],"container-title":"Journal of Economic Perspectives","id":"ITEM-1","issue":"1","issued":{"date-parts":[["1987"]]},"page":"121-154","title":"Choice Under Uncertainty: Problems Solved and Unsolved","type":"article-journal","volume":"1"},"uris":["http://www.mendeley.com/documents/?uuid=289343ff-2e32-4c12-aa91-10e1079099d4"]}],"mendeley":{"formattedCitation":"(Machina, 1987)","manualFormatting":"Machina, 1987","plainTextFormattedCitation":"(Machina, 1987)","previouslyFormattedCitation":"(Machina, 1987)"},"properties":{"noteIndex":0},"schema":"https://github.com/citation-style-language/schema/raw/master/csl-citation.json"}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Machina, 1987</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for a more general review), Expected Utility Theory remains a </w:t>
      </w:r>
      <w:r w:rsidR="004323F4" w:rsidRPr="00DA405F">
        <w:rPr>
          <w:rFonts w:ascii="Times New Roman" w:eastAsiaTheme="minorEastAsia" w:hAnsi="Times New Roman" w:cs="Times New Roman"/>
          <w:iCs/>
          <w:color w:val="242729"/>
          <w:sz w:val="24"/>
          <w:szCs w:val="24"/>
          <w:shd w:val="clear" w:color="auto" w:fill="FFFFFF"/>
        </w:rPr>
        <w:t>cornerstone of research into economic decision-making</w:t>
      </w:r>
      <w:r w:rsidR="00186DE8" w:rsidRPr="00DA405F">
        <w:rPr>
          <w:rFonts w:ascii="Times New Roman" w:eastAsiaTheme="minorEastAsia" w:hAnsi="Times New Roman" w:cs="Times New Roman"/>
          <w:iCs/>
          <w:color w:val="242729"/>
          <w:sz w:val="24"/>
          <w:szCs w:val="24"/>
          <w:shd w:val="clear" w:color="auto" w:fill="FFFFFF"/>
        </w:rPr>
        <w:t xml:space="preserve"> and has been the driving theory behind the experimental paradigms employed in the literature</w:t>
      </w:r>
      <w:r w:rsidR="004323F4" w:rsidRPr="00DA405F">
        <w:rPr>
          <w:rFonts w:ascii="Times New Roman" w:eastAsiaTheme="minorEastAsia" w:hAnsi="Times New Roman" w:cs="Times New Roman"/>
          <w:iCs/>
          <w:color w:val="242729"/>
          <w:sz w:val="24"/>
          <w:szCs w:val="24"/>
          <w:shd w:val="clear" w:color="auto" w:fill="FFFFFF"/>
        </w:rPr>
        <w:t>.</w:t>
      </w:r>
      <w:r w:rsidR="00354931" w:rsidRPr="00DA405F">
        <w:rPr>
          <w:rFonts w:ascii="Times New Roman" w:eastAsiaTheme="minorEastAsia" w:hAnsi="Times New Roman" w:cs="Times New Roman"/>
          <w:iCs/>
          <w:color w:val="242729"/>
          <w:sz w:val="24"/>
          <w:szCs w:val="24"/>
          <w:shd w:val="clear" w:color="auto" w:fill="FFFFFF"/>
        </w:rPr>
        <w:t xml:space="preserve"> </w:t>
      </w:r>
      <w:r w:rsidR="00186DE8" w:rsidRPr="00DA405F">
        <w:rPr>
          <w:rFonts w:ascii="Times New Roman" w:eastAsiaTheme="minorEastAsia" w:hAnsi="Times New Roman" w:cs="Times New Roman"/>
          <w:iCs/>
          <w:color w:val="242729"/>
          <w:sz w:val="24"/>
          <w:szCs w:val="24"/>
          <w:shd w:val="clear" w:color="auto" w:fill="FFFFFF"/>
        </w:rPr>
        <w:t xml:space="preserve">For a more </w:t>
      </w:r>
      <w:r w:rsidR="003160B4" w:rsidRPr="00DA405F">
        <w:rPr>
          <w:rFonts w:ascii="Times New Roman" w:eastAsiaTheme="minorEastAsia" w:hAnsi="Times New Roman" w:cs="Times New Roman"/>
          <w:iCs/>
          <w:color w:val="242729"/>
          <w:sz w:val="24"/>
          <w:szCs w:val="24"/>
          <w:shd w:val="clear" w:color="auto" w:fill="FFFFFF"/>
        </w:rPr>
        <w:t>in-depth</w:t>
      </w:r>
      <w:r w:rsidR="00186DE8" w:rsidRPr="00DA405F">
        <w:rPr>
          <w:rFonts w:ascii="Times New Roman" w:eastAsiaTheme="minorEastAsia" w:hAnsi="Times New Roman" w:cs="Times New Roman"/>
          <w:iCs/>
          <w:color w:val="242729"/>
          <w:sz w:val="24"/>
          <w:szCs w:val="24"/>
          <w:shd w:val="clear" w:color="auto" w:fill="FFFFFF"/>
        </w:rPr>
        <w:t xml:space="preserve"> view of </w:t>
      </w:r>
      <w:r w:rsidR="003160B4" w:rsidRPr="00DA405F">
        <w:rPr>
          <w:rFonts w:ascii="Times New Roman" w:eastAsiaTheme="minorEastAsia" w:hAnsi="Times New Roman" w:cs="Times New Roman"/>
          <w:iCs/>
          <w:color w:val="242729"/>
          <w:sz w:val="24"/>
          <w:szCs w:val="24"/>
          <w:shd w:val="clear" w:color="auto" w:fill="FFFFFF"/>
        </w:rPr>
        <w:t>its</w:t>
      </w:r>
      <w:r w:rsidR="00186DE8" w:rsidRPr="00DA405F">
        <w:rPr>
          <w:rFonts w:ascii="Times New Roman" w:eastAsiaTheme="minorEastAsia" w:hAnsi="Times New Roman" w:cs="Times New Roman"/>
          <w:iCs/>
          <w:color w:val="242729"/>
          <w:sz w:val="24"/>
          <w:szCs w:val="24"/>
          <w:shd w:val="clear" w:color="auto" w:fill="FFFFFF"/>
        </w:rPr>
        <w:t xml:space="preserve"> limitations and the development of more descriptive models in the past 50 years, see appendix </w:t>
      </w:r>
      <w:r w:rsidR="00E6351A">
        <w:rPr>
          <w:rFonts w:ascii="Times New Roman" w:eastAsiaTheme="minorEastAsia" w:hAnsi="Times New Roman" w:cs="Times New Roman"/>
          <w:iCs/>
          <w:color w:val="242729"/>
          <w:sz w:val="24"/>
          <w:szCs w:val="24"/>
          <w:shd w:val="clear" w:color="auto" w:fill="FFFFFF"/>
        </w:rPr>
        <w:t>1.</w:t>
      </w:r>
      <w:r w:rsidR="007852F2">
        <w:rPr>
          <w:rFonts w:ascii="Times New Roman" w:eastAsiaTheme="minorEastAsia" w:hAnsi="Times New Roman" w:cs="Times New Roman"/>
          <w:iCs/>
          <w:color w:val="242729"/>
          <w:sz w:val="24"/>
          <w:szCs w:val="24"/>
          <w:shd w:val="clear" w:color="auto" w:fill="FFFFFF"/>
        </w:rPr>
        <w:t>1</w:t>
      </w:r>
      <w:r w:rsidR="00186DE8" w:rsidRPr="00DA405F">
        <w:rPr>
          <w:rFonts w:ascii="Times New Roman" w:eastAsiaTheme="minorEastAsia" w:hAnsi="Times New Roman" w:cs="Times New Roman"/>
          <w:iCs/>
          <w:color w:val="242729"/>
          <w:sz w:val="24"/>
          <w:szCs w:val="24"/>
          <w:shd w:val="clear" w:color="auto" w:fill="FFFFFF"/>
        </w:rPr>
        <w:t>.</w:t>
      </w:r>
    </w:p>
    <w:p w14:paraId="7B993BFE" w14:textId="24D462C0" w:rsidR="005818FB" w:rsidRPr="00DA405F" w:rsidRDefault="00156668">
      <w:pPr>
        <w:rPr>
          <w:rFonts w:ascii="Times New Roman" w:eastAsiaTheme="minorEastAsia" w:hAnsi="Times New Roman" w:cs="Times New Roman"/>
          <w:b/>
          <w:bCs/>
          <w:iCs/>
          <w:color w:val="242729"/>
          <w:sz w:val="24"/>
          <w:szCs w:val="24"/>
          <w:shd w:val="clear" w:color="auto" w:fill="FFFFFF"/>
        </w:rPr>
      </w:pPr>
      <w:r w:rsidRPr="00DA405F">
        <w:rPr>
          <w:rFonts w:ascii="Times New Roman" w:eastAsiaTheme="minorEastAsia" w:hAnsi="Times New Roman" w:cs="Times New Roman"/>
          <w:b/>
          <w:bCs/>
          <w:iCs/>
          <w:color w:val="242729"/>
          <w:sz w:val="24"/>
          <w:szCs w:val="24"/>
          <w:shd w:val="clear" w:color="auto" w:fill="FFFFFF"/>
        </w:rPr>
        <w:t>Hedonimetry and the brain</w:t>
      </w:r>
    </w:p>
    <w:p w14:paraId="5F0BB2C7" w14:textId="7BACCE3F" w:rsidR="00F667DD" w:rsidRPr="00DA405F" w:rsidRDefault="006725C6">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If behavioural science tells us that animals act </w:t>
      </w:r>
      <w:r w:rsidRPr="0007718B">
        <w:rPr>
          <w:rFonts w:ascii="Times New Roman" w:eastAsiaTheme="minorEastAsia" w:hAnsi="Times New Roman" w:cs="Times New Roman"/>
          <w:i/>
          <w:color w:val="242729"/>
          <w:sz w:val="24"/>
          <w:szCs w:val="24"/>
          <w:shd w:val="clear" w:color="auto" w:fill="FFFFFF"/>
        </w:rPr>
        <w:t>as if</w:t>
      </w:r>
      <w:r w:rsidRPr="00DA405F">
        <w:rPr>
          <w:rFonts w:ascii="Times New Roman" w:eastAsiaTheme="minorEastAsia" w:hAnsi="Times New Roman" w:cs="Times New Roman"/>
          <w:iCs/>
          <w:color w:val="242729"/>
          <w:sz w:val="24"/>
          <w:szCs w:val="24"/>
          <w:shd w:val="clear" w:color="auto" w:fill="FFFFFF"/>
        </w:rPr>
        <w:t xml:space="preserve"> they are maximising the utility they receive, </w:t>
      </w:r>
      <w:r w:rsidR="00870656" w:rsidRPr="00DA405F">
        <w:rPr>
          <w:rFonts w:ascii="Times New Roman" w:eastAsiaTheme="minorEastAsia" w:hAnsi="Times New Roman" w:cs="Times New Roman"/>
          <w:iCs/>
          <w:color w:val="242729"/>
          <w:sz w:val="24"/>
          <w:szCs w:val="24"/>
          <w:shd w:val="clear" w:color="auto" w:fill="FFFFFF"/>
        </w:rPr>
        <w:t xml:space="preserve">it is not unreasonable to suggest that a function of the brain is to track the utility of offered choices. </w:t>
      </w:r>
      <w:r w:rsidR="00226089" w:rsidRPr="00DA405F">
        <w:rPr>
          <w:rFonts w:ascii="Times New Roman" w:eastAsiaTheme="minorEastAsia" w:hAnsi="Times New Roman" w:cs="Times New Roman"/>
          <w:iCs/>
          <w:color w:val="242729"/>
          <w:sz w:val="24"/>
          <w:szCs w:val="24"/>
          <w:shd w:val="clear" w:color="auto" w:fill="FFFFFF"/>
        </w:rPr>
        <w:t>If such a</w:t>
      </w:r>
      <w:r w:rsidR="00D71E77" w:rsidRPr="00DA405F">
        <w:rPr>
          <w:rFonts w:ascii="Times New Roman" w:eastAsiaTheme="minorEastAsia" w:hAnsi="Times New Roman" w:cs="Times New Roman"/>
          <w:iCs/>
          <w:color w:val="242729"/>
          <w:sz w:val="24"/>
          <w:szCs w:val="24"/>
          <w:shd w:val="clear" w:color="auto" w:fill="FFFFFF"/>
        </w:rPr>
        <w:t xml:space="preserve"> collection </w:t>
      </w:r>
      <w:r w:rsidR="0091061B" w:rsidRPr="00DA405F">
        <w:rPr>
          <w:rFonts w:ascii="Times New Roman" w:eastAsiaTheme="minorEastAsia" w:hAnsi="Times New Roman" w:cs="Times New Roman"/>
          <w:iCs/>
          <w:color w:val="242729"/>
          <w:sz w:val="24"/>
          <w:szCs w:val="24"/>
          <w:shd w:val="clear" w:color="auto" w:fill="FFFFFF"/>
        </w:rPr>
        <w:t xml:space="preserve">(or collections) </w:t>
      </w:r>
      <w:r w:rsidR="00D71E77" w:rsidRPr="00DA405F">
        <w:rPr>
          <w:rFonts w:ascii="Times New Roman" w:eastAsiaTheme="minorEastAsia" w:hAnsi="Times New Roman" w:cs="Times New Roman"/>
          <w:iCs/>
          <w:color w:val="242729"/>
          <w:sz w:val="24"/>
          <w:szCs w:val="24"/>
          <w:shd w:val="clear" w:color="auto" w:fill="FFFFFF"/>
        </w:rPr>
        <w:t>of cells</w:t>
      </w:r>
      <w:r w:rsidR="00AD314F" w:rsidRPr="00DA405F">
        <w:rPr>
          <w:rFonts w:ascii="Times New Roman" w:eastAsiaTheme="minorEastAsia" w:hAnsi="Times New Roman" w:cs="Times New Roman"/>
          <w:iCs/>
          <w:color w:val="242729"/>
          <w:sz w:val="24"/>
          <w:szCs w:val="24"/>
          <w:shd w:val="clear" w:color="auto" w:fill="FFFFFF"/>
        </w:rPr>
        <w:t xml:space="preserve"> that encoded a common currency of utility across choice </w:t>
      </w:r>
      <w:r w:rsidR="00AD314F" w:rsidRPr="00DA405F">
        <w:rPr>
          <w:rFonts w:ascii="Times New Roman" w:eastAsiaTheme="minorEastAsia" w:hAnsi="Times New Roman" w:cs="Times New Roman"/>
          <w:iCs/>
          <w:color w:val="242729"/>
          <w:sz w:val="24"/>
          <w:szCs w:val="24"/>
          <w:shd w:val="clear" w:color="auto" w:fill="FFFFFF"/>
        </w:rPr>
        <w:lastRenderedPageBreak/>
        <w:t>domains</w:t>
      </w:r>
      <w:r w:rsidR="00226089" w:rsidRPr="00DA405F">
        <w:rPr>
          <w:rFonts w:ascii="Times New Roman" w:eastAsiaTheme="minorEastAsia" w:hAnsi="Times New Roman" w:cs="Times New Roman"/>
          <w:iCs/>
          <w:color w:val="242729"/>
          <w:sz w:val="24"/>
          <w:szCs w:val="24"/>
          <w:shd w:val="clear" w:color="auto" w:fill="FFFFFF"/>
        </w:rPr>
        <w:t xml:space="preserve"> could be identified and</w:t>
      </w:r>
      <w:r w:rsidR="00AD314F" w:rsidRPr="00DA405F">
        <w:rPr>
          <w:rFonts w:ascii="Times New Roman" w:eastAsiaTheme="minorEastAsia" w:hAnsi="Times New Roman" w:cs="Times New Roman"/>
          <w:iCs/>
          <w:color w:val="242729"/>
          <w:sz w:val="24"/>
          <w:szCs w:val="24"/>
          <w:shd w:val="clear" w:color="auto" w:fill="FFFFFF"/>
        </w:rPr>
        <w:t xml:space="preserve"> their activity deciphered</w:t>
      </w:r>
      <w:r w:rsidR="00226089" w:rsidRPr="00DA405F">
        <w:rPr>
          <w:rFonts w:ascii="Times New Roman" w:eastAsiaTheme="minorEastAsia" w:hAnsi="Times New Roman" w:cs="Times New Roman"/>
          <w:iCs/>
          <w:color w:val="242729"/>
          <w:sz w:val="24"/>
          <w:szCs w:val="24"/>
          <w:shd w:val="clear" w:color="auto" w:fill="FFFFFF"/>
        </w:rPr>
        <w:t xml:space="preserve">, </w:t>
      </w:r>
      <w:r w:rsidR="00036EAC" w:rsidRPr="00DA405F">
        <w:rPr>
          <w:rFonts w:ascii="Times New Roman" w:eastAsiaTheme="minorEastAsia" w:hAnsi="Times New Roman" w:cs="Times New Roman"/>
          <w:iCs/>
          <w:color w:val="242729"/>
          <w:sz w:val="24"/>
          <w:szCs w:val="24"/>
          <w:shd w:val="clear" w:color="auto" w:fill="FFFFFF"/>
        </w:rPr>
        <w:t>it might</w:t>
      </w:r>
      <w:r w:rsidR="00226089" w:rsidRPr="00DA405F">
        <w:rPr>
          <w:rFonts w:ascii="Times New Roman" w:eastAsiaTheme="minorEastAsia" w:hAnsi="Times New Roman" w:cs="Times New Roman"/>
          <w:iCs/>
          <w:color w:val="242729"/>
          <w:sz w:val="24"/>
          <w:szCs w:val="24"/>
          <w:shd w:val="clear" w:color="auto" w:fill="FFFFFF"/>
        </w:rPr>
        <w:t xml:space="preserve"> prove possible to realise Edgeworth’s dream of a hedonimeter to fully measure the utility</w:t>
      </w:r>
      <w:r w:rsidR="005E5032" w:rsidRPr="00DA405F">
        <w:rPr>
          <w:rFonts w:ascii="Times New Roman" w:eastAsiaTheme="minorEastAsia" w:hAnsi="Times New Roman" w:cs="Times New Roman"/>
          <w:iCs/>
          <w:color w:val="242729"/>
          <w:sz w:val="24"/>
          <w:szCs w:val="24"/>
          <w:shd w:val="clear" w:color="auto" w:fill="FFFFFF"/>
        </w:rPr>
        <w:t xml:space="preserve"> function</w:t>
      </w:r>
      <w:r w:rsidR="00226089" w:rsidRPr="00DA405F">
        <w:rPr>
          <w:rFonts w:ascii="Times New Roman" w:eastAsiaTheme="minorEastAsia" w:hAnsi="Times New Roman" w:cs="Times New Roman"/>
          <w:iCs/>
          <w:color w:val="242729"/>
          <w:sz w:val="24"/>
          <w:szCs w:val="24"/>
          <w:shd w:val="clear" w:color="auto" w:fill="FFFFFF"/>
        </w:rPr>
        <w:t xml:space="preserve"> of any decision</w:t>
      </w:r>
      <w:r w:rsidR="00AD314F" w:rsidRPr="00DA405F">
        <w:rPr>
          <w:rFonts w:ascii="Times New Roman" w:eastAsiaTheme="minorEastAsia" w:hAnsi="Times New Roman" w:cs="Times New Roman"/>
          <w:iCs/>
          <w:color w:val="242729"/>
          <w:sz w:val="24"/>
          <w:szCs w:val="24"/>
          <w:shd w:val="clear" w:color="auto" w:fill="FFFFFF"/>
        </w:rPr>
        <w:t xml:space="preserve">. </w:t>
      </w:r>
      <w:r w:rsidR="00776F5B" w:rsidRPr="00DA405F">
        <w:rPr>
          <w:rFonts w:ascii="Times New Roman" w:eastAsiaTheme="minorEastAsia" w:hAnsi="Times New Roman" w:cs="Times New Roman"/>
          <w:iCs/>
          <w:color w:val="242729"/>
          <w:sz w:val="24"/>
          <w:szCs w:val="24"/>
          <w:shd w:val="clear" w:color="auto" w:fill="FFFFFF"/>
        </w:rPr>
        <w:t xml:space="preserve">With full </w:t>
      </w:r>
      <w:r w:rsidR="00C511B8" w:rsidRPr="00DA405F">
        <w:rPr>
          <w:rFonts w:ascii="Times New Roman" w:eastAsiaTheme="minorEastAsia" w:hAnsi="Times New Roman" w:cs="Times New Roman"/>
          <w:iCs/>
          <w:color w:val="242729"/>
          <w:sz w:val="24"/>
          <w:szCs w:val="24"/>
          <w:shd w:val="clear" w:color="auto" w:fill="FFFFFF"/>
        </w:rPr>
        <w:t>measurement and knowledge</w:t>
      </w:r>
      <w:r w:rsidR="00776F5B" w:rsidRPr="00DA405F">
        <w:rPr>
          <w:rFonts w:ascii="Times New Roman" w:eastAsiaTheme="minorEastAsia" w:hAnsi="Times New Roman" w:cs="Times New Roman"/>
          <w:iCs/>
          <w:color w:val="242729"/>
          <w:sz w:val="24"/>
          <w:szCs w:val="24"/>
          <w:shd w:val="clear" w:color="auto" w:fill="FFFFFF"/>
        </w:rPr>
        <w:t xml:space="preserve"> of the utility signal in the brain</w:t>
      </w:r>
      <w:r w:rsidR="00AD314F" w:rsidRPr="00DA405F">
        <w:rPr>
          <w:rFonts w:ascii="Times New Roman" w:eastAsiaTheme="minorEastAsia" w:hAnsi="Times New Roman" w:cs="Times New Roman"/>
          <w:iCs/>
          <w:color w:val="242729"/>
          <w:sz w:val="24"/>
          <w:szCs w:val="24"/>
          <w:shd w:val="clear" w:color="auto" w:fill="FFFFFF"/>
        </w:rPr>
        <w:t xml:space="preserve">, the behavioural science fantasy of </w:t>
      </w:r>
      <w:r w:rsidR="005E5032" w:rsidRPr="00DA405F">
        <w:rPr>
          <w:rFonts w:ascii="Times New Roman" w:eastAsiaTheme="minorEastAsia" w:hAnsi="Times New Roman" w:cs="Times New Roman"/>
          <w:iCs/>
          <w:color w:val="242729"/>
          <w:sz w:val="24"/>
          <w:szCs w:val="24"/>
          <w:shd w:val="clear" w:color="auto" w:fill="FFFFFF"/>
        </w:rPr>
        <w:t>predict</w:t>
      </w:r>
      <w:r w:rsidR="00AD314F" w:rsidRPr="00DA405F">
        <w:rPr>
          <w:rFonts w:ascii="Times New Roman" w:eastAsiaTheme="minorEastAsia" w:hAnsi="Times New Roman" w:cs="Times New Roman"/>
          <w:iCs/>
          <w:color w:val="242729"/>
          <w:sz w:val="24"/>
          <w:szCs w:val="24"/>
          <w:shd w:val="clear" w:color="auto" w:fill="FFFFFF"/>
        </w:rPr>
        <w:t>ing</w:t>
      </w:r>
      <w:r w:rsidR="005E5032" w:rsidRPr="00DA405F">
        <w:rPr>
          <w:rFonts w:ascii="Times New Roman" w:eastAsiaTheme="minorEastAsia" w:hAnsi="Times New Roman" w:cs="Times New Roman"/>
          <w:iCs/>
          <w:color w:val="242729"/>
          <w:sz w:val="24"/>
          <w:szCs w:val="24"/>
          <w:shd w:val="clear" w:color="auto" w:fill="FFFFFF"/>
        </w:rPr>
        <w:t xml:space="preserve"> </w:t>
      </w:r>
      <w:r w:rsidR="00AD314F" w:rsidRPr="00DA405F">
        <w:rPr>
          <w:rFonts w:ascii="Times New Roman" w:eastAsiaTheme="minorEastAsia" w:hAnsi="Times New Roman" w:cs="Times New Roman"/>
          <w:iCs/>
          <w:color w:val="242729"/>
          <w:sz w:val="24"/>
          <w:szCs w:val="24"/>
          <w:shd w:val="clear" w:color="auto" w:fill="FFFFFF"/>
        </w:rPr>
        <w:t>any subject’s</w:t>
      </w:r>
      <w:r w:rsidR="005E5032" w:rsidRPr="00DA405F">
        <w:rPr>
          <w:rFonts w:ascii="Times New Roman" w:eastAsiaTheme="minorEastAsia" w:hAnsi="Times New Roman" w:cs="Times New Roman"/>
          <w:iCs/>
          <w:color w:val="242729"/>
          <w:sz w:val="24"/>
          <w:szCs w:val="24"/>
          <w:shd w:val="clear" w:color="auto" w:fill="FFFFFF"/>
        </w:rPr>
        <w:t xml:space="preserve"> choices from any offered sets of options</w:t>
      </w:r>
      <w:r w:rsidR="00AD314F" w:rsidRPr="00DA405F">
        <w:rPr>
          <w:rFonts w:ascii="Times New Roman" w:eastAsiaTheme="minorEastAsia" w:hAnsi="Times New Roman" w:cs="Times New Roman"/>
          <w:iCs/>
          <w:color w:val="242729"/>
          <w:sz w:val="24"/>
          <w:szCs w:val="24"/>
          <w:shd w:val="clear" w:color="auto" w:fill="FFFFFF"/>
        </w:rPr>
        <w:t xml:space="preserve"> would be achieved</w:t>
      </w:r>
      <w:r w:rsidR="005E5032" w:rsidRPr="00DA405F">
        <w:rPr>
          <w:rFonts w:ascii="Times New Roman" w:eastAsiaTheme="minorEastAsia" w:hAnsi="Times New Roman" w:cs="Times New Roman"/>
          <w:iCs/>
          <w:color w:val="242729"/>
          <w:sz w:val="24"/>
          <w:szCs w:val="24"/>
          <w:shd w:val="clear" w:color="auto" w:fill="FFFFFF"/>
        </w:rPr>
        <w:t>.</w:t>
      </w:r>
    </w:p>
    <w:p w14:paraId="7BF93B82" w14:textId="7E4322D1" w:rsidR="0091061B" w:rsidRPr="00DA405F" w:rsidRDefault="0091061B">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The first evidence </w:t>
      </w:r>
      <w:r w:rsidR="002F206E" w:rsidRPr="00DA405F">
        <w:rPr>
          <w:rFonts w:ascii="Times New Roman" w:eastAsiaTheme="minorEastAsia" w:hAnsi="Times New Roman" w:cs="Times New Roman"/>
          <w:iCs/>
          <w:color w:val="242729"/>
          <w:sz w:val="24"/>
          <w:szCs w:val="24"/>
          <w:shd w:val="clear" w:color="auto" w:fill="FFFFFF"/>
        </w:rPr>
        <w:t xml:space="preserve">that such a population might exist came from studies of rats that would repeatedly self-stimulate via a lever connected to an </w:t>
      </w:r>
      <w:r w:rsidR="00C652DC" w:rsidRPr="00DA405F">
        <w:rPr>
          <w:rFonts w:ascii="Times New Roman" w:eastAsiaTheme="minorEastAsia" w:hAnsi="Times New Roman" w:cs="Times New Roman"/>
          <w:iCs/>
          <w:color w:val="242729"/>
          <w:sz w:val="24"/>
          <w:szCs w:val="24"/>
          <w:shd w:val="clear" w:color="auto" w:fill="FFFFFF"/>
        </w:rPr>
        <w:t>electrode implanted in the basal forebrain</w:t>
      </w:r>
      <w:r w:rsidR="002F206E" w:rsidRPr="00DA405F">
        <w:rPr>
          <w:rFonts w:ascii="Times New Roman" w:eastAsiaTheme="minorEastAsia" w:hAnsi="Times New Roman" w:cs="Times New Roman"/>
          <w:iCs/>
          <w:color w:val="242729"/>
          <w:sz w:val="24"/>
          <w:szCs w:val="24"/>
          <w:shd w:val="clear" w:color="auto" w:fill="FFFFFF"/>
        </w:rPr>
        <w:t xml:space="preserve"> </w:t>
      </w:r>
      <w:r w:rsidR="002F206E" w:rsidRPr="00DA405F">
        <w:rPr>
          <w:rFonts w:ascii="Times New Roman" w:eastAsiaTheme="minorEastAsia" w:hAnsi="Times New Roman" w:cs="Times New Roman"/>
          <w:iCs/>
          <w:color w:val="242729"/>
          <w:sz w:val="24"/>
          <w:szCs w:val="24"/>
          <w:shd w:val="clear" w:color="auto" w:fill="FFFFFF"/>
        </w:rPr>
        <w:fldChar w:fldCharType="begin" w:fldLock="1"/>
      </w:r>
      <w:r w:rsidR="000D07E7" w:rsidRPr="00DA405F">
        <w:rPr>
          <w:rFonts w:ascii="Times New Roman" w:eastAsiaTheme="minorEastAsia" w:hAnsi="Times New Roman" w:cs="Times New Roman"/>
          <w:iCs/>
          <w:color w:val="242729"/>
          <w:sz w:val="24"/>
          <w:szCs w:val="24"/>
          <w:shd w:val="clear" w:color="auto" w:fill="FFFFFF"/>
        </w:rPr>
        <w:instrText>ADDIN CSL_CITATION {"citationItems":[{"id":"ITEM-1","itemData":{"DOI":"10.1037/h0058775","ISSN":"00219940","PMID":"13233369","abstract":"After implantation of electrodes at various points in the brains of rats, the animals were placed in a Skinner box, arranged in such a manner that they could stimulate themselves by pressing the lever. The results indicate that various places exist in the brain \"where electrical stimulation is rewarding in the sense that the experimental animal will stimulate itself in these places frequently and regularly for long periods of time if permitted to do so.\" The reward phenomenon appears most reliably when the electrodes are placed in the septal region, where an extreme degree of control was observed. (PsycINFO Database Record (c) 2006 APA, all rights reserved). © 1954 American Psychological Association.","author":[{"dropping-particle":"","family":"Olds","given":"James","non-dropping-particle":"","parse-names":false,"suffix":""},{"dropping-particle":"","family":"Milner","given":"Peter","non-dropping-particle":"","parse-names":false,"suffix":""}],"container-title":"Journal of Comparative and Physiological Psychology","id":"ITEM-1","issue":"6","issued":{"date-parts":[["1954"]]},"page":"419-427","title":"Positive Reinforcement Produced By Electrical Stimulation of Septal Area and Other Regions of Rat Brain","type":"article-journal","volume":"47"},"uris":["http://www.mendeley.com/documents/?uuid=512945cc-3a88-4b62-9234-4ff78c373bb3"]}],"mendeley":{"formattedCitation":"(Olds &amp; Milner, 1954)","plainTextFormattedCitation":"(Olds &amp; Milner, 1954)","previouslyFormattedCitation":"(Olds &amp; Milner, 1954)"},"properties":{"noteIndex":0},"schema":"https://github.com/citation-style-language/schema/raw/master/csl-citation.json"}</w:instrText>
      </w:r>
      <w:r w:rsidR="002F206E" w:rsidRPr="00DA405F">
        <w:rPr>
          <w:rFonts w:ascii="Times New Roman" w:eastAsiaTheme="minorEastAsia" w:hAnsi="Times New Roman" w:cs="Times New Roman"/>
          <w:iCs/>
          <w:color w:val="242729"/>
          <w:sz w:val="24"/>
          <w:szCs w:val="24"/>
          <w:shd w:val="clear" w:color="auto" w:fill="FFFFFF"/>
        </w:rPr>
        <w:fldChar w:fldCharType="separate"/>
      </w:r>
      <w:r w:rsidR="002F206E" w:rsidRPr="00DA405F">
        <w:rPr>
          <w:rFonts w:ascii="Times New Roman" w:eastAsiaTheme="minorEastAsia" w:hAnsi="Times New Roman" w:cs="Times New Roman"/>
          <w:iCs/>
          <w:noProof/>
          <w:color w:val="242729"/>
          <w:sz w:val="24"/>
          <w:szCs w:val="24"/>
          <w:shd w:val="clear" w:color="auto" w:fill="FFFFFF"/>
        </w:rPr>
        <w:t>(Olds &amp; Milner, 1954)</w:t>
      </w:r>
      <w:r w:rsidR="002F206E" w:rsidRPr="00DA405F">
        <w:rPr>
          <w:rFonts w:ascii="Times New Roman" w:eastAsiaTheme="minorEastAsia" w:hAnsi="Times New Roman" w:cs="Times New Roman"/>
          <w:iCs/>
          <w:color w:val="242729"/>
          <w:sz w:val="24"/>
          <w:szCs w:val="24"/>
          <w:shd w:val="clear" w:color="auto" w:fill="FFFFFF"/>
        </w:rPr>
        <w:fldChar w:fldCharType="end"/>
      </w:r>
      <w:r w:rsidR="002F206E" w:rsidRPr="00DA405F">
        <w:rPr>
          <w:rFonts w:ascii="Times New Roman" w:eastAsiaTheme="minorEastAsia" w:hAnsi="Times New Roman" w:cs="Times New Roman"/>
          <w:iCs/>
          <w:color w:val="242729"/>
          <w:sz w:val="24"/>
          <w:szCs w:val="24"/>
          <w:shd w:val="clear" w:color="auto" w:fill="FFFFFF"/>
        </w:rPr>
        <w:t xml:space="preserve">. There is nothing </w:t>
      </w:r>
      <w:r w:rsidR="005841F9" w:rsidRPr="00DA405F">
        <w:rPr>
          <w:rFonts w:ascii="Times New Roman" w:eastAsiaTheme="minorEastAsia" w:hAnsi="Times New Roman" w:cs="Times New Roman"/>
          <w:iCs/>
          <w:color w:val="242729"/>
          <w:sz w:val="24"/>
          <w:szCs w:val="24"/>
          <w:shd w:val="clear" w:color="auto" w:fill="FFFFFF"/>
        </w:rPr>
        <w:t>intrinsic to any</w:t>
      </w:r>
      <w:r w:rsidR="002F206E" w:rsidRPr="00DA405F">
        <w:rPr>
          <w:rFonts w:ascii="Times New Roman" w:eastAsiaTheme="minorEastAsia" w:hAnsi="Times New Roman" w:cs="Times New Roman"/>
          <w:iCs/>
          <w:color w:val="242729"/>
          <w:sz w:val="24"/>
          <w:szCs w:val="24"/>
          <w:shd w:val="clear" w:color="auto" w:fill="FFFFFF"/>
        </w:rPr>
        <w:t xml:space="preserve"> physical object that is </w:t>
      </w:r>
      <w:r w:rsidR="00EA20F6" w:rsidRPr="00DA405F">
        <w:rPr>
          <w:rFonts w:ascii="Times New Roman" w:eastAsiaTheme="minorEastAsia" w:hAnsi="Times New Roman" w:cs="Times New Roman"/>
          <w:iCs/>
          <w:color w:val="242729"/>
          <w:sz w:val="24"/>
          <w:szCs w:val="24"/>
          <w:shd w:val="clear" w:color="auto" w:fill="FFFFFF"/>
        </w:rPr>
        <w:t>‘rewarding’</w:t>
      </w:r>
      <w:r w:rsidR="003C55BF" w:rsidRPr="00DA405F">
        <w:rPr>
          <w:rFonts w:ascii="Times New Roman" w:eastAsiaTheme="minorEastAsia" w:hAnsi="Times New Roman" w:cs="Times New Roman"/>
          <w:iCs/>
          <w:color w:val="242729"/>
          <w:sz w:val="24"/>
          <w:szCs w:val="24"/>
          <w:shd w:val="clear" w:color="auto" w:fill="FFFFFF"/>
        </w:rPr>
        <w:t>;</w:t>
      </w:r>
      <w:r w:rsidR="002F206E" w:rsidRPr="00DA405F">
        <w:rPr>
          <w:rFonts w:ascii="Times New Roman" w:eastAsiaTheme="minorEastAsia" w:hAnsi="Times New Roman" w:cs="Times New Roman"/>
          <w:iCs/>
          <w:color w:val="242729"/>
          <w:sz w:val="24"/>
          <w:szCs w:val="24"/>
          <w:shd w:val="clear" w:color="auto" w:fill="FFFFFF"/>
        </w:rPr>
        <w:t xml:space="preserve"> the concept of </w:t>
      </w:r>
      <w:r w:rsidR="003C55BF" w:rsidRPr="00DA405F">
        <w:rPr>
          <w:rFonts w:ascii="Times New Roman" w:eastAsiaTheme="minorEastAsia" w:hAnsi="Times New Roman" w:cs="Times New Roman"/>
          <w:iCs/>
          <w:color w:val="242729"/>
          <w:sz w:val="24"/>
          <w:szCs w:val="24"/>
          <w:shd w:val="clear" w:color="auto" w:fill="FFFFFF"/>
        </w:rPr>
        <w:t>an object’s</w:t>
      </w:r>
      <w:r w:rsidR="002F206E" w:rsidRPr="00DA405F">
        <w:rPr>
          <w:rFonts w:ascii="Times New Roman" w:eastAsiaTheme="minorEastAsia" w:hAnsi="Times New Roman" w:cs="Times New Roman"/>
          <w:iCs/>
          <w:color w:val="242729"/>
          <w:sz w:val="24"/>
          <w:szCs w:val="24"/>
          <w:shd w:val="clear" w:color="auto" w:fill="FFFFFF"/>
        </w:rPr>
        <w:t xml:space="preserve"> </w:t>
      </w:r>
      <w:r w:rsidR="00EA38D0">
        <w:rPr>
          <w:rFonts w:ascii="Times New Roman" w:eastAsiaTheme="minorEastAsia" w:hAnsi="Times New Roman" w:cs="Times New Roman"/>
          <w:iCs/>
          <w:color w:val="242729"/>
          <w:sz w:val="24"/>
          <w:szCs w:val="24"/>
          <w:shd w:val="clear" w:color="auto" w:fill="FFFFFF"/>
        </w:rPr>
        <w:t xml:space="preserve">rewarding </w:t>
      </w:r>
      <w:r w:rsidR="002F206E" w:rsidRPr="00DA405F">
        <w:rPr>
          <w:rFonts w:ascii="Times New Roman" w:eastAsiaTheme="minorEastAsia" w:hAnsi="Times New Roman" w:cs="Times New Roman"/>
          <w:iCs/>
          <w:color w:val="242729"/>
          <w:sz w:val="24"/>
          <w:szCs w:val="24"/>
          <w:shd w:val="clear" w:color="auto" w:fill="FFFFFF"/>
        </w:rPr>
        <w:t xml:space="preserve">value comes from the reinforcement </w:t>
      </w:r>
      <w:r w:rsidR="00C57E9A">
        <w:rPr>
          <w:rFonts w:ascii="Times New Roman" w:eastAsiaTheme="minorEastAsia" w:hAnsi="Times New Roman" w:cs="Times New Roman"/>
          <w:iCs/>
          <w:color w:val="242729"/>
          <w:sz w:val="24"/>
          <w:szCs w:val="24"/>
          <w:shd w:val="clear" w:color="auto" w:fill="FFFFFF"/>
        </w:rPr>
        <w:t xml:space="preserve">it produces </w:t>
      </w:r>
      <w:r w:rsidR="002F206E" w:rsidRPr="00DA405F">
        <w:rPr>
          <w:rFonts w:ascii="Times New Roman" w:eastAsiaTheme="minorEastAsia" w:hAnsi="Times New Roman" w:cs="Times New Roman"/>
          <w:iCs/>
          <w:color w:val="242729"/>
          <w:sz w:val="24"/>
          <w:szCs w:val="24"/>
          <w:shd w:val="clear" w:color="auto" w:fill="FFFFFF"/>
        </w:rPr>
        <w:t>to collect/do/eat more of it</w:t>
      </w:r>
      <w:r w:rsidR="00C71654">
        <w:rPr>
          <w:rFonts w:ascii="Times New Roman" w:eastAsiaTheme="minorEastAsia" w:hAnsi="Times New Roman" w:cs="Times New Roman"/>
          <w:iCs/>
          <w:color w:val="242729"/>
          <w:sz w:val="24"/>
          <w:szCs w:val="24"/>
          <w:shd w:val="clear" w:color="auto" w:fill="FFFFFF"/>
        </w:rPr>
        <w:t xml:space="preserve"> </w:t>
      </w:r>
      <w:r w:rsidR="00C71654">
        <w:rPr>
          <w:rFonts w:ascii="Times New Roman" w:eastAsiaTheme="minorEastAsia" w:hAnsi="Times New Roman" w:cs="Times New Roman"/>
          <w:iCs/>
          <w:color w:val="242729"/>
          <w:sz w:val="24"/>
          <w:szCs w:val="24"/>
          <w:shd w:val="clear" w:color="auto" w:fill="FFFFFF"/>
        </w:rPr>
        <w:fldChar w:fldCharType="begin" w:fldLock="1"/>
      </w:r>
      <w:r w:rsidR="003C14E3">
        <w:rPr>
          <w:rFonts w:ascii="Times New Roman" w:eastAsiaTheme="minorEastAsia" w:hAnsi="Times New Roman" w:cs="Times New Roman"/>
          <w:iCs/>
          <w:color w:val="242729"/>
          <w:sz w:val="24"/>
          <w:szCs w:val="24"/>
          <w:shd w:val="clear" w:color="auto" w:fill="FFFFFF"/>
        </w:rPr>
        <w:instrText>ADDIN CSL_CITATION {"citationItems":[{"id":"ITEM-1","itemData":{"DOI":"10.3389/neuro.08.013.2009","ISSN":"16625153","abstract":"There are numerous problems with the hypothesis that brain dopamine (DA) systems, particularly in the nucleus accumbens, directly mediate the rewarding or primary motivational characteristics of natural stimuli such as food. Research and theory related to the functions of mesolimbic DA are undergoing a substantial conceptual restructuring, with the traditional emphasis on hedonia and primary reward yielding to other concepts and lines of inquiry. The present review is focused upon the involvement of nucleus accumbens DA in behavioral activation and effort-related processes. Viewed from the framework of behavioral economics, the effects of accumbens DA depletions and antagonism on food-reinforced behavior are highly dependent upon the work requirements of the instrumental task, and DA depleted rats are more sensitive to increases in response costs (i.e., ratio requirements). Moreover, interference with accumbens DA transmission exerts a powerful influence over effort-related choice behavior. Rats with accumbens DA depletions or antagonism reallocate their instrumental behavior away from food-reinforced tasks that have high response requirements, and instead these rats select a less-effortful type of food-seeking behavior. Nucleus accumbens DA and adenosine interact in the regulation of effort-related functions, and other brain structures (anterior cingulate cortex, amygdala, ventral pallidum) also are involved. Studies of the brain systems regulating effort-based processes may have implications for understanding drug abuse, as well as energy-related disorders such as psychomotor slowing, fatigue or anergia in depression and other neurological disorders. © 2009 Salamone, Correa, Farrar, Nunes and Pardo.","author":[{"dropping-particle":"","family":"Salamone","given":"John D.","non-dropping-particle":"","parse-names":false,"suffix":""},{"dropping-particle":"","family":"Correa","given":"Merce","non-dropping-particle":"","parse-names":false,"suffix":""},{"dropping-particle":"","family":"Farrar","given":"Andrew M.","non-dropping-particle":"","parse-names":false,"suffix":""},{"dropping-particle":"","family":"Nunes","given":"Eric J.","non-dropping-particle":"","parse-names":false,"suffix":""},{"dropping-particle":"","family":"Pardo","given":"Marta","non-dropping-particle":"","parse-names":false,"suffix":""}],"container-title":"Frontiers in Behavioral Neuroscience","id":"ITEM-1","issue":"SEP","issued":{"date-parts":[["2009"]]},"page":"1-12","title":"Dopamine, behavioral economics, and effort","type":"article-journal","volume":"3"},"uris":["http://www.mendeley.com/documents/?uuid=6d90f721-b477-499b-b829-1bb95a33ab42"]}],"mendeley":{"formattedCitation":"(Salamone et al., 2009)","plainTextFormattedCitation":"(Salamone et al., 2009)","previouslyFormattedCitation":"(Salamone et al., 2009)"},"properties":{"noteIndex":0},"schema":"https://github.com/citation-style-language/schema/raw/master/csl-citation.json"}</w:instrText>
      </w:r>
      <w:r w:rsidR="00C71654">
        <w:rPr>
          <w:rFonts w:ascii="Times New Roman" w:eastAsiaTheme="minorEastAsia" w:hAnsi="Times New Roman" w:cs="Times New Roman"/>
          <w:iCs/>
          <w:color w:val="242729"/>
          <w:sz w:val="24"/>
          <w:szCs w:val="24"/>
          <w:shd w:val="clear" w:color="auto" w:fill="FFFFFF"/>
        </w:rPr>
        <w:fldChar w:fldCharType="separate"/>
      </w:r>
      <w:r w:rsidR="00C71654" w:rsidRPr="00C71654">
        <w:rPr>
          <w:rFonts w:ascii="Times New Roman" w:eastAsiaTheme="minorEastAsia" w:hAnsi="Times New Roman" w:cs="Times New Roman"/>
          <w:iCs/>
          <w:noProof/>
          <w:color w:val="242729"/>
          <w:sz w:val="24"/>
          <w:szCs w:val="24"/>
          <w:shd w:val="clear" w:color="auto" w:fill="FFFFFF"/>
        </w:rPr>
        <w:t>(Salamone et al., 2009)</w:t>
      </w:r>
      <w:r w:rsidR="00C71654">
        <w:rPr>
          <w:rFonts w:ascii="Times New Roman" w:eastAsiaTheme="minorEastAsia" w:hAnsi="Times New Roman" w:cs="Times New Roman"/>
          <w:iCs/>
          <w:color w:val="242729"/>
          <w:sz w:val="24"/>
          <w:szCs w:val="24"/>
          <w:shd w:val="clear" w:color="auto" w:fill="FFFFFF"/>
        </w:rPr>
        <w:fldChar w:fldCharType="end"/>
      </w:r>
      <w:r w:rsidR="003C55BF" w:rsidRPr="00DA405F">
        <w:rPr>
          <w:rFonts w:ascii="Times New Roman" w:eastAsiaTheme="minorEastAsia" w:hAnsi="Times New Roman" w:cs="Times New Roman"/>
          <w:iCs/>
          <w:color w:val="242729"/>
          <w:sz w:val="24"/>
          <w:szCs w:val="24"/>
          <w:shd w:val="clear" w:color="auto" w:fill="FFFFFF"/>
        </w:rPr>
        <w:t>.</w:t>
      </w:r>
      <w:r w:rsidR="00EA20F6" w:rsidRPr="00DA405F">
        <w:rPr>
          <w:rFonts w:ascii="Times New Roman" w:eastAsiaTheme="minorEastAsia" w:hAnsi="Times New Roman" w:cs="Times New Roman"/>
          <w:iCs/>
          <w:color w:val="242729"/>
          <w:sz w:val="24"/>
          <w:szCs w:val="24"/>
          <w:shd w:val="clear" w:color="auto" w:fill="FFFFFF"/>
        </w:rPr>
        <w:t xml:space="preserve"> </w:t>
      </w:r>
      <w:r w:rsidR="003C55BF" w:rsidRPr="00DA405F">
        <w:rPr>
          <w:rFonts w:ascii="Times New Roman" w:eastAsiaTheme="minorEastAsia" w:hAnsi="Times New Roman" w:cs="Times New Roman"/>
          <w:iCs/>
          <w:color w:val="242729"/>
          <w:sz w:val="24"/>
          <w:szCs w:val="24"/>
          <w:shd w:val="clear" w:color="auto" w:fill="FFFFFF"/>
        </w:rPr>
        <w:t>T</w:t>
      </w:r>
      <w:r w:rsidR="00EA20F6" w:rsidRPr="00DA405F">
        <w:rPr>
          <w:rFonts w:ascii="Times New Roman" w:eastAsiaTheme="minorEastAsia" w:hAnsi="Times New Roman" w:cs="Times New Roman"/>
          <w:iCs/>
          <w:color w:val="242729"/>
          <w:sz w:val="24"/>
          <w:szCs w:val="24"/>
          <w:shd w:val="clear" w:color="auto" w:fill="FFFFFF"/>
        </w:rPr>
        <w:t xml:space="preserve">hese implanted rats which will </w:t>
      </w:r>
      <w:r w:rsidR="003C55BF" w:rsidRPr="00DA405F">
        <w:rPr>
          <w:rFonts w:ascii="Times New Roman" w:eastAsiaTheme="minorEastAsia" w:hAnsi="Times New Roman" w:cs="Times New Roman"/>
          <w:iCs/>
          <w:color w:val="242729"/>
          <w:sz w:val="24"/>
          <w:szCs w:val="24"/>
          <w:shd w:val="clear" w:color="auto" w:fill="FFFFFF"/>
        </w:rPr>
        <w:t>indefatigably press a lever to continue self-stimulati</w:t>
      </w:r>
      <w:r w:rsidR="00F62AA4" w:rsidRPr="00DA405F">
        <w:rPr>
          <w:rFonts w:ascii="Times New Roman" w:eastAsiaTheme="minorEastAsia" w:hAnsi="Times New Roman" w:cs="Times New Roman"/>
          <w:iCs/>
          <w:color w:val="242729"/>
          <w:sz w:val="24"/>
          <w:szCs w:val="24"/>
          <w:shd w:val="clear" w:color="auto" w:fill="FFFFFF"/>
        </w:rPr>
        <w:t>ng</w:t>
      </w:r>
      <w:r w:rsidR="003C55BF" w:rsidRPr="00DA405F">
        <w:rPr>
          <w:rFonts w:ascii="Times New Roman" w:eastAsiaTheme="minorEastAsia" w:hAnsi="Times New Roman" w:cs="Times New Roman"/>
          <w:iCs/>
          <w:color w:val="242729"/>
          <w:sz w:val="24"/>
          <w:szCs w:val="24"/>
          <w:shd w:val="clear" w:color="auto" w:fill="FFFFFF"/>
        </w:rPr>
        <w:t xml:space="preserve"> show the extreme positive reinforcement generated by stimulation of the basal forebrain, </w:t>
      </w:r>
      <w:r w:rsidR="00F62AA4" w:rsidRPr="00DA405F">
        <w:rPr>
          <w:rFonts w:ascii="Times New Roman" w:eastAsiaTheme="minorEastAsia" w:hAnsi="Times New Roman" w:cs="Times New Roman"/>
          <w:iCs/>
          <w:color w:val="242729"/>
          <w:sz w:val="24"/>
          <w:szCs w:val="24"/>
          <w:shd w:val="clear" w:color="auto" w:fill="FFFFFF"/>
        </w:rPr>
        <w:t xml:space="preserve">implying that activity </w:t>
      </w:r>
      <w:r w:rsidR="00076065" w:rsidRPr="00DA405F">
        <w:rPr>
          <w:rFonts w:ascii="Times New Roman" w:eastAsiaTheme="minorEastAsia" w:hAnsi="Times New Roman" w:cs="Times New Roman"/>
          <w:iCs/>
          <w:color w:val="242729"/>
          <w:sz w:val="24"/>
          <w:szCs w:val="24"/>
          <w:shd w:val="clear" w:color="auto" w:fill="FFFFFF"/>
        </w:rPr>
        <w:t xml:space="preserve">of cells in the vicinity </w:t>
      </w:r>
      <w:r w:rsidR="00F562F1">
        <w:rPr>
          <w:rFonts w:ascii="Times New Roman" w:eastAsiaTheme="minorEastAsia" w:hAnsi="Times New Roman" w:cs="Times New Roman"/>
          <w:iCs/>
          <w:color w:val="242729"/>
          <w:sz w:val="24"/>
          <w:szCs w:val="24"/>
          <w:shd w:val="clear" w:color="auto" w:fill="FFFFFF"/>
        </w:rPr>
        <w:t>are conveying reward</w:t>
      </w:r>
      <w:r w:rsidR="00076065" w:rsidRPr="00DA405F">
        <w:rPr>
          <w:rFonts w:ascii="Times New Roman" w:eastAsiaTheme="minorEastAsia" w:hAnsi="Times New Roman" w:cs="Times New Roman"/>
          <w:iCs/>
          <w:color w:val="242729"/>
          <w:sz w:val="24"/>
          <w:szCs w:val="24"/>
          <w:shd w:val="clear" w:color="auto" w:fill="FFFFFF"/>
        </w:rPr>
        <w:t>.</w:t>
      </w:r>
      <w:r w:rsidR="009643AC" w:rsidRPr="00DA405F">
        <w:rPr>
          <w:rFonts w:ascii="Times New Roman" w:eastAsiaTheme="minorEastAsia" w:hAnsi="Times New Roman" w:cs="Times New Roman"/>
          <w:iCs/>
          <w:color w:val="242729"/>
          <w:sz w:val="24"/>
          <w:szCs w:val="24"/>
          <w:shd w:val="clear" w:color="auto" w:fill="FFFFFF"/>
        </w:rPr>
        <w:t xml:space="preserve"> </w:t>
      </w:r>
    </w:p>
    <w:p w14:paraId="003E085E" w14:textId="6F1F3C5C" w:rsidR="007137B8" w:rsidRPr="00DA405F" w:rsidRDefault="00560385">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Later studies of intracranial self-stimulation (ICS) revealed the ipsilateral </w:t>
      </w:r>
      <w:r w:rsidR="000D07E7" w:rsidRPr="00DA405F">
        <w:rPr>
          <w:rFonts w:ascii="Times New Roman" w:eastAsiaTheme="minorEastAsia" w:hAnsi="Times New Roman" w:cs="Times New Roman"/>
          <w:iCs/>
          <w:color w:val="242729"/>
          <w:sz w:val="24"/>
          <w:szCs w:val="24"/>
          <w:shd w:val="clear" w:color="auto" w:fill="FFFFFF"/>
        </w:rPr>
        <w:t xml:space="preserve">pharmacological </w:t>
      </w:r>
      <w:r w:rsidR="005471D4" w:rsidRPr="00DA405F">
        <w:rPr>
          <w:rFonts w:ascii="Times New Roman" w:eastAsiaTheme="minorEastAsia" w:hAnsi="Times New Roman" w:cs="Times New Roman"/>
          <w:iCs/>
          <w:color w:val="242729"/>
          <w:sz w:val="24"/>
          <w:szCs w:val="24"/>
          <w:shd w:val="clear" w:color="auto" w:fill="FFFFFF"/>
        </w:rPr>
        <w:t xml:space="preserve">oxidopamine (6-OHDA) </w:t>
      </w:r>
      <w:r w:rsidRPr="00DA405F">
        <w:rPr>
          <w:rFonts w:ascii="Times New Roman" w:eastAsiaTheme="minorEastAsia" w:hAnsi="Times New Roman" w:cs="Times New Roman"/>
          <w:iCs/>
          <w:color w:val="242729"/>
          <w:sz w:val="24"/>
          <w:szCs w:val="24"/>
          <w:shd w:val="clear" w:color="auto" w:fill="FFFFFF"/>
        </w:rPr>
        <w:t>lesions of the ascending dopaminergic fibres reduced the compulsion</w:t>
      </w:r>
      <w:r w:rsidRPr="00CD3967">
        <w:rPr>
          <w:rStyle w:val="FootnoteReference"/>
        </w:rPr>
        <w:footnoteReference w:id="8"/>
      </w:r>
      <w:r w:rsidR="000D07E7" w:rsidRPr="00DA405F">
        <w:rPr>
          <w:rFonts w:ascii="Times New Roman" w:eastAsiaTheme="minorEastAsia" w:hAnsi="Times New Roman" w:cs="Times New Roman"/>
          <w:iCs/>
          <w:color w:val="242729"/>
          <w:sz w:val="24"/>
          <w:szCs w:val="24"/>
          <w:shd w:val="clear" w:color="auto" w:fill="FFFFFF"/>
        </w:rPr>
        <w:t xml:space="preserve"> of rats to self-stimulate </w:t>
      </w:r>
      <w:r w:rsidR="000D07E7" w:rsidRPr="00DA405F">
        <w:rPr>
          <w:rFonts w:ascii="Times New Roman" w:eastAsiaTheme="minorEastAsia" w:hAnsi="Times New Roman" w:cs="Times New Roman"/>
          <w:iCs/>
          <w:color w:val="242729"/>
          <w:sz w:val="24"/>
          <w:szCs w:val="24"/>
          <w:shd w:val="clear" w:color="auto" w:fill="FFFFFF"/>
        </w:rPr>
        <w:fldChar w:fldCharType="begin" w:fldLock="1"/>
      </w:r>
      <w:r w:rsidR="00690756" w:rsidRPr="00DA405F">
        <w:rPr>
          <w:rFonts w:ascii="Times New Roman" w:eastAsiaTheme="minorEastAsia" w:hAnsi="Times New Roman" w:cs="Times New Roman"/>
          <w:iCs/>
          <w:color w:val="242729"/>
          <w:sz w:val="24"/>
          <w:szCs w:val="24"/>
          <w:shd w:val="clear" w:color="auto" w:fill="FFFFFF"/>
        </w:rPr>
        <w:instrText>ADDIN CSL_CITATION {"citationItems":[{"id":"ITEM-1","itemData":{"DOI":"10.1523/jneurosci.07-12-03888.1987","ISSN":"02706474","PMID":"3121802","abstract":"The role of dopaminergic (DA) neurons in brain stimulation reward produced by electrical stimulation of the ventral tegmental area (VTA) was investigated in the rat. In the first experiment, extensive 6-hydroxydopamine lesions of the ascending fibers of the mesotelencephalic DA projections resulted in significant changes in intracranial self-stimulation (ICS) rate-current intensity functions when the lesion was ipsilateral to the stimulating electrode. Similar contralateral lesions had no effect on these functions, thus ruling out lesions-induced performance deficits as being responsible for the decreases in ICS rates across the wide range of current intensities that occurred after the ipsilateral lesions. In the second experiment, ICS obtained from electrodes in the VTA resulted in significant increases in the DA metabolites, 3,4-dihydroxyphenylacetic acid (DOPAC) and homovanillic acid (HVA) in the striatum, nucleus accumbens, and olfactory tubercle ipsilateral to the stimulating electrode. The ratios of DOPAC and HVA to DA, considered to be indices of DA utilization were also increased in these brain regions ipsilateral to the electrode. No changes were observed in the contralateral striatum, nucleus accumbens, and olfactory tubercle. Similar increases were observed in stimulated 'yoked' animals that received brain stimulation at identical rates and currents but did not lever-press for this stimulation. The third experiment examined the effects of lever-pressing for food on an FR8 schedule of reinforcement on DA utilization in the striatum, nucleus accumbens, and olfactory tubercle. Despite high rates of responding, no effects were observed on DOPAC:DA or HVA:DA ratios in these brain regions. In contrast, 'yoked' animals that were subject to identical patterns of food delivery without lever-pressing showed significant increases in HVA:DA ratios in the nucleus accumbens. The results of these experiments indicate that ICS obtained from electrodes in the VTA activates mesotelencephalic DA neurons and that these neurons mediate some of the rewarding properties of electrical stimulation obtained from this brain region. There was no indication that these neurons are activated during lever-pressing for food.","author":[{"dropping-particle":"","family":"Fibiger","given":"H. C.","non-dropping-particle":"","parse-names":false,"suffix":""},{"dropping-particle":"","family":"LePiane","given":"F. G.","non-dropping-particle":"","parse-names":false,"suffix":""},{"dropping-particle":"","family":"Jakubovic","given":"A.","non-dropping-particle":"","parse-names":false,"suffix":""},{"dropping-particle":"","family":"Phillips","given":"A. G.","non-dropping-particle":"","parse-names":false,"suffix":""}],"container-title":"Journal of Neuroscience","id":"ITEM-1","issue":"12","issued":{"date-parts":[["1987"]]},"page":"3888-3896","title":"The role of dopamine in intracranial self-stimulation of the ventral tegmental area","type":"article-journal","volume":"7"},"uris":["http://www.mendeley.com/documents/?uuid=a8e95c43-1a96-4475-af22-a409c159a019"]},{"id":"ITEM-2","itemData":{"author":[{"dropping-particle":"","family":"Phillips","given":"A. G.","non-dropping-particle":"","parse-names":false,"suffix":""},{"dropping-particle":"","family":"Fibiger","given":"H. C.","non-dropping-particle":"","parse-names":false,"suffix":""}],"container-title":"Behavioural Biology","id":"ITEM-2","issued":{"date-parts":[["1976"]]},"page":"127-143","title":"Long-Term Deficits in Stimulation-Induced Behaviors and Self-Stimulation after 6-Hydroxydopamine Administration in Rats","type":"article-journal","volume":"16"},"uris":["http://www.mendeley.com/documents/?uuid=9b1663cd-e59e-43bd-8a26-8a038479de02"]}],"mendeley":{"formattedCitation":"(Fibiger et al., 1987; Phillips &amp; Fibiger, 1976)","plainTextFormattedCitation":"(Fibiger et al., 1987; Phillips &amp; Fibiger, 1976)","previouslyFormattedCitation":"(Fibiger et al., 1987; Phillips &amp; Fibiger, 1976)"},"properties":{"noteIndex":0},"schema":"https://github.com/citation-style-language/schema/raw/master/csl-citation.json"}</w:instrText>
      </w:r>
      <w:r w:rsidR="000D07E7" w:rsidRPr="00DA405F">
        <w:rPr>
          <w:rFonts w:ascii="Times New Roman" w:eastAsiaTheme="minorEastAsia" w:hAnsi="Times New Roman" w:cs="Times New Roman"/>
          <w:iCs/>
          <w:color w:val="242729"/>
          <w:sz w:val="24"/>
          <w:szCs w:val="24"/>
          <w:shd w:val="clear" w:color="auto" w:fill="FFFFFF"/>
        </w:rPr>
        <w:fldChar w:fldCharType="separate"/>
      </w:r>
      <w:r w:rsidR="000D07E7" w:rsidRPr="00DA405F">
        <w:rPr>
          <w:rFonts w:ascii="Times New Roman" w:eastAsiaTheme="minorEastAsia" w:hAnsi="Times New Roman" w:cs="Times New Roman"/>
          <w:iCs/>
          <w:noProof/>
          <w:color w:val="242729"/>
          <w:sz w:val="24"/>
          <w:szCs w:val="24"/>
          <w:shd w:val="clear" w:color="auto" w:fill="FFFFFF"/>
        </w:rPr>
        <w:t>(Fibiger et al., 1987; Phillips &amp; Fibiger, 1976)</w:t>
      </w:r>
      <w:r w:rsidR="000D07E7" w:rsidRPr="00DA405F">
        <w:rPr>
          <w:rFonts w:ascii="Times New Roman" w:eastAsiaTheme="minorEastAsia" w:hAnsi="Times New Roman" w:cs="Times New Roman"/>
          <w:iCs/>
          <w:color w:val="242729"/>
          <w:sz w:val="24"/>
          <w:szCs w:val="24"/>
          <w:shd w:val="clear" w:color="auto" w:fill="FFFFFF"/>
        </w:rPr>
        <w:fldChar w:fldCharType="end"/>
      </w:r>
      <w:r w:rsidR="00966DF5" w:rsidRPr="00DA405F">
        <w:rPr>
          <w:rFonts w:ascii="Times New Roman" w:eastAsiaTheme="minorEastAsia" w:hAnsi="Times New Roman" w:cs="Times New Roman"/>
          <w:iCs/>
          <w:color w:val="242729"/>
          <w:sz w:val="24"/>
          <w:szCs w:val="24"/>
          <w:shd w:val="clear" w:color="auto" w:fill="FFFFFF"/>
        </w:rPr>
        <w:t xml:space="preserve">. This implication of midbrain dopaminergic neurons which project to the striatum and frontal cortices in the reinforcing activity of ICS was further strengthened by studies which showed that </w:t>
      </w:r>
      <w:r w:rsidR="00623009" w:rsidRPr="00DA405F">
        <w:rPr>
          <w:rFonts w:ascii="Times New Roman" w:eastAsiaTheme="minorEastAsia" w:hAnsi="Times New Roman" w:cs="Times New Roman"/>
          <w:iCs/>
          <w:color w:val="242729"/>
          <w:sz w:val="24"/>
          <w:szCs w:val="24"/>
          <w:shd w:val="clear" w:color="auto" w:fill="FFFFFF"/>
        </w:rPr>
        <w:t xml:space="preserve">levels of ICS were correlated with the presence of dopamine metabolites </w:t>
      </w:r>
      <w:r w:rsidR="00623009" w:rsidRPr="00DA405F">
        <w:rPr>
          <w:rFonts w:ascii="Times New Roman" w:eastAsiaTheme="minorEastAsia" w:hAnsi="Times New Roman" w:cs="Times New Roman"/>
          <w:iCs/>
          <w:color w:val="242729"/>
          <w:sz w:val="24"/>
          <w:szCs w:val="24"/>
          <w:shd w:val="clear" w:color="auto" w:fill="FFFFFF"/>
        </w:rPr>
        <w:fldChar w:fldCharType="begin" w:fldLock="1"/>
      </w:r>
      <w:r w:rsidR="00BD131F" w:rsidRPr="00DA405F">
        <w:rPr>
          <w:rFonts w:ascii="Times New Roman" w:eastAsiaTheme="minorEastAsia" w:hAnsi="Times New Roman" w:cs="Times New Roman"/>
          <w:iCs/>
          <w:color w:val="242729"/>
          <w:sz w:val="24"/>
          <w:szCs w:val="24"/>
          <w:shd w:val="clear" w:color="auto" w:fill="FFFFFF"/>
        </w:rPr>
        <w:instrText>ADDIN CSL_CITATION {"citationItems":[{"id":"ITEM-1","itemData":{"DOI":"10.1523/jneurosci.07-12-03888.1987","ISSN":"02706474","PMID":"3121802","abstract":"The role of dopaminergic (DA) neurons in brain stimulation reward produced by electrical stimulation of the ventral tegmental area (VTA) was investigated in the rat. In the first experiment, extensive 6-hydroxydopamine lesions of the ascending fibers of the mesotelencephalic DA projections resulted in significant changes in intracranial self-stimulation (ICS) rate-current intensity functions when the lesion was ipsilateral to the stimulating electrode. Similar contralateral lesions had no effect on these functions, thus ruling out lesions-induced performance deficits as being responsible for the decreases in ICS rates across the wide range of current intensities that occurred after the ipsilateral lesions. In the second experiment, ICS obtained from electrodes in the VTA resulted in significant increases in the DA metabolites, 3,4-dihydroxyphenylacetic acid (DOPAC) and homovanillic acid (HVA) in the striatum, nucleus accumbens, and olfactory tubercle ipsilateral to the stimulating electrode. The ratios of DOPAC and HVA to DA, considered to be indices of DA utilization were also increased in these brain regions ipsilateral to the electrode. No changes were observed in the contralateral striatum, nucleus accumbens, and olfactory tubercle. Similar increases were observed in stimulated 'yoked' animals that received brain stimulation at identical rates and currents but did not lever-press for this stimulation. The third experiment examined the effects of lever-pressing for food on an FR8 schedule of reinforcement on DA utilization in the striatum, nucleus accumbens, and olfactory tubercle. Despite high rates of responding, no effects were observed on DOPAC:DA or HVA:DA ratios in these brain regions. In contrast, 'yoked' animals that were subject to identical patterns of food delivery without lever-pressing showed significant increases in HVA:DA ratios in the nucleus accumbens. The results of these experiments indicate that ICS obtained from electrodes in the VTA activates mesotelencephalic DA neurons and that these neurons mediate some of the rewarding properties of electrical stimulation obtained from this brain region. There was no indication that these neurons are activated during lever-pressing for food.","author":[{"dropping-particle":"","family":"Fibiger","given":"H. C.","non-dropping-particle":"","parse-names":false,"suffix":""},{"dropping-particle":"","family":"LePiane","given":"F. G.","non-dropping-particle":"","parse-names":false,"suffix":""},{"dropping-particle":"","family":"Jakubovic","given":"A.","non-dropping-particle":"","parse-names":false,"suffix":""},{"dropping-particle":"","family":"Phillips","given":"A. G.","non-dropping-particle":"","parse-names":false,"suffix":""}],"container-title":"Journal of Neuroscience","id":"ITEM-1","issue":"12","issued":{"date-parts":[["1987"]]},"page":"3888-3896","title":"The role of dopamine in intracranial self-stimulation of the ventral tegmental area","type":"article-journal","volume":"7"},"uris":["http://www.mendeley.com/documents/?uuid=a8e95c43-1a96-4475-af22-a409c159a019"]}],"mendeley":{"formattedCitation":"(Fibiger et al., 1987)","plainTextFormattedCitation":"(Fibiger et al., 1987)","previouslyFormattedCitation":"(Fibiger et al., 1987)"},"properties":{"noteIndex":0},"schema":"https://github.com/citation-style-language/schema/raw/master/csl-citation.json"}</w:instrText>
      </w:r>
      <w:r w:rsidR="00623009" w:rsidRPr="00DA405F">
        <w:rPr>
          <w:rFonts w:ascii="Times New Roman" w:eastAsiaTheme="minorEastAsia" w:hAnsi="Times New Roman" w:cs="Times New Roman"/>
          <w:iCs/>
          <w:color w:val="242729"/>
          <w:sz w:val="24"/>
          <w:szCs w:val="24"/>
          <w:shd w:val="clear" w:color="auto" w:fill="FFFFFF"/>
        </w:rPr>
        <w:fldChar w:fldCharType="separate"/>
      </w:r>
      <w:r w:rsidR="00623009" w:rsidRPr="00DA405F">
        <w:rPr>
          <w:rFonts w:ascii="Times New Roman" w:eastAsiaTheme="minorEastAsia" w:hAnsi="Times New Roman" w:cs="Times New Roman"/>
          <w:iCs/>
          <w:noProof/>
          <w:color w:val="242729"/>
          <w:sz w:val="24"/>
          <w:szCs w:val="24"/>
          <w:shd w:val="clear" w:color="auto" w:fill="FFFFFF"/>
        </w:rPr>
        <w:t>(Fibiger et al., 1987)</w:t>
      </w:r>
      <w:r w:rsidR="00623009" w:rsidRPr="00DA405F">
        <w:rPr>
          <w:rFonts w:ascii="Times New Roman" w:eastAsiaTheme="minorEastAsia" w:hAnsi="Times New Roman" w:cs="Times New Roman"/>
          <w:iCs/>
          <w:color w:val="242729"/>
          <w:sz w:val="24"/>
          <w:szCs w:val="24"/>
          <w:shd w:val="clear" w:color="auto" w:fill="FFFFFF"/>
        </w:rPr>
        <w:fldChar w:fldCharType="end"/>
      </w:r>
      <w:r w:rsidR="00623009" w:rsidRPr="00DA405F">
        <w:rPr>
          <w:rFonts w:ascii="Times New Roman" w:eastAsiaTheme="minorEastAsia" w:hAnsi="Times New Roman" w:cs="Times New Roman"/>
          <w:iCs/>
          <w:color w:val="242729"/>
          <w:sz w:val="24"/>
          <w:szCs w:val="24"/>
          <w:shd w:val="clear" w:color="auto" w:fill="FFFFFF"/>
        </w:rPr>
        <w:t xml:space="preserve"> and that </w:t>
      </w:r>
      <w:r w:rsidR="00966DF5" w:rsidRPr="00DA405F">
        <w:rPr>
          <w:rFonts w:ascii="Times New Roman" w:eastAsiaTheme="minorEastAsia" w:hAnsi="Times New Roman" w:cs="Times New Roman"/>
          <w:iCs/>
          <w:color w:val="242729"/>
          <w:sz w:val="24"/>
          <w:szCs w:val="24"/>
          <w:shd w:val="clear" w:color="auto" w:fill="FFFFFF"/>
        </w:rPr>
        <w:t>animals we</w:t>
      </w:r>
      <w:r w:rsidR="00690756" w:rsidRPr="00DA405F">
        <w:rPr>
          <w:rFonts w:ascii="Times New Roman" w:eastAsiaTheme="minorEastAsia" w:hAnsi="Times New Roman" w:cs="Times New Roman"/>
          <w:iCs/>
          <w:color w:val="242729"/>
          <w:sz w:val="24"/>
          <w:szCs w:val="24"/>
          <w:shd w:val="clear" w:color="auto" w:fill="FFFFFF"/>
        </w:rPr>
        <w:t>re</w:t>
      </w:r>
      <w:r w:rsidR="00966DF5" w:rsidRPr="00DA405F">
        <w:rPr>
          <w:rFonts w:ascii="Times New Roman" w:eastAsiaTheme="minorEastAsia" w:hAnsi="Times New Roman" w:cs="Times New Roman"/>
          <w:iCs/>
          <w:color w:val="242729"/>
          <w:sz w:val="24"/>
          <w:szCs w:val="24"/>
          <w:shd w:val="clear" w:color="auto" w:fill="FFFFFF"/>
        </w:rPr>
        <w:t xml:space="preserve"> most reinforced to self-stimulate when electrode tips were placed within the ventral tegmental </w:t>
      </w:r>
      <w:r w:rsidR="00690756" w:rsidRPr="00DA405F">
        <w:rPr>
          <w:rFonts w:ascii="Times New Roman" w:eastAsiaTheme="minorEastAsia" w:hAnsi="Times New Roman" w:cs="Times New Roman"/>
          <w:iCs/>
          <w:color w:val="242729"/>
          <w:sz w:val="24"/>
          <w:szCs w:val="24"/>
          <w:shd w:val="clear" w:color="auto" w:fill="FFFFFF"/>
        </w:rPr>
        <w:t>a</w:t>
      </w:r>
      <w:r w:rsidR="00966DF5" w:rsidRPr="00DA405F">
        <w:rPr>
          <w:rFonts w:ascii="Times New Roman" w:eastAsiaTheme="minorEastAsia" w:hAnsi="Times New Roman" w:cs="Times New Roman"/>
          <w:iCs/>
          <w:color w:val="242729"/>
          <w:sz w:val="24"/>
          <w:szCs w:val="24"/>
          <w:shd w:val="clear" w:color="auto" w:fill="FFFFFF"/>
        </w:rPr>
        <w:t xml:space="preserve">rea (VTA) or </w:t>
      </w:r>
      <w:r w:rsidR="00690756" w:rsidRPr="00DA405F">
        <w:rPr>
          <w:rFonts w:ascii="Times New Roman" w:eastAsiaTheme="minorEastAsia" w:hAnsi="Times New Roman" w:cs="Times New Roman"/>
          <w:iCs/>
          <w:color w:val="242729"/>
          <w:sz w:val="24"/>
          <w:szCs w:val="24"/>
          <w:shd w:val="clear" w:color="auto" w:fill="FFFFFF"/>
        </w:rPr>
        <w:t>s</w:t>
      </w:r>
      <w:r w:rsidR="00966DF5" w:rsidRPr="00DA405F">
        <w:rPr>
          <w:rFonts w:ascii="Times New Roman" w:eastAsiaTheme="minorEastAsia" w:hAnsi="Times New Roman" w:cs="Times New Roman"/>
          <w:iCs/>
          <w:color w:val="242729"/>
          <w:sz w:val="24"/>
          <w:szCs w:val="24"/>
          <w:shd w:val="clear" w:color="auto" w:fill="FFFFFF"/>
        </w:rPr>
        <w:t xml:space="preserve">ubstantia </w:t>
      </w:r>
      <w:r w:rsidR="00690756" w:rsidRPr="00DA405F">
        <w:rPr>
          <w:rFonts w:ascii="Times New Roman" w:eastAsiaTheme="minorEastAsia" w:hAnsi="Times New Roman" w:cs="Times New Roman"/>
          <w:iCs/>
          <w:color w:val="242729"/>
          <w:sz w:val="24"/>
          <w:szCs w:val="24"/>
          <w:shd w:val="clear" w:color="auto" w:fill="FFFFFF"/>
        </w:rPr>
        <w:t>n</w:t>
      </w:r>
      <w:r w:rsidR="00966DF5" w:rsidRPr="00DA405F">
        <w:rPr>
          <w:rFonts w:ascii="Times New Roman" w:eastAsiaTheme="minorEastAsia" w:hAnsi="Times New Roman" w:cs="Times New Roman"/>
          <w:iCs/>
          <w:color w:val="242729"/>
          <w:sz w:val="24"/>
          <w:szCs w:val="24"/>
          <w:shd w:val="clear" w:color="auto" w:fill="FFFFFF"/>
        </w:rPr>
        <w:t>igra pars com</w:t>
      </w:r>
      <w:r w:rsidR="00690756" w:rsidRPr="00DA405F">
        <w:rPr>
          <w:rFonts w:ascii="Times New Roman" w:eastAsiaTheme="minorEastAsia" w:hAnsi="Times New Roman" w:cs="Times New Roman"/>
          <w:iCs/>
          <w:color w:val="242729"/>
          <w:sz w:val="24"/>
          <w:szCs w:val="24"/>
          <w:shd w:val="clear" w:color="auto" w:fill="FFFFFF"/>
        </w:rPr>
        <w:t>pa</w:t>
      </w:r>
      <w:r w:rsidR="00966DF5" w:rsidRPr="00DA405F">
        <w:rPr>
          <w:rFonts w:ascii="Times New Roman" w:eastAsiaTheme="minorEastAsia" w:hAnsi="Times New Roman" w:cs="Times New Roman"/>
          <w:iCs/>
          <w:color w:val="242729"/>
          <w:sz w:val="24"/>
          <w:szCs w:val="24"/>
          <w:shd w:val="clear" w:color="auto" w:fill="FFFFFF"/>
        </w:rPr>
        <w:t>cta</w:t>
      </w:r>
      <w:r w:rsidR="00690756" w:rsidRPr="00DA405F">
        <w:rPr>
          <w:rFonts w:ascii="Times New Roman" w:eastAsiaTheme="minorEastAsia" w:hAnsi="Times New Roman" w:cs="Times New Roman"/>
          <w:iCs/>
          <w:color w:val="242729"/>
          <w:sz w:val="24"/>
          <w:szCs w:val="24"/>
          <w:shd w:val="clear" w:color="auto" w:fill="FFFFFF"/>
        </w:rPr>
        <w:t xml:space="preserve"> (SNc) </w:t>
      </w:r>
      <w:r w:rsidR="005471D4" w:rsidRPr="00DA405F">
        <w:rPr>
          <w:rFonts w:ascii="Times New Roman" w:eastAsiaTheme="minorEastAsia" w:hAnsi="Times New Roman" w:cs="Times New Roman"/>
          <w:iCs/>
          <w:color w:val="242729"/>
          <w:sz w:val="24"/>
          <w:szCs w:val="24"/>
          <w:shd w:val="clear" w:color="auto" w:fill="FFFFFF"/>
        </w:rPr>
        <w:t>with</w:t>
      </w:r>
      <w:r w:rsidR="00623009" w:rsidRPr="00DA405F">
        <w:rPr>
          <w:rFonts w:ascii="Times New Roman" w:eastAsiaTheme="minorEastAsia" w:hAnsi="Times New Roman" w:cs="Times New Roman"/>
          <w:iCs/>
          <w:color w:val="242729"/>
          <w:sz w:val="24"/>
          <w:szCs w:val="24"/>
          <w:shd w:val="clear" w:color="auto" w:fill="FFFFFF"/>
        </w:rPr>
        <w:t xml:space="preserve"> the volume of </w:t>
      </w:r>
      <w:r w:rsidR="00690756" w:rsidRPr="00DA405F">
        <w:rPr>
          <w:rFonts w:ascii="Times New Roman" w:eastAsiaTheme="minorEastAsia" w:hAnsi="Times New Roman" w:cs="Times New Roman"/>
          <w:iCs/>
          <w:color w:val="242729"/>
          <w:sz w:val="24"/>
          <w:szCs w:val="24"/>
          <w:shd w:val="clear" w:color="auto" w:fill="FFFFFF"/>
        </w:rPr>
        <w:t xml:space="preserve">ICS </w:t>
      </w:r>
      <w:r w:rsidR="00623009" w:rsidRPr="00DA405F">
        <w:rPr>
          <w:rFonts w:ascii="Times New Roman" w:eastAsiaTheme="minorEastAsia" w:hAnsi="Times New Roman" w:cs="Times New Roman"/>
          <w:iCs/>
          <w:color w:val="242729"/>
          <w:sz w:val="24"/>
          <w:szCs w:val="24"/>
          <w:shd w:val="clear" w:color="auto" w:fill="FFFFFF"/>
        </w:rPr>
        <w:t>correlating</w:t>
      </w:r>
      <w:r w:rsidR="00690756" w:rsidRPr="00DA405F">
        <w:rPr>
          <w:rFonts w:ascii="Times New Roman" w:eastAsiaTheme="minorEastAsia" w:hAnsi="Times New Roman" w:cs="Times New Roman"/>
          <w:iCs/>
          <w:color w:val="242729"/>
          <w:sz w:val="24"/>
          <w:szCs w:val="24"/>
          <w:shd w:val="clear" w:color="auto" w:fill="FFFFFF"/>
        </w:rPr>
        <w:t xml:space="preserve"> with the density of dopaminergic neuron cell bodies at this point </w:t>
      </w:r>
      <w:r w:rsidR="00690756" w:rsidRPr="00DA405F">
        <w:rPr>
          <w:rFonts w:ascii="Times New Roman" w:eastAsiaTheme="minorEastAsia" w:hAnsi="Times New Roman" w:cs="Times New Roman"/>
          <w:iCs/>
          <w:color w:val="242729"/>
          <w:sz w:val="24"/>
          <w:szCs w:val="24"/>
          <w:shd w:val="clear" w:color="auto" w:fill="FFFFFF"/>
        </w:rPr>
        <w:fldChar w:fldCharType="begin" w:fldLock="1"/>
      </w:r>
      <w:r w:rsidR="00623009" w:rsidRPr="00DA405F">
        <w:rPr>
          <w:rFonts w:ascii="Times New Roman" w:eastAsiaTheme="minorEastAsia" w:hAnsi="Times New Roman" w:cs="Times New Roman"/>
          <w:iCs/>
          <w:color w:val="242729"/>
          <w:sz w:val="24"/>
          <w:szCs w:val="24"/>
          <w:shd w:val="clear" w:color="auto" w:fill="FFFFFF"/>
        </w:rPr>
        <w:instrText>ADDIN CSL_CITATION {"citationItems":[{"id":"ITEM-1","itemData":{"DOI":"10.1016/0006-8993(80)90666-6","ISSN":"00068993","PMID":"7353169","abstract":"Chronically implanted moveable electrodes were used to map the midbrain and caudal diencephalon for intracranial self-stimulation in relation to the ascending dopamine systems as revealed by fluorescence histochemistry. In the diencephalon the lowest self-stimulation thresholds and the highest response rates were in the areas traversed by the dopamine fiber bundles. In the midbrain, self-stimulation was restricted to the layer of dopamine containing cell bodies. Self-stimulation current thresholds and responses rates were proportional to the density of dopaminergic elements surrounding the electrode tip; the lowest thresholds and highest response rates were associated with the densest packing of dopaminergic neurons. However, not all portions of the dopamine cell groups supported self-stimulation. Self-stimulation was not obtained from the caudal poles of the A9 and A10 groups, nor from the A8 cell group. These findings suggest that a certain population of dopaminergic neurons directly participates in what is probably a multiple-link circuitry subserving positive reinforcement. © 1980.","author":[{"dropping-particle":"","family":"Corbett","given":"Dale","non-dropping-particle":"","parse-names":false,"suffix":""},{"dropping-particle":"","family":"Wise","given":"Roy A.","non-dropping-particle":"","parse-names":false,"suffix":""}],"container-title":"Brain Research","id":"ITEM-1","issue":"1","issued":{"date-parts":[["1980"]]},"page":"1-15","title":"Intracranial self-stimulation in relation to the ascending dopaminergic systems of the midbrain: A moveable electrode mapping study","type":"article-journal","volume":"185"},"uris":["http://www.mendeley.com/documents/?uuid=7d16a209-f763-40a0-825e-6d952143d43f"]}],"mendeley":{"formattedCitation":"(Corbett &amp; Wise, 1980)","plainTextFormattedCitation":"(Corbett &amp; Wise, 1980)","previouslyFormattedCitation":"(Corbett &amp; Wise, 1980)"},"properties":{"noteIndex":0},"schema":"https://github.com/citation-style-language/schema/raw/master/csl-citation.json"}</w:instrText>
      </w:r>
      <w:r w:rsidR="00690756" w:rsidRPr="00DA405F">
        <w:rPr>
          <w:rFonts w:ascii="Times New Roman" w:eastAsiaTheme="minorEastAsia" w:hAnsi="Times New Roman" w:cs="Times New Roman"/>
          <w:iCs/>
          <w:color w:val="242729"/>
          <w:sz w:val="24"/>
          <w:szCs w:val="24"/>
          <w:shd w:val="clear" w:color="auto" w:fill="FFFFFF"/>
        </w:rPr>
        <w:fldChar w:fldCharType="separate"/>
      </w:r>
      <w:r w:rsidR="00690756" w:rsidRPr="00DA405F">
        <w:rPr>
          <w:rFonts w:ascii="Times New Roman" w:eastAsiaTheme="minorEastAsia" w:hAnsi="Times New Roman" w:cs="Times New Roman"/>
          <w:iCs/>
          <w:noProof/>
          <w:color w:val="242729"/>
          <w:sz w:val="24"/>
          <w:szCs w:val="24"/>
          <w:shd w:val="clear" w:color="auto" w:fill="FFFFFF"/>
        </w:rPr>
        <w:t>(Corbett &amp; Wise, 1980)</w:t>
      </w:r>
      <w:r w:rsidR="00690756" w:rsidRPr="00DA405F">
        <w:rPr>
          <w:rFonts w:ascii="Times New Roman" w:eastAsiaTheme="minorEastAsia" w:hAnsi="Times New Roman" w:cs="Times New Roman"/>
          <w:iCs/>
          <w:color w:val="242729"/>
          <w:sz w:val="24"/>
          <w:szCs w:val="24"/>
          <w:shd w:val="clear" w:color="auto" w:fill="FFFFFF"/>
        </w:rPr>
        <w:fldChar w:fldCharType="end"/>
      </w:r>
      <w:r w:rsidR="00690756" w:rsidRPr="00DA405F">
        <w:rPr>
          <w:rFonts w:ascii="Times New Roman" w:eastAsiaTheme="minorEastAsia" w:hAnsi="Times New Roman" w:cs="Times New Roman"/>
          <w:iCs/>
          <w:color w:val="242729"/>
          <w:sz w:val="24"/>
          <w:szCs w:val="24"/>
          <w:shd w:val="clear" w:color="auto" w:fill="FFFFFF"/>
        </w:rPr>
        <w:t>.</w:t>
      </w:r>
    </w:p>
    <w:p w14:paraId="4D7D56DB" w14:textId="0C6989E5" w:rsidR="00266FA3" w:rsidRPr="00DA405F" w:rsidRDefault="004B20A2">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In addition to self-stimulating for current, rats will also press a lever to administer drugs of abuse intravenously. Injection of pimozide, a dopamine receptor antagonist, greatly increases the self-administration of amphetamines </w:t>
      </w:r>
      <w:r w:rsidR="00B3761B" w:rsidRPr="00DA405F">
        <w:rPr>
          <w:rFonts w:ascii="Times New Roman" w:eastAsiaTheme="minorEastAsia" w:hAnsi="Times New Roman" w:cs="Times New Roman"/>
          <w:iCs/>
          <w:color w:val="242729"/>
          <w:sz w:val="24"/>
          <w:szCs w:val="24"/>
          <w:shd w:val="clear" w:color="auto" w:fill="FFFFFF"/>
        </w:rPr>
        <w:t xml:space="preserve">by animals </w:t>
      </w:r>
      <w:r w:rsidR="00BD131F" w:rsidRPr="00DA405F">
        <w:rPr>
          <w:rFonts w:ascii="Times New Roman" w:eastAsiaTheme="minorEastAsia" w:hAnsi="Times New Roman" w:cs="Times New Roman"/>
          <w:iCs/>
          <w:color w:val="242729"/>
          <w:sz w:val="24"/>
          <w:szCs w:val="24"/>
          <w:shd w:val="clear" w:color="auto" w:fill="FFFFFF"/>
        </w:rPr>
        <w:t xml:space="preserve">in an effort to compensate for the reduced efficacy per volume of drug </w:t>
      </w:r>
      <w:r w:rsidR="00BD131F" w:rsidRPr="00DA405F">
        <w:rPr>
          <w:rFonts w:ascii="Times New Roman" w:eastAsiaTheme="minorEastAsia" w:hAnsi="Times New Roman" w:cs="Times New Roman"/>
          <w:iCs/>
          <w:color w:val="242729"/>
          <w:sz w:val="24"/>
          <w:szCs w:val="24"/>
          <w:shd w:val="clear" w:color="auto" w:fill="FFFFFF"/>
        </w:rPr>
        <w:fldChar w:fldCharType="begin" w:fldLock="1"/>
      </w:r>
      <w:r w:rsidR="00BD131F"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{"citationItems":[{"id":"ITEM-1","itemData":{"author":[{"dropping-particle":"","family":"Yokel","given":"R. A.","non-dropping-particle":"","parse-names":false,"suffix":""},{"dropping-particle":"","family":"Wise","given":"R. A.","non-dropping-particle":"","parse-names":false,"suffix":""}],"container-title":"Science","id":"ITEM-1","issue":"1969","issued":{"date-parts":[["1975"]]},"page":"547-549","title":"Increased Lever Pressing for Amphetamine after Pimozide in Rats : Implications for a Dopamine Theory of Reward","type":"article-journal","volume":"187"},"uris":["http://www.mendeley.com/documents/?uuid=c08de9e1-c216-4103-bfbe-75b43cf994a8"]}],"mendeley":{"formattedCitation":"(Yokel &amp; Wise, 1975)","plainTextFormattedCitation":"(Yokel &amp; Wise, 1975)","previouslyFormattedCitation":"(Yokel &amp; Wise, 1975)"},"properties":{"noteIndex":0},"schema":"https://github.com/citation-style-language/schema/raw/master/csl-citation.json"}</w:instrText>
      </w:r>
      <w:r w:rsidR="00BD131F" w:rsidRPr="00DA405F">
        <w:rPr>
          <w:rFonts w:ascii="Times New Roman" w:eastAsiaTheme="minorEastAsia" w:hAnsi="Times New Roman" w:cs="Times New Roman"/>
          <w:iCs/>
          <w:color w:val="242729"/>
          <w:sz w:val="24"/>
          <w:szCs w:val="24"/>
          <w:shd w:val="clear" w:color="auto" w:fill="FFFFFF"/>
        </w:rPr>
        <w:fldChar w:fldCharType="separate"/>
      </w:r>
      <w:r w:rsidR="00BD131F" w:rsidRPr="00DA405F">
        <w:rPr>
          <w:rFonts w:ascii="Times New Roman" w:eastAsiaTheme="minorEastAsia" w:hAnsi="Times New Roman" w:cs="Times New Roman"/>
          <w:iCs/>
          <w:noProof/>
          <w:color w:val="242729"/>
          <w:sz w:val="24"/>
          <w:szCs w:val="24"/>
          <w:shd w:val="clear" w:color="auto" w:fill="FFFFFF"/>
        </w:rPr>
        <w:t>(Yokel &amp; Wise, 1975)</w:t>
      </w:r>
      <w:r w:rsidR="00BD131F" w:rsidRPr="00DA405F">
        <w:rPr>
          <w:rFonts w:ascii="Times New Roman" w:eastAsiaTheme="minorEastAsia" w:hAnsi="Times New Roman" w:cs="Times New Roman"/>
          <w:iCs/>
          <w:color w:val="242729"/>
          <w:sz w:val="24"/>
          <w:szCs w:val="24"/>
          <w:shd w:val="clear" w:color="auto" w:fill="FFFFFF"/>
        </w:rPr>
        <w:fldChar w:fldCharType="end"/>
      </w:r>
      <w:r w:rsidR="00BD131F" w:rsidRPr="00DA405F">
        <w:rPr>
          <w:rFonts w:ascii="Times New Roman" w:eastAsiaTheme="minorEastAsia" w:hAnsi="Times New Roman" w:cs="Times New Roman"/>
          <w:iCs/>
          <w:color w:val="242729"/>
          <w:sz w:val="24"/>
          <w:szCs w:val="24"/>
          <w:shd w:val="clear" w:color="auto" w:fill="FFFFFF"/>
        </w:rPr>
        <w:t xml:space="preserve">. Similarly, 6-OHDA lesions to dopaminergic projections to the nucleus accumbens in the ventral striatum have also been shown to extinguish the self-administration of amphetamines and cocaine in rats </w:t>
      </w:r>
      <w:r w:rsidR="00BD131F" w:rsidRPr="00DA405F">
        <w:rPr>
          <w:rFonts w:ascii="Times New Roman" w:eastAsiaTheme="minorEastAsia" w:hAnsi="Times New Roman" w:cs="Times New Roman"/>
          <w:iCs/>
          <w:color w:val="242729"/>
          <w:sz w:val="24"/>
          <w:szCs w:val="24"/>
          <w:shd w:val="clear" w:color="auto" w:fill="FFFFFF"/>
        </w:rPr>
        <w:fldChar w:fldCharType="begin" w:fldLock="1"/>
      </w:r>
      <w:r w:rsidR="00E005ED" w:rsidRPr="00DA405F">
        <w:rPr>
          <w:rFonts w:ascii="Times New Roman" w:eastAsiaTheme="minorEastAsia" w:hAnsi="Times New Roman" w:cs="Times New Roman"/>
          <w:iCs/>
          <w:color w:val="242729"/>
          <w:sz w:val="24"/>
          <w:szCs w:val="24"/>
          <w:shd w:val="clear" w:color="auto" w:fill="FFFFFF"/>
        </w:rPr>
        <w:instrText>ADDIN CSL_CITATION {"citationItems":[{"id":"ITEM-1","itemData":{"DOI":"10.1016/0091-3057(79)90040-6","ISBN":"1105530450","ISSN":"00913057","PMID":"531077","abstract":"Control rats initiate self-administration of d-amphetamine and achieve stable injection rates within 7-10 days. Rats in which dopamine nerve terminals in nucleus accumbens were destroyed by bilateral microinjections of 6-hydroxydopamine (6-OHDA) did not initiate self-administration of d-amphetamine when tested for as long as 19 days. In rats previously trained to self-administer d-amphetamine, 6-OHDA injections into nucleus accumbens abolished d-amphetamine self-administration. These results suggest that dopaminergic nerve terminals in nucleus accumbens are necessary for both the acquisition and maintenance of d-amphetamine self-administration. © 1979.","author":[{"dropping-particle":"","family":"Lyness","given":"W. H.","non-dropping-particle":"","parse-names":false,"suffix":""},{"dropping-particle":"","family":"Friedle","given":"N. M.","non-dropping-particle":"","parse-names":false,"suffix":""},{"dropping-particle":"","family":"Moore","given":"K. E.","non-dropping-particle":"","parse-names":false,"suffix":""}],"container-title":"Pharmacology, Biochemistry and Behavior","id":"ITEM-1","issue":"5","issued":{"date-parts":[["1979"]]},"page":"553-556","title":"Destruction of dopaminergic nerve terminals in nucleus accumbens: Effect on d-amphetamine self-administration","type":"article-journal","volume":"11"},"uris":["http://www.mendeley.com/documents/?uuid=e519e17a-5755-4b6c-a28d-8a4541b40624"]},{"id":"ITEM-2","itemData":{"DOI":"10.1016/0091-3057(80)90166-5","ISSN":"00913057","PMID":"7393973","abstract":"The effect of 6-OHDA injections into the nucleus accumbens was examined on cocaine self-administration behaviour. Rats were given access to cocaine (0.75 mg/kg/inj.) for three hours/day on a continuous reinforcement schedule. After daily intake of cocaine had stabilized, rats were injected with 6-OHDA (8 μg/2 μl). When tested the day following the 6-OHDA injection most rats failed to self-administer cocaine, however this disruption did not resemble extinction. After several days self-administration recovered in many animals to near preoperative levels, and the rate of this recovery correlated (r = +0.75) with the levels of dopamine remaining in the nucleus accumbens. The animals with the greatest depletion of dopamine did not recover cocaine intake. In a separate experiment, animals were pretreated with desmethylimipramine and/or pargyline to achieve a more extensive and selective lesion. When tested five days after the lesion all animals in these 6-OHDA groups showed a significant decline in cocaine intake compared to vehicle injected control animals. Several 6-OHDA treated animals displayed a pattern of behaviour resembling extinction, where a high rate of lever pressing was followed by cessation of responding. Some animals were aalso tested for apomorphine self-administration and this was found not to be affected by the 6-OHDA treatment. These data support the hypothesis that non-striatal dopamine may subserve cocaine reward. © 1980.","author":[{"dropping-particle":"","family":"Roberts","given":"D. C.S.","non-dropping-particle":"","parse-names":false,"suffix":""},{"dropping-particle":"","family":"Koob","given":"G. F.","non-dropping-particle":"","parse-names":false,"suffix":""},{"dropping-particle":"","family":"Klonoff","given":"P.","non-dropping-particle":"","parse-names":false,"suffix":""},{"dropping-particle":"","family":"Fibiger","given":"H. C.","non-dropping-particle":"","parse-names":false,"suffix":""}],"container-title":"Pharmacology, Biochemistry and Behavior","id":"ITEM-2","issue":"5","issued":{"date-parts":[["1980"]]},"page":"781-787","title":"Extinction and recovery of cocaine self-administration following 6-hydroxydopamine lesions of the nucleus accumbens","type":"article-journal","volume":"12"},"uris":["http://www.mendeley.com/documents/?uuid=b875d13b-a161-49e7-bb7f-3bd68d922e93"]}],"mendeley":{"formattedCitation":"(Lyness et al., 1979; Roberts et al., 1980)","plainTextFormattedCitation":"(Lyness et al., 1979; Roberts et al., 1980)","previouslyFormattedCitation":"(Lyness et al., 1979; Roberts et al., 1980)"},"properties":{"noteIndex":0},"schema":"https://github.com/citation-style-language/schema/raw/master/csl-citation.json"}</w:instrText>
      </w:r>
      <w:r w:rsidR="00BD131F" w:rsidRPr="00DA405F">
        <w:rPr>
          <w:rFonts w:ascii="Times New Roman" w:eastAsiaTheme="minorEastAsia" w:hAnsi="Times New Roman" w:cs="Times New Roman"/>
          <w:iCs/>
          <w:color w:val="242729"/>
          <w:sz w:val="24"/>
          <w:szCs w:val="24"/>
          <w:shd w:val="clear" w:color="auto" w:fill="FFFFFF"/>
        </w:rPr>
        <w:fldChar w:fldCharType="separate"/>
      </w:r>
      <w:r w:rsidR="00BD131F" w:rsidRPr="00DA405F">
        <w:rPr>
          <w:rFonts w:ascii="Times New Roman" w:eastAsiaTheme="minorEastAsia" w:hAnsi="Times New Roman" w:cs="Times New Roman"/>
          <w:iCs/>
          <w:noProof/>
          <w:color w:val="242729"/>
          <w:sz w:val="24"/>
          <w:szCs w:val="24"/>
          <w:shd w:val="clear" w:color="auto" w:fill="FFFFFF"/>
        </w:rPr>
        <w:t>(Lyness et al., 1979; Roberts et al., 1980)</w:t>
      </w:r>
      <w:r w:rsidR="00BD131F" w:rsidRPr="00DA405F">
        <w:rPr>
          <w:rFonts w:ascii="Times New Roman" w:eastAsiaTheme="minorEastAsia" w:hAnsi="Times New Roman" w:cs="Times New Roman"/>
          <w:iCs/>
          <w:color w:val="242729"/>
          <w:sz w:val="24"/>
          <w:szCs w:val="24"/>
          <w:shd w:val="clear" w:color="auto" w:fill="FFFFFF"/>
        </w:rPr>
        <w:fldChar w:fldCharType="end"/>
      </w:r>
      <w:r w:rsidR="00BD131F" w:rsidRPr="00DA405F">
        <w:rPr>
          <w:rFonts w:ascii="Times New Roman" w:eastAsiaTheme="minorEastAsia" w:hAnsi="Times New Roman" w:cs="Times New Roman"/>
          <w:iCs/>
          <w:color w:val="242729"/>
          <w:sz w:val="24"/>
          <w:szCs w:val="24"/>
          <w:shd w:val="clear" w:color="auto" w:fill="FFFFFF"/>
        </w:rPr>
        <w:t xml:space="preserve"> further implying dopamine’s role in the reinforcement of ‘rewarding’ behaviours.</w:t>
      </w:r>
      <w:r w:rsidR="00635646" w:rsidRPr="00DA405F">
        <w:rPr>
          <w:rFonts w:ascii="Times New Roman" w:eastAsiaTheme="minorEastAsia" w:hAnsi="Times New Roman" w:cs="Times New Roman"/>
          <w:iCs/>
          <w:color w:val="242729"/>
          <w:sz w:val="24"/>
          <w:szCs w:val="24"/>
          <w:shd w:val="clear" w:color="auto" w:fill="FFFFFF"/>
        </w:rPr>
        <w:t xml:space="preserve"> The incentive-sensitisation theory </w:t>
      </w:r>
      <w:r w:rsidR="00B423B2" w:rsidRPr="00DA405F">
        <w:rPr>
          <w:rFonts w:ascii="Times New Roman" w:eastAsiaTheme="minorEastAsia" w:hAnsi="Times New Roman" w:cs="Times New Roman"/>
          <w:iCs/>
          <w:color w:val="242729"/>
          <w:sz w:val="24"/>
          <w:szCs w:val="24"/>
          <w:shd w:val="clear" w:color="auto" w:fill="FFFFFF"/>
        </w:rPr>
        <w:t>builds</w:t>
      </w:r>
      <w:r w:rsidR="009916AA" w:rsidRPr="00DA405F">
        <w:rPr>
          <w:rFonts w:ascii="Times New Roman" w:eastAsiaTheme="minorEastAsia" w:hAnsi="Times New Roman" w:cs="Times New Roman"/>
          <w:iCs/>
          <w:color w:val="242729"/>
          <w:sz w:val="24"/>
          <w:szCs w:val="24"/>
          <w:shd w:val="clear" w:color="auto" w:fill="FFFFFF"/>
        </w:rPr>
        <w:t xml:space="preserve"> from these findings to posit that the mesolimbic dopamine pathway plays a central role in generating the craving for addictive drugs</w:t>
      </w:r>
      <w:r w:rsidR="00E005ED" w:rsidRPr="00DA405F">
        <w:rPr>
          <w:rFonts w:ascii="Times New Roman" w:eastAsiaTheme="minorEastAsia" w:hAnsi="Times New Roman" w:cs="Times New Roman"/>
          <w:iCs/>
          <w:color w:val="242729"/>
          <w:sz w:val="24"/>
          <w:szCs w:val="24"/>
          <w:shd w:val="clear" w:color="auto" w:fill="FFFFFF"/>
        </w:rPr>
        <w:t xml:space="preserve"> </w:t>
      </w:r>
      <w:r w:rsidR="00E005ED" w:rsidRPr="00DA405F">
        <w:rPr>
          <w:rFonts w:ascii="Times New Roman" w:eastAsiaTheme="minorEastAsia" w:hAnsi="Times New Roman" w:cs="Times New Roman"/>
          <w:iCs/>
          <w:color w:val="242729"/>
          <w:sz w:val="24"/>
          <w:szCs w:val="24"/>
          <w:shd w:val="clear" w:color="auto" w:fill="FFFFFF"/>
        </w:rPr>
        <w:fldChar w:fldCharType="begin" w:fldLock="1"/>
      </w:r>
      <w:r w:rsidR="009368A6" w:rsidRPr="00DA405F">
        <w:rPr>
          <w:rFonts w:ascii="Times New Roman" w:eastAsiaTheme="minorEastAsia" w:hAnsi="Times New Roman" w:cs="Times New Roman"/>
          <w:iCs/>
          <w:color w:val="242729"/>
          <w:sz w:val="24"/>
          <w:szCs w:val="24"/>
          <w:shd w:val="clear" w:color="auto" w:fill="FFFFFF"/>
        </w:rPr>
        <w:instrText>ADDIN CSL_CITATION {"citationItems":[{"id":"ITEM-1","itemData":{"DOI":"10.1016/0165-0173(93)90013-P","ISSN":"01650173","PMID":"8401595","abstract":"This paper presents a biopsychological theory of drug addiction, the 'Incentive-Sensitization Theory'. The theory addresses three fundamental questions. The first is: why do addicts crave drugs? That is, what is the psychological and neurobiological basis of drug craving? The second is: why does drug craving persist even after long periods of abstinence? The third is whether 'wanting' drugs (drug craving) is attributable to 'liking' drugs (to the subjective pleasurable effects of drugs)? The theory posits the following. 1. (1) Addictive drugs share the ability to enhance mesotelencephalic dopamine neurotransmission. 2. (2) One psychological function of this neural system is to attribute 'incentive salience' to the perception and mental representation of events associated with activation of the system. Incentive salience is a psychological process that transforms the perception of stimuli, imbuing them with salience, making them attractive, 'wanted', incentive stimuli. 3. (3) In some individuals the repeated use of addictive drugs produces incremental neuroadaptations in this neural system, rendering it increasingly and perhaps permanently, hypersensitive ('sensitized') to drugs and drug-associated stimuli. The sensitization of dopamine systems is gated by associative learning, which causes excessive incentive salience to be attributed to the act of drug taking and to stimuli associated with drug taking. It is specifically the sensitization of incentive salience, therefore, that transforms ordinary 'wanting' into excessive drug craving. 4. (4) It is further proposed that sensitization of the neural systems responsible for incentive salience (for 'wanting') can occur independently of changes in neural systems that mediate the subjective pleasurable effects of drugs (drug 'liking') and of neural systems that mediate withdrawal. Thus, sensitization of incentive salience can produce addictive behavior (compulsive drug seeking and drug taking) even if the expectation of drug pleasure or the aversive properties of withdrawal are diminished and even in the face of strong disincentives, including the loss of reputation, job, home and family. We review evidence for this view of addiction and discuss its implications for understanding the psychology and neurobiology of addiction. © 1993.","author":[{"dropping-particle":"","family":"Robinson","given":"Terry E.","non-dropping-particle":"","parse-names":false,"suffix":""},{"dropping-particle":"","family":"Berridge","given":"Kent C.","non-dropping-particle":"","parse-names":false,"suffix":""}],"container-title":"Brain Research Reviews","id":"ITEM-1","issue":"3","issued":{"date-parts":[["1993"]]},"page":"247-291","title":"The neural basis of drug craving: An incentive-sensitization theory of addiction","type":"article-journal","volume":"18"},"uris":["http://www.mendeley.com/documents/?uuid=f35be444-f537-4a06-b8c6-6fa68b08d5d3"]}],"mendeley":{"formattedCitation":"(Robinson &amp; Berridge, 1993)","plainTextFormattedCitation":"(Robinson &amp; Berridge, 1993)","previouslyFormattedCitation":"(Robinson &amp; Berridge, 1993)"},"properties":{"noteIndex":0},"schema":"https://github.com/citation-style-language/schema/raw/master/csl-citation.json"}</w:instrText>
      </w:r>
      <w:r w:rsidR="00E005ED" w:rsidRPr="00DA405F">
        <w:rPr>
          <w:rFonts w:ascii="Times New Roman" w:eastAsiaTheme="minorEastAsia" w:hAnsi="Times New Roman" w:cs="Times New Roman"/>
          <w:iCs/>
          <w:color w:val="242729"/>
          <w:sz w:val="24"/>
          <w:szCs w:val="24"/>
          <w:shd w:val="clear" w:color="auto" w:fill="FFFFFF"/>
        </w:rPr>
        <w:fldChar w:fldCharType="separate"/>
      </w:r>
      <w:r w:rsidR="00E005ED" w:rsidRPr="00DA405F">
        <w:rPr>
          <w:rFonts w:ascii="Times New Roman" w:eastAsiaTheme="minorEastAsia" w:hAnsi="Times New Roman" w:cs="Times New Roman"/>
          <w:iCs/>
          <w:noProof/>
          <w:color w:val="242729"/>
          <w:sz w:val="24"/>
          <w:szCs w:val="24"/>
          <w:shd w:val="clear" w:color="auto" w:fill="FFFFFF"/>
        </w:rPr>
        <w:t>(Robinson &amp; Berridge, 1993)</w:t>
      </w:r>
      <w:r w:rsidR="00E005ED" w:rsidRPr="00DA405F">
        <w:rPr>
          <w:rFonts w:ascii="Times New Roman" w:eastAsiaTheme="minorEastAsia" w:hAnsi="Times New Roman" w:cs="Times New Roman"/>
          <w:iCs/>
          <w:color w:val="242729"/>
          <w:sz w:val="24"/>
          <w:szCs w:val="24"/>
          <w:shd w:val="clear" w:color="auto" w:fill="FFFFFF"/>
        </w:rPr>
        <w:fldChar w:fldCharType="end"/>
      </w:r>
      <w:r w:rsidR="00E005ED" w:rsidRPr="00DA405F">
        <w:rPr>
          <w:rFonts w:ascii="Times New Roman" w:eastAsiaTheme="minorEastAsia" w:hAnsi="Times New Roman" w:cs="Times New Roman"/>
          <w:iCs/>
          <w:color w:val="242729"/>
          <w:sz w:val="24"/>
          <w:szCs w:val="24"/>
          <w:shd w:val="clear" w:color="auto" w:fill="FFFFFF"/>
        </w:rPr>
        <w:t xml:space="preserve">; maladaptive or not, the dopaminergic pathways robustly </w:t>
      </w:r>
      <w:r w:rsidR="00CF6AF8" w:rsidRPr="00DA405F">
        <w:rPr>
          <w:rFonts w:ascii="Times New Roman" w:eastAsiaTheme="minorEastAsia" w:hAnsi="Times New Roman" w:cs="Times New Roman"/>
          <w:iCs/>
          <w:color w:val="242729"/>
          <w:sz w:val="24"/>
          <w:szCs w:val="24"/>
          <w:shd w:val="clear" w:color="auto" w:fill="FFFFFF"/>
        </w:rPr>
        <w:t>generate motivations which lead to choices</w:t>
      </w:r>
      <w:r w:rsidR="00E005ED" w:rsidRPr="00DA405F">
        <w:rPr>
          <w:rFonts w:ascii="Times New Roman" w:eastAsiaTheme="minorEastAsia" w:hAnsi="Times New Roman" w:cs="Times New Roman"/>
          <w:iCs/>
          <w:color w:val="242729"/>
          <w:sz w:val="24"/>
          <w:szCs w:val="24"/>
          <w:shd w:val="clear" w:color="auto" w:fill="FFFFFF"/>
        </w:rPr>
        <w:t xml:space="preserve">, and thus have an important role in any measurement of inferred utility. </w:t>
      </w:r>
    </w:p>
    <w:p w14:paraId="4C1C0392" w14:textId="328033BD" w:rsidR="00BC182D" w:rsidRPr="00DA405F" w:rsidRDefault="00CF6AF8"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Physiologically, disorders of dopamine in humans have a marked effect on a patient’s </w:t>
      </w:r>
      <w:r w:rsidR="00A201B6" w:rsidRPr="00DA405F">
        <w:rPr>
          <w:rFonts w:ascii="Times New Roman" w:eastAsiaTheme="minorEastAsia" w:hAnsi="Times New Roman" w:cs="Times New Roman"/>
          <w:iCs/>
          <w:color w:val="242729"/>
          <w:sz w:val="24"/>
          <w:szCs w:val="24"/>
          <w:shd w:val="clear" w:color="auto" w:fill="FFFFFF"/>
        </w:rPr>
        <w:t xml:space="preserve">motivations. Parkinson’s </w:t>
      </w:r>
      <w:r w:rsidR="00050BD7" w:rsidRPr="00DA405F">
        <w:rPr>
          <w:rFonts w:ascii="Times New Roman" w:eastAsiaTheme="minorEastAsia" w:hAnsi="Times New Roman" w:cs="Times New Roman"/>
          <w:iCs/>
          <w:color w:val="242729"/>
          <w:sz w:val="24"/>
          <w:szCs w:val="24"/>
          <w:shd w:val="clear" w:color="auto" w:fill="FFFFFF"/>
        </w:rPr>
        <w:t>disease, which involves the destruction of dopaminergic neurons in the substantia nigra, is well known to induce apathy (a motivational deficit)</w:t>
      </w:r>
      <w:r w:rsidR="009368A6" w:rsidRPr="00DA405F">
        <w:rPr>
          <w:rFonts w:ascii="Times New Roman" w:eastAsiaTheme="minorEastAsia" w:hAnsi="Times New Roman" w:cs="Times New Roman"/>
          <w:iCs/>
          <w:color w:val="242729"/>
          <w:sz w:val="24"/>
          <w:szCs w:val="24"/>
          <w:shd w:val="clear" w:color="auto" w:fill="FFFFFF"/>
        </w:rPr>
        <w:t xml:space="preserve"> in sufferers </w:t>
      </w:r>
      <w:r w:rsidR="009368A6" w:rsidRPr="00DA405F">
        <w:rPr>
          <w:rFonts w:ascii="Times New Roman" w:eastAsiaTheme="minorEastAsia" w:hAnsi="Times New Roman" w:cs="Times New Roman"/>
          <w:iCs/>
          <w:color w:val="242729"/>
          <w:sz w:val="24"/>
          <w:szCs w:val="24"/>
          <w:shd w:val="clear" w:color="auto" w:fill="FFFFFF"/>
        </w:rPr>
        <w:fldChar w:fldCharType="begin" w:fldLock="1"/>
      </w:r>
      <w:r w:rsidR="009368A6"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{"citationItems":[{"id":"ITEM-1","itemData":{"DOI":"10.1002/mds.26208","ISSN":"15318257","PMID":"25787145","abstract":"Apathy is a frequently reported neuropsychiatric symptom in Parkinson's disease (PD), but its prevalence and clinical correlates are debated. We aimed to address these issues by conducting a systematic review and meta-analysis. Embase, Medline/PubMed, and PsychINFO databases were searched for relevant studies. Data were extracted by two independent observers, using predefined extraction forms tailored specifically to the research question. From 1,702 titles and abstracts, 23 studies were selected. Meta-analysis showed a prevalence of apathy in PD of 39.8% (n=5,388, 905% CI 34.6-45.0%). Apathy was associated with higher age (3.3 years, 95% CI=1.7-4.9), lower mean Mini-Mental State Evaluation (MMSE) score (-1.4 points, 95% CI=-2.1 to -0.8), an increased risk of co-morbid depression (relative risk [RR]=2.3, 95% CI=1.9-2.8), higher Unified Parkinson's Disease Rating Scale (UPDRS) motor score (6.5 points, 95% CI=2.6-10.3), and more severe disability (Hedges-G=0.5, 95% CI=0.3-0.6). Half of the patients with apathy had concomitant depression (57.2%, 95% CI=49.4-64.9%), and this estimate was similar after exclusion of patients with cognitive impairment (52.5%, 95% CI=42.2%-62.8%). In conclusion, we found that apathy affects almost 40% of patients with PD. Several factors influence reported prevalence rates, contributing to the considerable heterogeneity in study results. Half of patients with apathy do not suffer from concomitant depression or cognitive impairment, confirming its status as a separate clinical syndrome in PD. The pervasiveness of apathy in PD warrants research into its treatment, although different underlying pathophysiological mechanisms may require different treatment strategies. Treatment of apathy could improve patient quality of life, reduce caregiver burden, alleviate disability by increasing motivation for self-care, and reduce cognitive impairment by improving executive functioning.","author":[{"dropping-particle":"","family":"Brok","given":"Melina G.H.E.","non-dropping-particle":"den","parse-names":false,"suffix":""},{"dropping-particle":"","family":"Dalen","given":"Jan Willem","non-dropping-particle":"van","parse-names":false,"suffix":""},{"dropping-particle":"","family":"Gool","given":"Willem A.","non-dropping-particle":"van","parse-names":false,"suffix":""},{"dropping-particle":"","family":"Moll van Charante","given":"Eric P.","non-dropping-particle":"","parse-names":false,"suffix":""},{"dropping-particle":"","family":"Bie","given":"Rob M.A.","non-dropping-particle":"de","parse-names":false,"suffix":""},{"dropping-particle":"","family":"Richard","given":"Edo","non-dropping-particle":"","parse-names":false,"suffix":""}],"container-title":"Movement Disorders","id":"ITEM-1","issue":"6","issued":{"date-parts":[["2015"]]},"page":"759-769","title":"Apathy in Parkinson's disease: A systematic review and meta-analysis","type":"article-journal","volume":"30"},"uris":["http://www.mendeley.com/documents/?uuid=9e5aad49-0243-4bd0-bdaf-5d6b6255f4a6"]}],"mendeley":{"formattedCitation":"(den Brok et al., 2015)","plainTextFormattedCitation":"(den Brok et al., 2015)","previouslyFormattedCitation":"(den Brok et al., 2015)"},"properties":{"noteIndex":0},"schema":"https://github.com/citation-style-language/schema/raw/master/csl-citation.json"}</w:instrText>
      </w:r>
      <w:r w:rsidR="009368A6" w:rsidRPr="00DA405F">
        <w:rPr>
          <w:rFonts w:ascii="Times New Roman" w:eastAsiaTheme="minorEastAsia" w:hAnsi="Times New Roman" w:cs="Times New Roman"/>
          <w:iCs/>
          <w:color w:val="242729"/>
          <w:sz w:val="24"/>
          <w:szCs w:val="24"/>
          <w:shd w:val="clear" w:color="auto" w:fill="FFFFFF"/>
        </w:rPr>
        <w:fldChar w:fldCharType="separate"/>
      </w:r>
      <w:r w:rsidR="009368A6" w:rsidRPr="00DA405F">
        <w:rPr>
          <w:rFonts w:ascii="Times New Roman" w:eastAsiaTheme="minorEastAsia" w:hAnsi="Times New Roman" w:cs="Times New Roman"/>
          <w:iCs/>
          <w:noProof/>
          <w:color w:val="242729"/>
          <w:sz w:val="24"/>
          <w:szCs w:val="24"/>
          <w:shd w:val="clear" w:color="auto" w:fill="FFFFFF"/>
        </w:rPr>
        <w:t>(den Brok et al., 2015)</w:t>
      </w:r>
      <w:r w:rsidR="009368A6" w:rsidRPr="00DA405F">
        <w:rPr>
          <w:rFonts w:ascii="Times New Roman" w:eastAsiaTheme="minorEastAsia" w:hAnsi="Times New Roman" w:cs="Times New Roman"/>
          <w:iCs/>
          <w:color w:val="242729"/>
          <w:sz w:val="24"/>
          <w:szCs w:val="24"/>
          <w:shd w:val="clear" w:color="auto" w:fill="FFFFFF"/>
        </w:rPr>
        <w:fldChar w:fldCharType="end"/>
      </w:r>
      <w:r w:rsidR="009368A6" w:rsidRPr="00DA405F">
        <w:rPr>
          <w:rFonts w:ascii="Times New Roman" w:eastAsiaTheme="minorEastAsia" w:hAnsi="Times New Roman" w:cs="Times New Roman"/>
          <w:iCs/>
          <w:color w:val="242729"/>
          <w:sz w:val="24"/>
          <w:szCs w:val="24"/>
          <w:shd w:val="clear" w:color="auto" w:fill="FFFFFF"/>
        </w:rPr>
        <w:t xml:space="preserve">, which can be lifted in many patients by the application of the dopamine precursor L-Dopa </w:t>
      </w:r>
      <w:r w:rsidR="009368A6" w:rsidRPr="00DA405F">
        <w:rPr>
          <w:rFonts w:ascii="Times New Roman" w:eastAsiaTheme="minorEastAsia" w:hAnsi="Times New Roman" w:cs="Times New Roman"/>
          <w:iCs/>
          <w:color w:val="242729"/>
          <w:sz w:val="24"/>
          <w:szCs w:val="24"/>
          <w:shd w:val="clear" w:color="auto" w:fill="FFFFFF"/>
        </w:rPr>
        <w:fldChar w:fldCharType="begin" w:fldLock="1"/>
      </w:r>
      <w:r w:rsidR="00BC182D" w:rsidRPr="00DA405F">
        <w:rPr>
          <w:rFonts w:ascii="Times New Roman" w:eastAsiaTheme="minorEastAsia" w:hAnsi="Times New Roman" w:cs="Times New Roman"/>
          <w:iCs/>
          <w:color w:val="242729"/>
          <w:sz w:val="24"/>
          <w:szCs w:val="24"/>
          <w:shd w:val="clear" w:color="auto" w:fill="FFFFFF"/>
        </w:rPr>
        <w:instrText>ADDIN CSL_CITATION {"citationItems":[{"id":"ITEM-1","itemData":{"DOI":"10.1016/S0028-3932(02)00108-2","ISSN":"00283932","PMID":"12417456","abstract":"\"Orbitofrontal\" and \"cingulate\" striatofrontal loops and the mesolimbic dopaminergic system that modulates their function have been implicated in motivation and sensitivity to reinforcement in animals. Parkinson's disease (PD) provides a model to assess their implications in humans. The aims of the study were to investigate motivation and sensitivity to reinforcement in non-demented and -depressed PD patients and to evaluate the influence of dopaminergic therapy by comparing patients in \"on\" (with L-Dopa) and \"off\" (without L-Dopa) states. Twenty-three PD patients were compared, in both the \"on\" and \"off\" states, to 28 controls, using: (1) an Apathy Scale; (2) Stimulus-Reward Learning, Reversal, and Extinction tasks; and (3) a Gambling task. PD patients were found: (1) mildly apathetic; (2) impaired on Stimulus-Reward Learning and Reversal, but not on Extinction; and (3) able to progress in the Gambling task during the first, but not the second assessment. There was no significant correlation between these various deficits. L-Dopa treatment clearly improved motivation, but had more limited and contrasting effects on other variables, decreasing the number of omission errors in Reversal, but increasing the number of perseveration errors in Extinction. These results suggest: (1) an implication of striatofrontal loops in human motivation and explicit and implicit sensitivity to reinforcement; (2) a positive influence of L-Dopa treatment on the subjective evaluation of motivation, but contrasting effects on reward sensitivity. © 2002 Elsevier Science Ltd. All rights reserved.","author":[{"dropping-particle":"","family":"Czernecki","given":"V.","non-dropping-particle":"","parse-names":false,"suffix":""},{"dropping-particle":"","family":"Pillon","given":"B.","non-dropping-particle":"","parse-names":false,"suffix":""},{"dropping-particle":"","family":"Houeto","given":"J. L.","non-dropping-particle":"","parse-names":false,"suffix":""},{"dropping-particle":"","family":"Pochon","given":"J. B.","non-dropping-particle":"","parse-names":false,"suffix":""},{"dropping-particle":"","family":"Levy","given":"R.","non-dropping-particle":"","parse-names":false,"suffix":""},{"dropping-particle":"","family":"Dubois","given":"B.","non-dropping-particle":"","parse-names":false,"suffix":""}],"container-title":"Neuropsychologia","id":"ITEM-1","issue":"13","issued":{"date-parts":[["2002"]]},"page":"2257-2267","title":"Motivation, reward, and Parkinson's disease: Influence of dopatherapy","type":"article-journal","volume":"40"},"uris":["http://www.mendeley.com/documents/?uuid=d3cd72c2-a815-4f68-9c74-5e989b0a1e19"]}],"mendeley":{"formattedCitation":"(Czernecki et al., 2002)","plainTextFormattedCitation":"(Czernecki et al., 2002)","previouslyFormattedCitation":"(Czernecki et al., 2002)"},"properties":{"noteIndex":0},"schema":"https://github.com/citation-style-language/schema/raw/master/csl-citation.json"}</w:instrText>
      </w:r>
      <w:r w:rsidR="009368A6" w:rsidRPr="00DA405F">
        <w:rPr>
          <w:rFonts w:ascii="Times New Roman" w:eastAsiaTheme="minorEastAsia" w:hAnsi="Times New Roman" w:cs="Times New Roman"/>
          <w:iCs/>
          <w:color w:val="242729"/>
          <w:sz w:val="24"/>
          <w:szCs w:val="24"/>
          <w:shd w:val="clear" w:color="auto" w:fill="FFFFFF"/>
        </w:rPr>
        <w:fldChar w:fldCharType="separate"/>
      </w:r>
      <w:r w:rsidR="009368A6" w:rsidRPr="00DA405F">
        <w:rPr>
          <w:rFonts w:ascii="Times New Roman" w:eastAsiaTheme="minorEastAsia" w:hAnsi="Times New Roman" w:cs="Times New Roman"/>
          <w:iCs/>
          <w:noProof/>
          <w:color w:val="242729"/>
          <w:sz w:val="24"/>
          <w:szCs w:val="24"/>
          <w:shd w:val="clear" w:color="auto" w:fill="FFFFFF"/>
        </w:rPr>
        <w:t>(Czernecki et al., 2002)</w:t>
      </w:r>
      <w:r w:rsidR="009368A6" w:rsidRPr="00DA405F">
        <w:rPr>
          <w:rFonts w:ascii="Times New Roman" w:eastAsiaTheme="minorEastAsia" w:hAnsi="Times New Roman" w:cs="Times New Roman"/>
          <w:iCs/>
          <w:color w:val="242729"/>
          <w:sz w:val="24"/>
          <w:szCs w:val="24"/>
          <w:shd w:val="clear" w:color="auto" w:fill="FFFFFF"/>
        </w:rPr>
        <w:fldChar w:fldCharType="end"/>
      </w:r>
      <w:r w:rsidR="009368A6" w:rsidRPr="00DA405F">
        <w:rPr>
          <w:rFonts w:ascii="Times New Roman" w:eastAsiaTheme="minorEastAsia" w:hAnsi="Times New Roman" w:cs="Times New Roman"/>
          <w:iCs/>
          <w:color w:val="242729"/>
          <w:sz w:val="24"/>
          <w:szCs w:val="24"/>
          <w:shd w:val="clear" w:color="auto" w:fill="FFFFFF"/>
        </w:rPr>
        <w:t xml:space="preserve">. </w:t>
      </w:r>
      <w:r w:rsidR="00BC182D" w:rsidRPr="00DA405F">
        <w:rPr>
          <w:rFonts w:ascii="Times New Roman" w:eastAsiaTheme="minorEastAsia" w:hAnsi="Times New Roman" w:cs="Times New Roman"/>
          <w:iCs/>
          <w:color w:val="242729"/>
          <w:sz w:val="24"/>
          <w:szCs w:val="24"/>
          <w:shd w:val="clear" w:color="auto" w:fill="FFFFFF"/>
        </w:rPr>
        <w:t xml:space="preserve">In many patients, attempts to address the reduction in dopaminergic activity can lead to the opposite outcome of compulsive behaviour such as excessive gambling </w:t>
      </w:r>
      <w:r w:rsidR="00BC182D" w:rsidRPr="00DA405F">
        <w:rPr>
          <w:rFonts w:ascii="Times New Roman" w:eastAsiaTheme="minorEastAsia" w:hAnsi="Times New Roman" w:cs="Times New Roman"/>
          <w:iCs/>
          <w:color w:val="242729"/>
          <w:sz w:val="24"/>
          <w:szCs w:val="24"/>
          <w:shd w:val="clear" w:color="auto" w:fill="FFFFFF"/>
        </w:rPr>
        <w:fldChar w:fldCharType="begin" w:fldLock="1"/>
      </w:r>
      <w:r w:rsidR="00BC182D"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{"citationItems":[{"id":"ITEM-1","itemData":{"DOI":"10.1002/mds.21110","ISSN":"08853185","PMID":"17013907","abstract":"Excessive gambling is recognized with dopamine agonist therapy, but the prevalence is unknown. We assessed the prevalence of excess gambling by specific prospective enquiry in Parkinson's disease patients attending six West Scotland movement disorder clinics. Of 388 patients taking anti-Parkinson medication, 17 (4.4%), developed pathological gambling, all of whom were prescribed dopamine agonists. Thus, 8% of patients taking dopamine agonists had pathological gambling. Pathological gambling is not uncommon, and patients should be made aware of this potential adverse effect. © 2006 Movement Disorder Society.","author":[{"dropping-particle":"","family":"Grosset","given":"Katherine A.","non-dropping-particle":"","parse-names":false,"suffix":""},{"dropping-particle":"","family":"Macphee","given":"Graeme","non-dropping-particle":"","parse-names":false,"suffix":""},{"dropping-particle":"","family":"Pal","given":"Guru","non-dropping-particle":"","parse-names":false,"suffix":""},{"dropping-particle":"","family":"Stewart","given":"David","non-dropping-particle":"","parse-names":false,"suffix":""},{"dropping-particle":"","family":"Watt","given":"Andrew","non-dropping-particle":"","parse-names":false,"suffix":""},{"dropping-particle":"","family":"Davie","given":"Jim","non-dropping-particle":"","parse-names":false,"suffix":""},{"dropping-particle":"","family":"Grosset","given":"D. G.","non-dropping-particle":"","parse-names":false,"suffix":""}],"container-title":"Movement Disorders","id":"ITEM-1","issue":"12","issued":{"date-parts":[["2006"]]},"page":"2206-2208","title":"Problematic gambling on dopamine agonists: Not such a rarity","type":"article-journal","volume":"21"},"uris":["http://www.mendeley.com/documents/?uuid=3025bbad-df1c-4b71-ae8e-e65e937c0191"]}],"mendeley":{"formattedCitation":"(Grosset et al., 2006)","plainTextFormattedCitation":"(Grosset et al., 2006)","previouslyFormattedCitation":"(Grosset et al., 2006)"},"properties":{"noteIndex":0},"schema":"https://github.com/citation-style-language/schema/raw/master/csl-citation.json"}</w:instrText>
      </w:r>
      <w:r w:rsidR="00BC182D" w:rsidRPr="00DA405F">
        <w:rPr>
          <w:rFonts w:ascii="Times New Roman" w:eastAsiaTheme="minorEastAsia" w:hAnsi="Times New Roman" w:cs="Times New Roman"/>
          <w:iCs/>
          <w:color w:val="242729"/>
          <w:sz w:val="24"/>
          <w:szCs w:val="24"/>
          <w:shd w:val="clear" w:color="auto" w:fill="FFFFFF"/>
        </w:rPr>
        <w:fldChar w:fldCharType="separate"/>
      </w:r>
      <w:r w:rsidR="00BC182D" w:rsidRPr="00DA405F">
        <w:rPr>
          <w:rFonts w:ascii="Times New Roman" w:eastAsiaTheme="minorEastAsia" w:hAnsi="Times New Roman" w:cs="Times New Roman"/>
          <w:iCs/>
          <w:noProof/>
          <w:color w:val="242729"/>
          <w:sz w:val="24"/>
          <w:szCs w:val="24"/>
          <w:shd w:val="clear" w:color="auto" w:fill="FFFFFF"/>
        </w:rPr>
        <w:t>(Grosset et al., 2006)</w:t>
      </w:r>
      <w:r w:rsidR="00BC182D" w:rsidRPr="00DA405F">
        <w:rPr>
          <w:rFonts w:ascii="Times New Roman" w:eastAsiaTheme="minorEastAsia" w:hAnsi="Times New Roman" w:cs="Times New Roman"/>
          <w:iCs/>
          <w:color w:val="242729"/>
          <w:sz w:val="24"/>
          <w:szCs w:val="24"/>
          <w:shd w:val="clear" w:color="auto" w:fill="FFFFFF"/>
        </w:rPr>
        <w:fldChar w:fldCharType="end"/>
      </w:r>
      <w:r w:rsidR="00BC182D" w:rsidRPr="00DA405F">
        <w:rPr>
          <w:rFonts w:ascii="Times New Roman" w:eastAsiaTheme="minorEastAsia" w:hAnsi="Times New Roman" w:cs="Times New Roman"/>
          <w:iCs/>
          <w:color w:val="242729"/>
          <w:sz w:val="24"/>
          <w:szCs w:val="24"/>
          <w:shd w:val="clear" w:color="auto" w:fill="FFFFFF"/>
        </w:rPr>
        <w:t xml:space="preserve"> and hypersexuality </w:t>
      </w:r>
      <w:r w:rsidR="00BC182D" w:rsidRPr="00DA405F">
        <w:rPr>
          <w:rFonts w:ascii="Times New Roman" w:eastAsiaTheme="minorEastAsia" w:hAnsi="Times New Roman" w:cs="Times New Roman"/>
          <w:iCs/>
          <w:color w:val="242729"/>
          <w:sz w:val="24"/>
          <w:szCs w:val="24"/>
          <w:shd w:val="clear" w:color="auto" w:fill="FFFFFF"/>
        </w:rPr>
        <w:fldChar w:fldCharType="begin" w:fldLock="1"/>
      </w:r>
      <w:r w:rsidR="00A3753B"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{"citationItems":[{"id":"ITEM-1","itemData":{"DOI":"10.1002/mds.10250","ISSN":"08853185","PMID":"12465083","author":[{"dropping-particle":"","family":"Romito","given":"L. M.","non-dropping-particle":"","parse-names":false,"suffix":""},{"dropping-particle":"","family":"Raja","given":"M.","non-dropping-particle":"","parse-names":false,"suffix":""},{"dropping-particle":"","family":"Daniele","given":"A.","non-dropping-particle":"","parse-names":false,"suffix":""},{"dropping-particle":"","family":"Fiorella Contarino","given":"M.","non-dropping-particle":"","parse-names":false,"suffix":""},{"dropping-particle":"","family":"Bentivoglio","given":"A. R.","non-dropping-particle":"","parse-names":false,"suffix":""},{"dropping-particle":"","family":"Barbier","given":"A.","non-dropping-particle":"","parse-names":false,"suffix":""},{"dropping-particle":"","family":"Scerrati","given":"M.","non-dropping-particle":"","parse-names":false,"suffix":""},{"dropping-particle":"","family":"Albanese","given":"A.","non-dropping-particle":"","parse-names":false,"suffix":""}],"container-title":"Movement Disorders","id":"ITEM-1","issue":"6","issued":{"date-parts":[["2002"]]},"title":"Transient mania with hypersexuality after surgery for high frequency stimulation of the subthalamic nucleus in Parkinson's disease","type":"article-journal","volume":"17"},"uris":["http://www.mendeley.com/documents/?uuid=9dec650e-111f-47ef-96bb-74c856b47426"]}],"mendeley":{"formattedCitation":"(Romito et al., 2002)","plainTextFormattedCitation":"(Romito et al., 2002)","previouslyFormattedCitation":"(Romito et al., 2002)"},"properties":{"noteIndex":0},"schema":"https://github.com/citation-style-language/schema/raw/master/csl-citation.json"}</w:instrText>
      </w:r>
      <w:r w:rsidR="00BC182D" w:rsidRPr="00DA405F">
        <w:rPr>
          <w:rFonts w:ascii="Times New Roman" w:eastAsiaTheme="minorEastAsia" w:hAnsi="Times New Roman" w:cs="Times New Roman"/>
          <w:iCs/>
          <w:color w:val="242729"/>
          <w:sz w:val="24"/>
          <w:szCs w:val="24"/>
          <w:shd w:val="clear" w:color="auto" w:fill="FFFFFF"/>
        </w:rPr>
        <w:fldChar w:fldCharType="separate"/>
      </w:r>
      <w:r w:rsidR="00BC182D" w:rsidRPr="00DA405F">
        <w:rPr>
          <w:rFonts w:ascii="Times New Roman" w:eastAsiaTheme="minorEastAsia" w:hAnsi="Times New Roman" w:cs="Times New Roman"/>
          <w:iCs/>
          <w:noProof/>
          <w:color w:val="242729"/>
          <w:sz w:val="24"/>
          <w:szCs w:val="24"/>
          <w:shd w:val="clear" w:color="auto" w:fill="FFFFFF"/>
        </w:rPr>
        <w:t>(Romito et al., 2002)</w:t>
      </w:r>
      <w:r w:rsidR="00BC182D" w:rsidRPr="00DA405F">
        <w:rPr>
          <w:rFonts w:ascii="Times New Roman" w:eastAsiaTheme="minorEastAsia" w:hAnsi="Times New Roman" w:cs="Times New Roman"/>
          <w:iCs/>
          <w:color w:val="242729"/>
          <w:sz w:val="24"/>
          <w:szCs w:val="24"/>
          <w:shd w:val="clear" w:color="auto" w:fill="FFFFFF"/>
        </w:rPr>
        <w:fldChar w:fldCharType="end"/>
      </w:r>
      <w:r w:rsidR="00BC182D" w:rsidRPr="00DA405F">
        <w:rPr>
          <w:rFonts w:ascii="Times New Roman" w:eastAsiaTheme="minorEastAsia" w:hAnsi="Times New Roman" w:cs="Times New Roman"/>
          <w:iCs/>
          <w:color w:val="242729"/>
          <w:sz w:val="24"/>
          <w:szCs w:val="24"/>
          <w:shd w:val="clear" w:color="auto" w:fill="FFFFFF"/>
        </w:rPr>
        <w:t xml:space="preserve">. </w:t>
      </w:r>
      <w:r w:rsidR="00FE0D9F" w:rsidRPr="00DA405F">
        <w:rPr>
          <w:rFonts w:ascii="Times New Roman" w:eastAsiaTheme="minorEastAsia" w:hAnsi="Times New Roman" w:cs="Times New Roman"/>
          <w:iCs/>
          <w:color w:val="242729"/>
          <w:sz w:val="24"/>
          <w:szCs w:val="24"/>
          <w:shd w:val="clear" w:color="auto" w:fill="FFFFFF"/>
        </w:rPr>
        <w:t xml:space="preserve">Dopaminergic dysfunction is also implicated in </w:t>
      </w:r>
      <w:r w:rsidR="00FE0D9F" w:rsidRPr="00DA405F">
        <w:rPr>
          <w:rFonts w:ascii="Times New Roman" w:eastAsiaTheme="minorEastAsia" w:hAnsi="Times New Roman" w:cs="Times New Roman"/>
          <w:iCs/>
          <w:color w:val="242729"/>
          <w:sz w:val="24"/>
          <w:szCs w:val="24"/>
          <w:shd w:val="clear" w:color="auto" w:fill="FFFFFF"/>
        </w:rPr>
        <w:lastRenderedPageBreak/>
        <w:t>schizophrenia</w:t>
      </w:r>
      <w:r w:rsidR="00A3753B" w:rsidRPr="00DA405F">
        <w:rPr>
          <w:rFonts w:ascii="Times New Roman" w:eastAsiaTheme="minorEastAsia" w:hAnsi="Times New Roman" w:cs="Times New Roman"/>
          <w:iCs/>
          <w:color w:val="242729"/>
          <w:sz w:val="24"/>
          <w:szCs w:val="24"/>
          <w:shd w:val="clear" w:color="auto" w:fill="FFFFFF"/>
        </w:rPr>
        <w:t xml:space="preserve">, a condition in which sufferers also regularly suffer from apathy. In such patients, ventral striatal responses to reward cues are dampened </w:t>
      </w:r>
      <w:r w:rsidR="00A3753B" w:rsidRPr="00DA405F">
        <w:rPr>
          <w:rFonts w:ascii="Times New Roman" w:eastAsiaTheme="minorEastAsia" w:hAnsi="Times New Roman" w:cs="Times New Roman"/>
          <w:iCs/>
          <w:color w:val="242729"/>
          <w:sz w:val="24"/>
          <w:szCs w:val="24"/>
          <w:shd w:val="clear" w:color="auto" w:fill="FFFFFF"/>
        </w:rPr>
        <w:fldChar w:fldCharType="begin" w:fldLock="1"/>
      </w:r>
      <w:r w:rsidR="00AD101F" w:rsidRPr="00DA405F">
        <w:rPr>
          <w:rFonts w:ascii="Times New Roman" w:eastAsiaTheme="minorEastAsia" w:hAnsi="Times New Roman" w:cs="Times New Roman"/>
          <w:iCs/>
          <w:color w:val="242729"/>
          <w:sz w:val="24"/>
          <w:szCs w:val="24"/>
          <w:shd w:val="clear" w:color="auto" w:fill="FFFFFF"/>
        </w:rPr>
        <w:instrText>ADDIN CSL_CITATION {"citationItems":[{"id":"ITEM-1","itemData":{"DOI":"10.1016/j.neuroimage.2005.07.051","ISSN":"10538119","PMID":"16139525","abstract":"Background: Negative symptoms may be associated with dysfunction of the brain reward system in schizophrenia. We used functional magnetic resonance imaging (fMRI) to assess the BOLD response in the ventral striatum of unmedicated schizophrenics during presentation of reward-indicating and loss-indicating stimuli. Methods: A total of 10 schizophrenic men (7 never medicated, 3 unmedicated for at least 2 years) and 10 age-matched healthy male volunteers participated in an incentive monetary delay task, in which visual cues predicted that a rapid response to a subsequent target stimulus would result either in monetary gain or loss or would have no consequence. Results: Compared to healthy controls, unmedicated schizophrenics showed reduced ventral striatal activation during the presentation of reward-indicating cues. Decreased activation of the left ventral striatum was inversely correlated with the severity of negative (and trendwise positive) symptoms. Discussion: Reduced activation in one of the central areas of the brain reward system, the ventral striatum, was correlated with the severity of negative symptoms in medication-free schizophrenics. In unmedicated schizophrenic patients, a high striatal dopamine turnover may increase the \"noise\" in the reward system, thus interfering with the neuronal processing of reward-predicting cues by phasic dopamine release. This, in turn, may contribute to negative symptoms as such as anhedonia, apathy, and loss of drive and motivation. © 2005 Elsevier Inc. All rights reserved.","author":[{"dropping-particle":"","family":"Juckel","given":"Georg","non-dropping-particle":"","parse-names":false,"suffix":""},{"dropping-particle":"","family":"Schlagenhauf","given":"Florian","non-dropping-particle":"","parse-names":false,"suffix":""},{"dropping-particle":"","family":"Koslowski","given":"Michael","non-dropping-particle":"","parse-names":false,"suffix":""},{"dropping-particle":"","family":"Wüstenberg","given":"Torsten","non-dropping-particle":"","parse-names":false,"suffix":""},{"dropping-particle":"","family":"Villringer","given":"Arno","non-dropping-particle":"","parse-names":false,"suffix":""},{"dropping-particle":"","family":"Knutson","given":"Brian","non-dropping-particle":"","parse-names":false,"suffix":""},{"dropping-particle":"","family":"Wrase","given":"Jana","non-dropping-particle":"","parse-names":false,"suffix":""},{"dropping-particle":"","family":"Heinz","given":"Andreas","non-dropping-particle":"","parse-names":false,"suffix":""}],"container-title":"NeuroImage","id":"ITEM-1","issue":"2","issued":{"date-parts":[["2006"]]},"page":"409-416","title":"Dysfunction of ventral striatal reward prediction in schizophrenia","type":"article-journal","volume":"29"},"uris":["http://www.mendeley.com/documents/?uuid=865e6a45-5585-49d5-824a-ffcd860b2c56"]}],"mendeley":{"formattedCitation":"(Juckel et al., 2006)","plainTextFormattedCitation":"(Juckel et al., 2006)","previouslyFormattedCitation":"(Juckel et al., 2006)"},"properties":{"noteIndex":0},"schema":"https://github.com/citation-style-language/schema/raw/master/csl-citation.json"}</w:instrText>
      </w:r>
      <w:r w:rsidR="00A3753B" w:rsidRPr="00DA405F">
        <w:rPr>
          <w:rFonts w:ascii="Times New Roman" w:eastAsiaTheme="minorEastAsia" w:hAnsi="Times New Roman" w:cs="Times New Roman"/>
          <w:iCs/>
          <w:color w:val="242729"/>
          <w:sz w:val="24"/>
          <w:szCs w:val="24"/>
          <w:shd w:val="clear" w:color="auto" w:fill="FFFFFF"/>
        </w:rPr>
        <w:fldChar w:fldCharType="separate"/>
      </w:r>
      <w:r w:rsidR="00A3753B" w:rsidRPr="00DA405F">
        <w:rPr>
          <w:rFonts w:ascii="Times New Roman" w:eastAsiaTheme="minorEastAsia" w:hAnsi="Times New Roman" w:cs="Times New Roman"/>
          <w:iCs/>
          <w:noProof/>
          <w:color w:val="242729"/>
          <w:sz w:val="24"/>
          <w:szCs w:val="24"/>
          <w:shd w:val="clear" w:color="auto" w:fill="FFFFFF"/>
        </w:rPr>
        <w:t>(Juckel et al., 2006)</w:t>
      </w:r>
      <w:r w:rsidR="00A3753B" w:rsidRPr="00DA405F">
        <w:rPr>
          <w:rFonts w:ascii="Times New Roman" w:eastAsiaTheme="minorEastAsia" w:hAnsi="Times New Roman" w:cs="Times New Roman"/>
          <w:iCs/>
          <w:color w:val="242729"/>
          <w:sz w:val="24"/>
          <w:szCs w:val="24"/>
          <w:shd w:val="clear" w:color="auto" w:fill="FFFFFF"/>
        </w:rPr>
        <w:fldChar w:fldCharType="end"/>
      </w:r>
      <w:r w:rsidR="00A3753B" w:rsidRPr="00DA405F">
        <w:rPr>
          <w:rFonts w:ascii="Times New Roman" w:eastAsiaTheme="minorEastAsia" w:hAnsi="Times New Roman" w:cs="Times New Roman"/>
          <w:iCs/>
          <w:color w:val="242729"/>
          <w:sz w:val="24"/>
          <w:szCs w:val="24"/>
          <w:shd w:val="clear" w:color="auto" w:fill="FFFFFF"/>
        </w:rPr>
        <w:t>.</w:t>
      </w:r>
    </w:p>
    <w:p w14:paraId="1328D659" w14:textId="308F1AAF" w:rsidR="00E75D86" w:rsidRPr="00DA405F" w:rsidRDefault="00322716"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As previously mentioned,</w:t>
      </w:r>
      <w:r w:rsidR="009551C8" w:rsidRPr="00DA405F">
        <w:rPr>
          <w:rFonts w:ascii="Times New Roman" w:eastAsiaTheme="minorEastAsia" w:hAnsi="Times New Roman" w:cs="Times New Roman"/>
          <w:iCs/>
          <w:color w:val="242729"/>
          <w:sz w:val="24"/>
          <w:szCs w:val="24"/>
          <w:shd w:val="clear" w:color="auto" w:fill="FFFFFF"/>
        </w:rPr>
        <w:t xml:space="preserve"> choices and actions are only </w:t>
      </w:r>
      <w:r w:rsidR="00DC26CC">
        <w:rPr>
          <w:rFonts w:ascii="Times New Roman" w:eastAsiaTheme="minorEastAsia" w:hAnsi="Times New Roman" w:cs="Times New Roman"/>
          <w:iCs/>
          <w:color w:val="242729"/>
          <w:sz w:val="24"/>
          <w:szCs w:val="24"/>
          <w:shd w:val="clear" w:color="auto" w:fill="FFFFFF"/>
        </w:rPr>
        <w:t>‘</w:t>
      </w:r>
      <w:r w:rsidR="009551C8" w:rsidRPr="00DA405F">
        <w:rPr>
          <w:rFonts w:ascii="Times New Roman" w:eastAsiaTheme="minorEastAsia" w:hAnsi="Times New Roman" w:cs="Times New Roman"/>
          <w:iCs/>
          <w:color w:val="242729"/>
          <w:sz w:val="24"/>
          <w:szCs w:val="24"/>
          <w:shd w:val="clear" w:color="auto" w:fill="FFFFFF"/>
        </w:rPr>
        <w:t>rewarding</w:t>
      </w:r>
      <w:r w:rsidR="00DC26CC">
        <w:rPr>
          <w:rFonts w:ascii="Times New Roman" w:eastAsiaTheme="minorEastAsia" w:hAnsi="Times New Roman" w:cs="Times New Roman"/>
          <w:iCs/>
          <w:color w:val="242729"/>
          <w:sz w:val="24"/>
          <w:szCs w:val="24"/>
          <w:shd w:val="clear" w:color="auto" w:fill="FFFFFF"/>
        </w:rPr>
        <w:t>’</w:t>
      </w:r>
      <w:r w:rsidR="009551C8" w:rsidRPr="00DA405F">
        <w:rPr>
          <w:rFonts w:ascii="Times New Roman" w:eastAsiaTheme="minorEastAsia" w:hAnsi="Times New Roman" w:cs="Times New Roman"/>
          <w:iCs/>
          <w:color w:val="242729"/>
          <w:sz w:val="24"/>
          <w:szCs w:val="24"/>
          <w:shd w:val="clear" w:color="auto" w:fill="FFFFFF"/>
        </w:rPr>
        <w:t xml:space="preserve"> insofar as they can reinforce said behaviour. Therefore, there is a crucial link between reward and learning. One influential model of learning dictates that</w:t>
      </w:r>
      <w:r w:rsidR="00AD101F" w:rsidRPr="00DA405F">
        <w:rPr>
          <w:rFonts w:ascii="Times New Roman" w:eastAsiaTheme="minorEastAsia" w:hAnsi="Times New Roman" w:cs="Times New Roman"/>
          <w:iCs/>
          <w:color w:val="242729"/>
          <w:sz w:val="24"/>
          <w:szCs w:val="24"/>
          <w:shd w:val="clear" w:color="auto" w:fill="FFFFFF"/>
        </w:rPr>
        <w:t xml:space="preserve"> the</w:t>
      </w:r>
      <w:r w:rsidR="00A06A3F" w:rsidRPr="00DA405F">
        <w:rPr>
          <w:rFonts w:ascii="Times New Roman" w:eastAsiaTheme="minorEastAsia" w:hAnsi="Times New Roman" w:cs="Times New Roman"/>
          <w:iCs/>
          <w:color w:val="242729"/>
          <w:sz w:val="24"/>
          <w:szCs w:val="24"/>
          <w:shd w:val="clear" w:color="auto" w:fill="FFFFFF"/>
        </w:rPr>
        <w:t xml:space="preserve"> rate of learning depends on the</w:t>
      </w:r>
      <w:r w:rsidR="00AD101F" w:rsidRPr="00DA405F">
        <w:rPr>
          <w:rFonts w:ascii="Times New Roman" w:eastAsiaTheme="minorEastAsia" w:hAnsi="Times New Roman" w:cs="Times New Roman"/>
          <w:iCs/>
          <w:color w:val="242729"/>
          <w:sz w:val="24"/>
          <w:szCs w:val="24"/>
          <w:shd w:val="clear" w:color="auto" w:fill="FFFFFF"/>
        </w:rPr>
        <w:t xml:space="preserve"> association between a cause and effect</w:t>
      </w:r>
      <w:r w:rsidR="00A06A3F" w:rsidRPr="00DA405F">
        <w:rPr>
          <w:rFonts w:ascii="Times New Roman" w:eastAsiaTheme="minorEastAsia" w:hAnsi="Times New Roman" w:cs="Times New Roman"/>
          <w:iCs/>
          <w:color w:val="242729"/>
          <w:sz w:val="24"/>
          <w:szCs w:val="24"/>
          <w:shd w:val="clear" w:color="auto" w:fill="FFFFFF"/>
        </w:rPr>
        <w:t xml:space="preserve">, i.e. </w:t>
      </w:r>
      <w:r w:rsidR="00285DFE" w:rsidRPr="00DA405F">
        <w:rPr>
          <w:rFonts w:ascii="Times New Roman" w:eastAsiaTheme="minorEastAsia" w:hAnsi="Times New Roman" w:cs="Times New Roman"/>
          <w:iCs/>
          <w:color w:val="242729"/>
          <w:sz w:val="24"/>
          <w:szCs w:val="24"/>
          <w:shd w:val="clear" w:color="auto" w:fill="FFFFFF"/>
        </w:rPr>
        <w:t xml:space="preserve">is </w:t>
      </w:r>
      <w:r w:rsidR="00A06A3F" w:rsidRPr="00DA405F">
        <w:rPr>
          <w:rFonts w:ascii="Times New Roman" w:eastAsiaTheme="minorEastAsia" w:hAnsi="Times New Roman" w:cs="Times New Roman"/>
          <w:iCs/>
          <w:color w:val="242729"/>
          <w:sz w:val="24"/>
          <w:szCs w:val="24"/>
          <w:shd w:val="clear" w:color="auto" w:fill="FFFFFF"/>
        </w:rPr>
        <w:t xml:space="preserve">as </w:t>
      </w:r>
      <w:r w:rsidR="00AD101F" w:rsidRPr="00DA405F">
        <w:rPr>
          <w:rFonts w:ascii="Times New Roman" w:eastAsiaTheme="minorEastAsia" w:hAnsi="Times New Roman" w:cs="Times New Roman"/>
          <w:iCs/>
          <w:color w:val="242729"/>
          <w:sz w:val="24"/>
          <w:szCs w:val="24"/>
          <w:shd w:val="clear" w:color="auto" w:fill="FFFFFF"/>
        </w:rPr>
        <w:t>strong</w:t>
      </w:r>
      <w:r w:rsidR="00A06A3F" w:rsidRPr="00DA405F">
        <w:rPr>
          <w:rFonts w:ascii="Times New Roman" w:eastAsiaTheme="minorEastAsia" w:hAnsi="Times New Roman" w:cs="Times New Roman"/>
          <w:iCs/>
          <w:color w:val="242729"/>
          <w:sz w:val="24"/>
          <w:szCs w:val="24"/>
          <w:shd w:val="clear" w:color="auto" w:fill="FFFFFF"/>
        </w:rPr>
        <w:t xml:space="preserve"> as</w:t>
      </w:r>
      <w:r w:rsidR="00AD101F" w:rsidRPr="00DA405F">
        <w:rPr>
          <w:rFonts w:ascii="Times New Roman" w:eastAsiaTheme="minorEastAsia" w:hAnsi="Times New Roman" w:cs="Times New Roman"/>
          <w:iCs/>
          <w:color w:val="242729"/>
          <w:sz w:val="24"/>
          <w:szCs w:val="24"/>
          <w:shd w:val="clear" w:color="auto" w:fill="FFFFFF"/>
        </w:rPr>
        <w:t xml:space="preserve"> the prediction of the effect from th</w:t>
      </w:r>
      <w:r w:rsidR="005611AE" w:rsidRPr="00DA405F">
        <w:rPr>
          <w:rFonts w:ascii="Times New Roman" w:eastAsiaTheme="minorEastAsia" w:hAnsi="Times New Roman" w:cs="Times New Roman"/>
          <w:iCs/>
          <w:color w:val="242729"/>
          <w:sz w:val="24"/>
          <w:szCs w:val="24"/>
          <w:shd w:val="clear" w:color="auto" w:fill="FFFFFF"/>
        </w:rPr>
        <w:t xml:space="preserve">e cause </w:t>
      </w:r>
      <w:r w:rsidR="005611AE" w:rsidRPr="00DA405F">
        <w:rPr>
          <w:rFonts w:ascii="Times New Roman" w:eastAsiaTheme="minorEastAsia" w:hAnsi="Times New Roman" w:cs="Times New Roman"/>
          <w:iCs/>
          <w:color w:val="242729"/>
          <w:sz w:val="24"/>
          <w:szCs w:val="24"/>
          <w:shd w:val="clear" w:color="auto" w:fill="FFFFFF"/>
        </w:rPr>
        <w:fldChar w:fldCharType="begin" w:fldLock="1"/>
      </w:r>
      <w:r w:rsidR="004C59BC"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Rescorla","given":"R.","non-dropping-particle":"","parse-names":false,"suffix":""},{"dropping-particle":"","family":"Wagner","given":"A.","non-dropping-particle":"","parse-names":false,"suffix":""}],"container-title":"Classical conditioning II: Current research and theory","id":"ITEM-1","issue":"January 1972","issued":{"date-parts":[["1972"]]},"page":"64-99","title":"A theory of Pavlovian conditioning: Variations in the effectiveness of reinforcement and nonreinforcement","type":"article-journal"},"uris":["http://www.mendeley.com/documents/?uuid=d1e0e54d-f9f4-4641-baa4-857bb52c886f"]}],"mendeley":{"formattedCitation":"(Rescorla &amp; Wagner, 1972)","plainTextFormattedCitation":"(Rescorla &amp; Wagner, 1972)","previouslyFormattedCitation":"(Rescorla &amp; Wagner, 1972)"},"properties":{"noteIndex":0},"schema":"https://github.com/citation-style-language/schema/raw/master/csl-citation.json"}</w:instrText>
      </w:r>
      <w:r w:rsidR="005611AE" w:rsidRPr="00DA405F">
        <w:rPr>
          <w:rFonts w:ascii="Times New Roman" w:eastAsiaTheme="minorEastAsia" w:hAnsi="Times New Roman" w:cs="Times New Roman"/>
          <w:iCs/>
          <w:color w:val="242729"/>
          <w:sz w:val="24"/>
          <w:szCs w:val="24"/>
          <w:shd w:val="clear" w:color="auto" w:fill="FFFFFF"/>
        </w:rPr>
        <w:fldChar w:fldCharType="separate"/>
      </w:r>
      <w:r w:rsidR="005611AE" w:rsidRPr="00DA405F">
        <w:rPr>
          <w:rFonts w:ascii="Times New Roman" w:eastAsiaTheme="minorEastAsia" w:hAnsi="Times New Roman" w:cs="Times New Roman"/>
          <w:iCs/>
          <w:noProof/>
          <w:color w:val="242729"/>
          <w:sz w:val="24"/>
          <w:szCs w:val="24"/>
          <w:shd w:val="clear" w:color="auto" w:fill="FFFFFF"/>
        </w:rPr>
        <w:t>(Rescorla &amp; Wagner, 1972)</w:t>
      </w:r>
      <w:r w:rsidR="005611AE" w:rsidRPr="00DA405F">
        <w:rPr>
          <w:rFonts w:ascii="Times New Roman" w:eastAsiaTheme="minorEastAsia" w:hAnsi="Times New Roman" w:cs="Times New Roman"/>
          <w:iCs/>
          <w:color w:val="242729"/>
          <w:sz w:val="24"/>
          <w:szCs w:val="24"/>
          <w:shd w:val="clear" w:color="auto" w:fill="FFFFFF"/>
        </w:rPr>
        <w:fldChar w:fldCharType="end"/>
      </w:r>
      <w:r w:rsidR="005611AE" w:rsidRPr="00DA405F">
        <w:rPr>
          <w:rFonts w:ascii="Times New Roman" w:eastAsiaTheme="minorEastAsia" w:hAnsi="Times New Roman" w:cs="Times New Roman"/>
          <w:iCs/>
          <w:color w:val="242729"/>
          <w:sz w:val="24"/>
          <w:szCs w:val="24"/>
          <w:shd w:val="clear" w:color="auto" w:fill="FFFFFF"/>
        </w:rPr>
        <w:t xml:space="preserve">. </w:t>
      </w:r>
      <w:r w:rsidR="00A06A3F" w:rsidRPr="00DA405F">
        <w:rPr>
          <w:rFonts w:ascii="Times New Roman" w:eastAsiaTheme="minorEastAsia" w:hAnsi="Times New Roman" w:cs="Times New Roman"/>
          <w:iCs/>
          <w:color w:val="242729"/>
          <w:sz w:val="24"/>
          <w:szCs w:val="24"/>
          <w:shd w:val="clear" w:color="auto" w:fill="FFFFFF"/>
        </w:rPr>
        <w:t xml:space="preserve">The </w:t>
      </w:r>
      <w:r w:rsidR="00285DFE" w:rsidRPr="00DA405F">
        <w:rPr>
          <w:rFonts w:ascii="Times New Roman" w:eastAsiaTheme="minorEastAsia" w:hAnsi="Times New Roman" w:cs="Times New Roman"/>
          <w:iCs/>
          <w:color w:val="242729"/>
          <w:sz w:val="24"/>
          <w:szCs w:val="24"/>
          <w:shd w:val="clear" w:color="auto" w:fill="FFFFFF"/>
        </w:rPr>
        <w:t>update in the association between such a cause (the conditioned stimulus) and effect (unconditioned stimulus) can be written as:</w:t>
      </w:r>
    </w:p>
    <w:p w14:paraId="33D8E05E" w14:textId="02E4760B" w:rsidR="00E75D86" w:rsidRPr="00DA405F" w:rsidRDefault="00E75D86" w:rsidP="00E75D86">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1150D8">
        <w:rPr>
          <w:rFonts w:cs="Times New Roman"/>
          <w:noProof/>
        </w:rPr>
        <w:t>7</w:t>
      </w:r>
      <w:r w:rsidRPr="00DA405F">
        <w:rPr>
          <w:rFonts w:cs="Times New Roman"/>
        </w:rPr>
        <w:fldChar w:fldCharType="end"/>
      </w:r>
    </w:p>
    <w:p w14:paraId="10FCF6BD" w14:textId="03AB2E8A" w:rsidR="00322716" w:rsidRPr="00DA405F" w:rsidRDefault="00E75D86" w:rsidP="00BC182D">
      <w:pPr>
        <w:rPr>
          <w:rFonts w:ascii="Times New Roman" w:eastAsiaTheme="minorEastAsia" w:hAnsi="Times New Roman" w:cs="Times New Roman"/>
          <w:iCs/>
          <w:color w:val="242729"/>
          <w:sz w:val="24"/>
          <w:szCs w:val="24"/>
          <w:shd w:val="clear" w:color="auto" w:fill="FFFFFF"/>
        </w:rPr>
      </w:pPr>
      <m:oMathPara>
        <m:oMath>
          <m:r>
            <w:rPr>
              <w:rFonts w:ascii="Cambria Math" w:eastAsiaTheme="minorEastAsia" w:hAnsi="Cambria Math" w:cs="Times New Roman"/>
              <w:color w:val="242729"/>
              <w:sz w:val="24"/>
              <w:szCs w:val="24"/>
              <w:shd w:val="clear" w:color="auto" w:fill="FFFFFF"/>
            </w:rPr>
            <m:t>∆</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r>
            <w:rPr>
              <w:rFonts w:ascii="Cambria Math" w:eastAsiaTheme="minorEastAsia" w:hAnsi="Cambria Math" w:cs="Times New Roman"/>
              <w:color w:val="242729"/>
              <w:sz w:val="24"/>
              <w:szCs w:val="24"/>
              <w:shd w:val="clear" w:color="auto" w:fill="FFFFFF"/>
            </w:rPr>
            <m:t>=αβ</m:t>
          </m:r>
          <m:d>
            <m:dPr>
              <m:ctrlPr>
                <w:rPr>
                  <w:rFonts w:ascii="Cambria Math" w:eastAsiaTheme="minorEastAsia" w:hAnsi="Cambria Math" w:cs="Times New Roman"/>
                  <w:i/>
                  <w:iCs/>
                  <w:color w:val="242729"/>
                  <w:sz w:val="24"/>
                  <w:szCs w:val="24"/>
                  <w:shd w:val="clear" w:color="auto" w:fill="FFFFFF"/>
                </w:rPr>
              </m:ctrlPr>
            </m:dPr>
            <m:e>
              <m:r>
                <w:rPr>
                  <w:rFonts w:ascii="Cambria Math" w:eastAsiaTheme="minorEastAsia" w:hAnsi="Cambria Math" w:cs="Times New Roman"/>
                  <w:color w:val="242729"/>
                  <w:sz w:val="24"/>
                  <w:szCs w:val="24"/>
                  <w:shd w:val="clear" w:color="auto" w:fill="FFFFFF"/>
                </w:rPr>
                <m:t>λ-</m:t>
              </m:r>
              <m:nary>
                <m:naryPr>
                  <m:chr m:val="∑"/>
                  <m:limLoc m:val="undOvr"/>
                  <m:subHide m:val="1"/>
                  <m:supHide m:val="1"/>
                  <m:ctrlPr>
                    <w:rPr>
                      <w:rFonts w:ascii="Cambria Math" w:eastAsiaTheme="minorEastAsia" w:hAnsi="Cambria Math" w:cs="Times New Roman"/>
                      <w:i/>
                      <w:iCs/>
                      <w:color w:val="242729"/>
                      <w:sz w:val="24"/>
                      <w:szCs w:val="24"/>
                      <w:shd w:val="clear" w:color="auto" w:fill="FFFFFF"/>
                    </w:rPr>
                  </m:ctrlPr>
                </m:naryPr>
                <m:sub/>
                <m:sup/>
                <m:e>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all</m:t>
                      </m:r>
                    </m:sub>
                  </m:sSub>
                </m:e>
              </m:nary>
            </m:e>
          </m:d>
        </m:oMath>
      </m:oMathPara>
    </w:p>
    <w:p w14:paraId="2D49E5E9" w14:textId="6FB75D95" w:rsidR="00E75D86" w:rsidRPr="00DA405F" w:rsidRDefault="004540CE" w:rsidP="00BC182D">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n+1</m:t>
              </m:r>
            </m:sup>
          </m:sSubSup>
          <m:r>
            <w:rPr>
              <w:rFonts w:ascii="Cambria Math" w:eastAsiaTheme="minorEastAsia" w:hAnsi="Cambria Math" w:cs="Times New Roman"/>
              <w:color w:val="242729"/>
              <w:sz w:val="24"/>
              <w:szCs w:val="24"/>
              <w:shd w:val="clear" w:color="auto" w:fill="FFFFFF"/>
            </w:rPr>
            <m:t xml:space="preserve"> = </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r>
            <w:rPr>
              <w:rFonts w:ascii="Cambria Math" w:eastAsiaTheme="minorEastAsia" w:hAnsi="Cambria Math" w:cs="Times New Roman"/>
              <w:color w:val="242729"/>
              <w:sz w:val="24"/>
              <w:szCs w:val="24"/>
              <w:shd w:val="clear" w:color="auto" w:fill="FFFFFF"/>
            </w:rPr>
            <m:t>+∆</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oMath>
      </m:oMathPara>
    </w:p>
    <w:p w14:paraId="688E0D72" w14:textId="16EFA309" w:rsidR="00C357CD" w:rsidRPr="00DA405F" w:rsidRDefault="00C357CD" w:rsidP="00BC182D">
      <w:pPr>
        <w:rPr>
          <w:rFonts w:ascii="Times New Roman" w:eastAsiaTheme="minorEastAsia" w:hAnsi="Times New Roman" w:cs="Times New Roman"/>
          <w:i/>
          <w:iCs/>
          <w:color w:val="242729"/>
          <w:sz w:val="24"/>
          <w:szCs w:val="24"/>
          <w:shd w:val="clear" w:color="auto" w:fill="FFFFFF"/>
        </w:rPr>
      </w:pPr>
      <m:oMathPara>
        <m:oMath>
          <m:r>
            <w:rPr>
              <w:rFonts w:ascii="Cambria Math" w:eastAsiaTheme="minorEastAsia" w:hAnsi="Cambria Math" w:cs="Times New Roman"/>
              <w:color w:val="242729"/>
              <w:sz w:val="24"/>
              <w:szCs w:val="24"/>
              <w:shd w:val="clear" w:color="auto" w:fill="FFFFFF"/>
            </w:rPr>
            <m:t xml:space="preserve">x </m:t>
          </m:r>
          <m:r>
            <w:rPr>
              <w:rFonts w:ascii="Cambria Math" w:hAnsi="Cambria Math" w:cs="Times New Roman"/>
              <w:sz w:val="24"/>
              <w:szCs w:val="24"/>
            </w:rPr>
            <m:t>∈ all</m:t>
          </m:r>
        </m:oMath>
      </m:oMathPara>
    </w:p>
    <w:p w14:paraId="3F92F2E5" w14:textId="05E8D1BF" w:rsidR="00BC182D" w:rsidRPr="00DA405F" w:rsidRDefault="00E75D86"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Where </w:t>
      </w:r>
      <m:oMath>
        <m:sSubSup>
          <m:sSubSupPr>
            <m:ctrlPr>
              <w:rPr>
                <w:rFonts w:ascii="Cambria Math" w:eastAsiaTheme="minorEastAsia" w:hAnsi="Cambria Math" w:cs="Times New Roman"/>
                <w:b/>
                <w:bCs/>
                <w:i/>
                <w:iCs/>
                <w:color w:val="242729"/>
                <w:sz w:val="24"/>
                <w:szCs w:val="24"/>
                <w:shd w:val="clear" w:color="auto" w:fill="FFFFFF"/>
              </w:rPr>
            </m:ctrlPr>
          </m:sSubSup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x</m:t>
            </m:r>
          </m:sub>
          <m:sup>
            <m:r>
              <m:rPr>
                <m:sty m:val="bi"/>
              </m:rPr>
              <w:rPr>
                <w:rFonts w:ascii="Cambria Math" w:eastAsiaTheme="minorEastAsia" w:hAnsi="Cambria Math" w:cs="Times New Roman"/>
                <w:color w:val="242729"/>
                <w:sz w:val="24"/>
                <w:szCs w:val="24"/>
                <w:shd w:val="clear" w:color="auto" w:fill="FFFFFF"/>
              </w:rPr>
              <m:t>n</m:t>
            </m:r>
          </m:sup>
        </m:sSubSup>
      </m:oMath>
      <w:r w:rsidRPr="00DA405F">
        <w:rPr>
          <w:rFonts w:ascii="Times New Roman" w:eastAsiaTheme="minorEastAsia" w:hAnsi="Times New Roman" w:cs="Times New Roman"/>
          <w:iCs/>
          <w:color w:val="242729"/>
          <w:sz w:val="24"/>
          <w:szCs w:val="24"/>
          <w:shd w:val="clear" w:color="auto" w:fill="FFFFFF"/>
        </w:rPr>
        <w:t xml:space="preserve"> represents the strength of association between a cause and effect </w:t>
      </w:r>
      <m:oMath>
        <m:r>
          <m:rPr>
            <m:sty m:val="bi"/>
          </m:rPr>
          <w:rPr>
            <w:rFonts w:ascii="Cambria Math" w:eastAsiaTheme="minorEastAsia" w:hAnsi="Cambria Math" w:cs="Times New Roman"/>
            <w:color w:val="242729"/>
            <w:sz w:val="24"/>
            <w:szCs w:val="24"/>
            <w:shd w:val="clear" w:color="auto" w:fill="FFFFFF"/>
          </w:rPr>
          <m:t>x</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at a time, or trial </w:t>
      </w:r>
      <m:oMath>
        <m:r>
          <m:rPr>
            <m:sty m:val="bi"/>
          </m:rPr>
          <w:rPr>
            <w:rFonts w:ascii="Cambria Math" w:eastAsiaTheme="minorEastAsia" w:hAnsi="Cambria Math" w:cs="Times New Roman"/>
            <w:color w:val="242729"/>
            <w:sz w:val="24"/>
            <w:szCs w:val="24"/>
            <w:shd w:val="clear" w:color="auto" w:fill="FFFFFF"/>
          </w:rPr>
          <m:t>n</m:t>
        </m:r>
      </m:oMath>
      <w:r w:rsidRPr="00DA405F">
        <w:rPr>
          <w:rFonts w:ascii="Times New Roman" w:eastAsiaTheme="minorEastAsia" w:hAnsi="Times New Roman" w:cs="Times New Roman"/>
          <w:iCs/>
          <w:color w:val="242729"/>
          <w:sz w:val="24"/>
          <w:szCs w:val="24"/>
          <w:shd w:val="clear" w:color="auto" w:fill="FFFFFF"/>
        </w:rPr>
        <w:t xml:space="preserve">. This is updated for trial </w:t>
      </w:r>
      <m:oMath>
        <m:r>
          <m:rPr>
            <m:sty m:val="bi"/>
          </m:rPr>
          <w:rPr>
            <w:rFonts w:ascii="Cambria Math" w:eastAsiaTheme="minorEastAsia" w:hAnsi="Cambria Math" w:cs="Times New Roman"/>
            <w:color w:val="242729"/>
            <w:sz w:val="24"/>
            <w:szCs w:val="24"/>
            <w:shd w:val="clear" w:color="auto" w:fill="FFFFFF"/>
          </w:rPr>
          <m:t>n+1</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by taking the strength of association at time </w:t>
      </w:r>
      <m:oMath>
        <m:r>
          <m:rPr>
            <m:sty m:val="bi"/>
          </m:rPr>
          <w:rPr>
            <w:rFonts w:ascii="Cambria Math" w:eastAsiaTheme="minorEastAsia" w:hAnsi="Cambria Math" w:cs="Times New Roman"/>
            <w:color w:val="242729"/>
            <w:sz w:val="24"/>
            <w:szCs w:val="24"/>
            <w:shd w:val="clear" w:color="auto" w:fill="FFFFFF"/>
          </w:rPr>
          <m:t>n</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and adding the </w:t>
      </w:r>
      <w:r w:rsidR="00FE30EC" w:rsidRPr="00DA405F">
        <w:rPr>
          <w:rFonts w:ascii="Times New Roman" w:eastAsiaTheme="minorEastAsia" w:hAnsi="Times New Roman" w:cs="Times New Roman"/>
          <w:iCs/>
          <w:color w:val="242729"/>
          <w:sz w:val="24"/>
          <w:szCs w:val="24"/>
          <w:shd w:val="clear" w:color="auto" w:fill="FFFFFF"/>
        </w:rPr>
        <w:t>change (</w:t>
      </w:r>
      <m:oMath>
        <m:r>
          <m:rPr>
            <m:sty m:val="bi"/>
          </m:rPr>
          <w:rPr>
            <w:rFonts w:ascii="Cambria Math" w:eastAsiaTheme="minorEastAsia" w:hAnsi="Cambria Math" w:cs="Times New Roman"/>
            <w:color w:val="242729"/>
            <w:sz w:val="24"/>
            <w:szCs w:val="24"/>
            <w:shd w:val="clear" w:color="auto" w:fill="FFFFFF"/>
          </w:rPr>
          <m:t>Δ</m:t>
        </m:r>
      </m:oMath>
      <w:r w:rsidR="00FE30EC" w:rsidRPr="00DA405F">
        <w:rPr>
          <w:rFonts w:ascii="Times New Roman" w:eastAsiaTheme="minorEastAsia" w:hAnsi="Times New Roman" w:cs="Times New Roman"/>
          <w:iCs/>
          <w:color w:val="242729"/>
          <w:sz w:val="24"/>
          <w:szCs w:val="24"/>
          <w:shd w:val="clear" w:color="auto" w:fill="FFFFFF"/>
        </w:rPr>
        <w:t xml:space="preserve">) in strength of association that occurs during trial </w:t>
      </w:r>
      <m:oMath>
        <m:r>
          <m:rPr>
            <m:sty m:val="bi"/>
          </m:rPr>
          <w:rPr>
            <w:rFonts w:ascii="Cambria Math" w:eastAsiaTheme="minorEastAsia" w:hAnsi="Cambria Math" w:cs="Times New Roman"/>
            <w:color w:val="242729"/>
            <w:sz w:val="24"/>
            <w:szCs w:val="24"/>
            <w:shd w:val="clear" w:color="auto" w:fill="FFFFFF"/>
          </w:rPr>
          <m:t>n</m:t>
        </m:r>
      </m:oMath>
      <w:r w:rsidR="00FE30EC" w:rsidRPr="00DA405F">
        <w:rPr>
          <w:rFonts w:ascii="Times New Roman" w:eastAsiaTheme="minorEastAsia" w:hAnsi="Times New Roman" w:cs="Times New Roman"/>
          <w:iCs/>
          <w:color w:val="242729"/>
          <w:sz w:val="24"/>
          <w:szCs w:val="24"/>
          <w:shd w:val="clear" w:color="auto" w:fill="FFFFFF"/>
        </w:rPr>
        <w:t xml:space="preserve">. </w:t>
      </w:r>
      <w:r w:rsidR="007B5E71" w:rsidRPr="00DA405F">
        <w:rPr>
          <w:rFonts w:ascii="Times New Roman" w:eastAsiaTheme="minorEastAsia" w:hAnsi="Times New Roman" w:cs="Times New Roman"/>
          <w:iCs/>
          <w:color w:val="242729"/>
          <w:sz w:val="24"/>
          <w:szCs w:val="24"/>
          <w:shd w:val="clear" w:color="auto" w:fill="FFFFFF"/>
        </w:rPr>
        <w:t xml:space="preserve">This change is determined by the salience of the </w:t>
      </w:r>
      <w:r w:rsidR="00427AE4" w:rsidRPr="00DA405F">
        <w:rPr>
          <w:rFonts w:ascii="Times New Roman" w:eastAsiaTheme="minorEastAsia" w:hAnsi="Times New Roman" w:cs="Times New Roman"/>
          <w:iCs/>
          <w:color w:val="242729"/>
          <w:sz w:val="24"/>
          <w:szCs w:val="24"/>
          <w:shd w:val="clear" w:color="auto" w:fill="FFFFFF"/>
        </w:rPr>
        <w:t>conditioned stimulus in</w:t>
      </w:r>
      <w:r w:rsidR="007B5E71"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7B5E71" w:rsidRPr="00DA405F">
        <w:rPr>
          <w:rFonts w:ascii="Times New Roman" w:eastAsiaTheme="minorEastAsia" w:hAnsi="Times New Roman" w:cs="Times New Roman"/>
          <w:b/>
          <w:bCs/>
          <w:iCs/>
          <w:color w:val="242729"/>
          <w:sz w:val="24"/>
          <w:szCs w:val="24"/>
          <w:shd w:val="clear" w:color="auto" w:fill="FFFFFF"/>
        </w:rPr>
        <w:t xml:space="preserve"> </w:t>
      </w:r>
      <w:r w:rsidR="007B5E71" w:rsidRPr="00DA405F">
        <w:rPr>
          <w:rFonts w:ascii="Times New Roman" w:eastAsiaTheme="minorEastAsia" w:hAnsi="Times New Roman" w:cs="Times New Roman"/>
          <w:iCs/>
          <w:color w:val="242729"/>
          <w:sz w:val="24"/>
          <w:szCs w:val="24"/>
          <w:shd w:val="clear" w:color="auto" w:fill="FFFFFF"/>
        </w:rPr>
        <w:t>(</w:t>
      </w:r>
      <w:r w:rsidR="004037C2" w:rsidRPr="00DA405F">
        <w:rPr>
          <w:rFonts w:ascii="Times New Roman" w:eastAsiaTheme="minorEastAsia" w:hAnsi="Times New Roman" w:cs="Times New Roman"/>
          <w:iCs/>
          <w:color w:val="242729"/>
          <w:sz w:val="24"/>
          <w:szCs w:val="24"/>
          <w:shd w:val="clear" w:color="auto" w:fill="FFFFFF"/>
        </w:rPr>
        <w:t>a red sky in the morning might predict</w:t>
      </w:r>
      <w:r w:rsidR="000F23C4">
        <w:rPr>
          <w:rFonts w:ascii="Times New Roman" w:eastAsiaTheme="minorEastAsia" w:hAnsi="Times New Roman" w:cs="Times New Roman"/>
          <w:iCs/>
          <w:color w:val="242729"/>
          <w:sz w:val="24"/>
          <w:szCs w:val="24"/>
          <w:shd w:val="clear" w:color="auto" w:fill="FFFFFF"/>
        </w:rPr>
        <w:t xml:space="preserve"> future</w:t>
      </w:r>
      <w:r w:rsidR="004037C2" w:rsidRPr="00DA405F">
        <w:rPr>
          <w:rFonts w:ascii="Times New Roman" w:eastAsiaTheme="minorEastAsia" w:hAnsi="Times New Roman" w:cs="Times New Roman"/>
          <w:iCs/>
          <w:color w:val="242729"/>
          <w:sz w:val="24"/>
          <w:szCs w:val="24"/>
          <w:shd w:val="clear" w:color="auto" w:fill="FFFFFF"/>
        </w:rPr>
        <w:t xml:space="preserve"> rain as well as</w:t>
      </w:r>
      <w:r w:rsidR="000F23C4">
        <w:rPr>
          <w:rFonts w:ascii="Times New Roman" w:eastAsiaTheme="minorEastAsia" w:hAnsi="Times New Roman" w:cs="Times New Roman"/>
          <w:iCs/>
          <w:color w:val="242729"/>
          <w:sz w:val="24"/>
          <w:szCs w:val="24"/>
          <w:shd w:val="clear" w:color="auto" w:fill="FFFFFF"/>
        </w:rPr>
        <w:t xml:space="preserve"> the distant rumble of</w:t>
      </w:r>
      <w:r w:rsidR="004037C2" w:rsidRPr="00DA405F">
        <w:rPr>
          <w:rFonts w:ascii="Times New Roman" w:eastAsiaTheme="minorEastAsia" w:hAnsi="Times New Roman" w:cs="Times New Roman"/>
          <w:iCs/>
          <w:color w:val="242729"/>
          <w:sz w:val="24"/>
          <w:szCs w:val="24"/>
          <w:shd w:val="clear" w:color="auto" w:fill="FFFFFF"/>
        </w:rPr>
        <w:t xml:space="preserve"> thunder and lightning, but </w:t>
      </w:r>
      <w:r w:rsidR="00F242B4">
        <w:rPr>
          <w:rFonts w:ascii="Times New Roman" w:eastAsiaTheme="minorEastAsia" w:hAnsi="Times New Roman" w:cs="Times New Roman"/>
          <w:iCs/>
          <w:color w:val="242729"/>
          <w:sz w:val="24"/>
          <w:szCs w:val="24"/>
          <w:shd w:val="clear" w:color="auto" w:fill="FFFFFF"/>
        </w:rPr>
        <w:t xml:space="preserve">it </w:t>
      </w:r>
      <w:r w:rsidR="004037C2" w:rsidRPr="00DA405F">
        <w:rPr>
          <w:rFonts w:ascii="Times New Roman" w:eastAsiaTheme="minorEastAsia" w:hAnsi="Times New Roman" w:cs="Times New Roman"/>
          <w:iCs/>
          <w:color w:val="242729"/>
          <w:sz w:val="24"/>
          <w:szCs w:val="24"/>
          <w:shd w:val="clear" w:color="auto" w:fill="FFFFFF"/>
        </w:rPr>
        <w:t>is much less noticeable</w:t>
      </w:r>
      <w:r w:rsidR="007B5E71" w:rsidRPr="00DA405F">
        <w:rPr>
          <w:rFonts w:ascii="Times New Roman" w:eastAsiaTheme="minorEastAsia" w:hAnsi="Times New Roman" w:cs="Times New Roman"/>
          <w:iCs/>
          <w:color w:val="242729"/>
          <w:sz w:val="24"/>
          <w:szCs w:val="24"/>
          <w:shd w:val="clear" w:color="auto" w:fill="FFFFFF"/>
        </w:rPr>
        <w:t>), specified by a parameter</w:t>
      </w:r>
      <w:r w:rsidR="00637F34"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α</m:t>
        </m:r>
      </m:oMath>
      <w:r w:rsidR="00B07EA6" w:rsidRPr="00DA405F">
        <w:rPr>
          <w:rFonts w:ascii="Times New Roman" w:eastAsiaTheme="minorEastAsia" w:hAnsi="Times New Roman" w:cs="Times New Roman"/>
          <w:iCs/>
          <w:color w:val="242729"/>
          <w:sz w:val="24"/>
          <w:szCs w:val="24"/>
          <w:shd w:val="clear" w:color="auto" w:fill="FFFFFF"/>
        </w:rPr>
        <w:t>, and the learning rate of the subject</w:t>
      </w:r>
      <w:r w:rsidR="00427AE4" w:rsidRPr="00DA405F">
        <w:rPr>
          <w:rFonts w:ascii="Times New Roman" w:eastAsiaTheme="minorEastAsia" w:hAnsi="Times New Roman" w:cs="Times New Roman"/>
          <w:iCs/>
          <w:color w:val="242729"/>
          <w:sz w:val="24"/>
          <w:szCs w:val="24"/>
          <w:shd w:val="clear" w:color="auto" w:fill="FFFFFF"/>
        </w:rPr>
        <w:t xml:space="preserve"> for the unconditioned stimulus</w:t>
      </w:r>
      <w:r w:rsidR="00B07EA6"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β</m:t>
        </m:r>
      </m:oMath>
      <w:r w:rsidR="007B5E71" w:rsidRPr="00DA405F">
        <w:rPr>
          <w:rFonts w:ascii="Times New Roman" w:eastAsiaTheme="minorEastAsia" w:hAnsi="Times New Roman" w:cs="Times New Roman"/>
          <w:iCs/>
          <w:color w:val="242729"/>
          <w:sz w:val="24"/>
          <w:szCs w:val="24"/>
          <w:shd w:val="clear" w:color="auto" w:fill="FFFFFF"/>
        </w:rPr>
        <w:t>.</w:t>
      </w:r>
      <w:r w:rsidR="00F010BA" w:rsidRPr="00DA405F">
        <w:rPr>
          <w:rFonts w:ascii="Times New Roman" w:eastAsiaTheme="minorEastAsia" w:hAnsi="Times New Roman" w:cs="Times New Roman"/>
          <w:iCs/>
          <w:color w:val="242729"/>
          <w:sz w:val="24"/>
          <w:szCs w:val="24"/>
          <w:shd w:val="clear" w:color="auto" w:fill="FFFFFF"/>
        </w:rPr>
        <w:t xml:space="preserve"> These </w:t>
      </w:r>
      <w:r w:rsidR="00266ACD" w:rsidRPr="00DA405F">
        <w:rPr>
          <w:rFonts w:ascii="Times New Roman" w:eastAsiaTheme="minorEastAsia" w:hAnsi="Times New Roman" w:cs="Times New Roman"/>
          <w:iCs/>
          <w:color w:val="242729"/>
          <w:sz w:val="24"/>
          <w:szCs w:val="24"/>
          <w:shd w:val="clear" w:color="auto" w:fill="FFFFFF"/>
        </w:rPr>
        <w:t xml:space="preserve">parameters then </w:t>
      </w:r>
      <w:r w:rsidR="00C357CD" w:rsidRPr="00DA405F">
        <w:rPr>
          <w:rFonts w:ascii="Times New Roman" w:eastAsiaTheme="minorEastAsia" w:hAnsi="Times New Roman" w:cs="Times New Roman"/>
          <w:iCs/>
          <w:color w:val="242729"/>
          <w:sz w:val="24"/>
          <w:szCs w:val="24"/>
          <w:shd w:val="clear" w:color="auto" w:fill="FFFFFF"/>
        </w:rPr>
        <w:t xml:space="preserve">scale </w:t>
      </w:r>
      <w:r w:rsidR="00B5113D" w:rsidRPr="00DA405F">
        <w:rPr>
          <w:rFonts w:ascii="Times New Roman" w:eastAsiaTheme="minorEastAsia" w:hAnsi="Times New Roman" w:cs="Times New Roman"/>
          <w:iCs/>
          <w:color w:val="242729"/>
          <w:sz w:val="24"/>
          <w:szCs w:val="24"/>
          <w:shd w:val="clear" w:color="auto" w:fill="FFFFFF"/>
        </w:rPr>
        <w:t>the prediction error term inside the brackets</w:t>
      </w:r>
      <w:r w:rsidR="00637F34" w:rsidRPr="00DA405F">
        <w:rPr>
          <w:rFonts w:ascii="Times New Roman" w:eastAsiaTheme="minorEastAsia" w:hAnsi="Times New Roman" w:cs="Times New Roman"/>
          <w:iCs/>
          <w:color w:val="242729"/>
          <w:sz w:val="24"/>
          <w:szCs w:val="24"/>
          <w:shd w:val="clear" w:color="auto" w:fill="FFFFFF"/>
        </w:rPr>
        <w:t xml:space="preserve">; the difference between the maximum associative strength </w:t>
      </w:r>
      <m:oMath>
        <m:r>
          <m:rPr>
            <m:sty m:val="bi"/>
          </m:rPr>
          <w:rPr>
            <w:rFonts w:ascii="Cambria Math" w:eastAsiaTheme="minorEastAsia" w:hAnsi="Cambria Math" w:cs="Times New Roman"/>
            <w:color w:val="242729"/>
            <w:sz w:val="24"/>
            <w:szCs w:val="24"/>
            <w:shd w:val="clear" w:color="auto" w:fill="FFFFFF"/>
          </w:rPr>
          <m:t>λ</m:t>
        </m:r>
      </m:oMath>
      <w:r w:rsidR="00637F34" w:rsidRPr="00DA405F">
        <w:rPr>
          <w:rFonts w:ascii="Times New Roman" w:eastAsiaTheme="minorEastAsia" w:hAnsi="Times New Roman" w:cs="Times New Roman"/>
          <w:iCs/>
          <w:color w:val="242729"/>
          <w:sz w:val="24"/>
          <w:szCs w:val="24"/>
          <w:shd w:val="clear" w:color="auto" w:fill="FFFFFF"/>
        </w:rPr>
        <w:t xml:space="preserve"> and the combined sum of associative strength for all stimuli present </w:t>
      </w:r>
      <m:oMath>
        <m:nary>
          <m:naryPr>
            <m:chr m:val="∑"/>
            <m:limLoc m:val="undOvr"/>
            <m:subHide m:val="1"/>
            <m:supHide m:val="1"/>
            <m:ctrlPr>
              <w:rPr>
                <w:rFonts w:ascii="Cambria Math" w:eastAsiaTheme="minorEastAsia" w:hAnsi="Cambria Math" w:cs="Times New Roman"/>
                <w:b/>
                <w:bCs/>
                <w:i/>
                <w:iCs/>
                <w:color w:val="242729"/>
                <w:sz w:val="24"/>
                <w:szCs w:val="24"/>
                <w:shd w:val="clear" w:color="auto" w:fill="FFFFFF"/>
              </w:rPr>
            </m:ctrlPr>
          </m:naryPr>
          <m:sub/>
          <m:sup/>
          <m:e>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all</m:t>
                </m:r>
              </m:sub>
            </m:sSub>
          </m:e>
        </m:nary>
      </m:oMath>
      <w:r w:rsidR="00B5113D" w:rsidRPr="00DA405F">
        <w:rPr>
          <w:rFonts w:ascii="Times New Roman" w:eastAsiaTheme="minorEastAsia" w:hAnsi="Times New Roman" w:cs="Times New Roman"/>
          <w:iCs/>
          <w:color w:val="242729"/>
          <w:sz w:val="24"/>
          <w:szCs w:val="24"/>
          <w:shd w:val="clear" w:color="auto" w:fill="FFFFFF"/>
        </w:rPr>
        <w:t>.</w:t>
      </w:r>
      <w:r w:rsidR="00637F34" w:rsidRPr="00DA405F">
        <w:rPr>
          <w:rFonts w:ascii="Times New Roman" w:eastAsiaTheme="minorEastAsia" w:hAnsi="Times New Roman" w:cs="Times New Roman"/>
          <w:iCs/>
          <w:color w:val="242729"/>
          <w:sz w:val="24"/>
          <w:szCs w:val="24"/>
          <w:shd w:val="clear" w:color="auto" w:fill="FFFFFF"/>
        </w:rPr>
        <w:t xml:space="preserve"> I.e., the change in associative strength on trial </w:t>
      </w:r>
      <m:oMath>
        <m:r>
          <m:rPr>
            <m:sty m:val="bi"/>
          </m:rPr>
          <w:rPr>
            <w:rFonts w:ascii="Cambria Math" w:eastAsiaTheme="minorEastAsia" w:hAnsi="Cambria Math" w:cs="Times New Roman"/>
            <w:color w:val="242729"/>
            <w:sz w:val="24"/>
            <w:szCs w:val="24"/>
            <w:shd w:val="clear" w:color="auto" w:fill="FFFFFF"/>
          </w:rPr>
          <m:t>n</m:t>
        </m:r>
      </m:oMath>
      <w:r w:rsidR="00637F34" w:rsidRPr="00DA405F">
        <w:rPr>
          <w:rFonts w:ascii="Times New Roman" w:eastAsiaTheme="minorEastAsia" w:hAnsi="Times New Roman" w:cs="Times New Roman"/>
          <w:iCs/>
          <w:color w:val="242729"/>
          <w:sz w:val="24"/>
          <w:szCs w:val="24"/>
          <w:shd w:val="clear" w:color="auto" w:fill="FFFFFF"/>
        </w:rPr>
        <w:t xml:space="preserve"> is proportional to the </w:t>
      </w:r>
      <w:r w:rsidR="00CF2A88" w:rsidRPr="00DA405F">
        <w:rPr>
          <w:rFonts w:ascii="Times New Roman" w:eastAsiaTheme="minorEastAsia" w:hAnsi="Times New Roman" w:cs="Times New Roman"/>
          <w:iCs/>
          <w:color w:val="242729"/>
          <w:sz w:val="24"/>
          <w:szCs w:val="24"/>
          <w:shd w:val="clear" w:color="auto" w:fill="FFFFFF"/>
        </w:rPr>
        <w:t>difference between what is expected</w:t>
      </w:r>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λ</m:t>
        </m:r>
      </m:oMath>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b/>
          <w:bCs/>
          <w:iCs/>
          <w:color w:val="242729"/>
          <w:sz w:val="24"/>
          <w:szCs w:val="24"/>
          <w:shd w:val="clear" w:color="auto" w:fill="FFFFFF"/>
        </w:rPr>
        <w:t xml:space="preserve"> </w:t>
      </w:r>
      <w:r w:rsidR="00CF2A88" w:rsidRPr="00DA405F">
        <w:rPr>
          <w:rFonts w:ascii="Times New Roman" w:eastAsiaTheme="minorEastAsia" w:hAnsi="Times New Roman" w:cs="Times New Roman"/>
          <w:iCs/>
          <w:color w:val="242729"/>
          <w:sz w:val="24"/>
          <w:szCs w:val="24"/>
          <w:shd w:val="clear" w:color="auto" w:fill="FFFFFF"/>
        </w:rPr>
        <w:t>and what actually happens</w:t>
      </w:r>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iCs/>
          <w:color w:val="242729"/>
          <w:sz w:val="24"/>
          <w:szCs w:val="24"/>
          <w:shd w:val="clear" w:color="auto" w:fill="FFFFFF"/>
        </w:rPr>
        <w:t xml:space="preserve"> </w:t>
      </w:r>
      <m:oMath>
        <m:nary>
          <m:naryPr>
            <m:chr m:val="∑"/>
            <m:limLoc m:val="undOvr"/>
            <m:subHide m:val="1"/>
            <m:supHide m:val="1"/>
            <m:ctrlPr>
              <w:rPr>
                <w:rFonts w:ascii="Cambria Math" w:eastAsiaTheme="minorEastAsia" w:hAnsi="Cambria Math" w:cs="Times New Roman"/>
                <w:b/>
                <w:bCs/>
                <w:i/>
                <w:iCs/>
                <w:color w:val="242729"/>
                <w:sz w:val="24"/>
                <w:szCs w:val="24"/>
                <w:shd w:val="clear" w:color="auto" w:fill="FFFFFF"/>
              </w:rPr>
            </m:ctrlPr>
          </m:naryPr>
          <m:sub/>
          <m:sup/>
          <m:e>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all</m:t>
                </m:r>
              </m:sub>
            </m:sSub>
          </m:e>
        </m:nary>
      </m:oMath>
      <w:r w:rsidR="00CF2A88" w:rsidRPr="00DA405F">
        <w:rPr>
          <w:rFonts w:ascii="Times New Roman" w:eastAsiaTheme="minorEastAsia" w:hAnsi="Times New Roman" w:cs="Times New Roman"/>
          <w:iCs/>
          <w:color w:val="242729"/>
          <w:sz w:val="24"/>
          <w:szCs w:val="24"/>
          <w:shd w:val="clear" w:color="auto" w:fill="FFFFFF"/>
        </w:rPr>
        <w:t>.</w:t>
      </w:r>
    </w:p>
    <w:p w14:paraId="5C90A055" w14:textId="64D39015" w:rsidR="00702B0A" w:rsidRPr="00DA405F" w:rsidRDefault="00056A01"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The success of the Rescorla-Wagner model in predicting empirical learning findings such as overshadowing (the stronger conditioning to the most salient of </w:t>
      </w:r>
      <w:r w:rsidR="004C59BC" w:rsidRPr="00DA405F">
        <w:rPr>
          <w:rFonts w:ascii="Times New Roman" w:eastAsiaTheme="minorEastAsia" w:hAnsi="Times New Roman" w:cs="Times New Roman"/>
          <w:iCs/>
          <w:color w:val="242729"/>
          <w:sz w:val="24"/>
          <w:szCs w:val="24"/>
          <w:shd w:val="clear" w:color="auto" w:fill="FFFFFF"/>
        </w:rPr>
        <w:t xml:space="preserve">group of conditioned stimuli) and blocking (the deficit in conditioning to a second conditioned stimuli when paired with an already perfectly conditioned stimulus; </w:t>
      </w:r>
      <w:r w:rsidR="004C59BC" w:rsidRPr="00DA405F">
        <w:rPr>
          <w:rFonts w:ascii="Times New Roman" w:eastAsiaTheme="minorEastAsia" w:hAnsi="Times New Roman" w:cs="Times New Roman"/>
          <w:iCs/>
          <w:color w:val="242729"/>
          <w:sz w:val="24"/>
          <w:szCs w:val="24"/>
          <w:shd w:val="clear" w:color="auto" w:fill="FFFFFF"/>
        </w:rPr>
        <w:fldChar w:fldCharType="begin" w:fldLock="1"/>
      </w:r>
      <w:r w:rsidR="00702B0A" w:rsidRPr="00DA405F">
        <w:rPr>
          <w:rFonts w:ascii="Times New Roman" w:eastAsiaTheme="minorEastAsia" w:hAnsi="Times New Roman" w:cs="Times New Roman"/>
          <w:iCs/>
          <w:color w:val="242729"/>
          <w:sz w:val="24"/>
          <w:szCs w:val="24"/>
          <w:shd w:val="clear" w:color="auto" w:fill="FFFFFF"/>
        </w:rPr>
        <w:instrText>ADDIN CSL_CITATION {"citationItems":[{"id":"ITEM-1","itemData":{"DOI":"10.1037//0033-2909.117.3.363","ISSN":"0033-2909","author":[{"dropping-particle":"","family":"Miller","given":"Ralph R.","non-dropping-particle":"","parse-names":false,"suffix":""},{"dropping-particle":"","family":"Barnet","given":"Robert C.","non-dropping-particle":"","parse-names":false,"suffix":""},{"dropping-particle":"","family":"Grahame","given":"Nicholas J.","non-dropping-particle":"","parse-names":false,"suffix":""}],"container-title":"Psychological Bulletin","id":"ITEM-1","issue":"3","issued":{"date-parts":[["1995"]]},"page":"363-386","title":"Assessment of the Rescorla-Wagner model.","type":"article-journal","volume":"117"},"uris":["http://www.mendeley.com/documents/?uuid=12301c0f-7324-46c4-addf-3d3bf8560273"]}],"mendeley":{"formattedCitation":"(Miller et al., 1995)","manualFormatting":"Miller et al., 1995","plainTextFormattedCitation":"(Miller et al., 1995)","previouslyFormattedCitation":"(Miller et al., 1995)"},"properties":{"noteIndex":0},"schema":"https://github.com/citation-style-language/schema/raw/master/csl-citation.json"}</w:instrText>
      </w:r>
      <w:r w:rsidR="004C59BC" w:rsidRPr="00DA405F">
        <w:rPr>
          <w:rFonts w:ascii="Times New Roman" w:eastAsiaTheme="minorEastAsia" w:hAnsi="Times New Roman" w:cs="Times New Roman"/>
          <w:iCs/>
          <w:color w:val="242729"/>
          <w:sz w:val="24"/>
          <w:szCs w:val="24"/>
          <w:shd w:val="clear" w:color="auto" w:fill="FFFFFF"/>
        </w:rPr>
        <w:fldChar w:fldCharType="separate"/>
      </w:r>
      <w:r w:rsidR="004C59BC" w:rsidRPr="00DA405F">
        <w:rPr>
          <w:rFonts w:ascii="Times New Roman" w:eastAsiaTheme="minorEastAsia" w:hAnsi="Times New Roman" w:cs="Times New Roman"/>
          <w:iCs/>
          <w:noProof/>
          <w:color w:val="242729"/>
          <w:sz w:val="24"/>
          <w:szCs w:val="24"/>
          <w:shd w:val="clear" w:color="auto" w:fill="FFFFFF"/>
        </w:rPr>
        <w:t>Miller et al., 1995</w:t>
      </w:r>
      <w:r w:rsidR="004C59BC" w:rsidRPr="00DA405F">
        <w:rPr>
          <w:rFonts w:ascii="Times New Roman" w:eastAsiaTheme="minorEastAsia" w:hAnsi="Times New Roman" w:cs="Times New Roman"/>
          <w:iCs/>
          <w:color w:val="242729"/>
          <w:sz w:val="24"/>
          <w:szCs w:val="24"/>
          <w:shd w:val="clear" w:color="auto" w:fill="FFFFFF"/>
        </w:rPr>
        <w:fldChar w:fldCharType="end"/>
      </w:r>
      <w:r w:rsidR="004C59BC" w:rsidRPr="00DA405F">
        <w:rPr>
          <w:rFonts w:ascii="Times New Roman" w:eastAsiaTheme="minorEastAsia" w:hAnsi="Times New Roman" w:cs="Times New Roman"/>
          <w:iCs/>
          <w:color w:val="242729"/>
          <w:sz w:val="24"/>
          <w:szCs w:val="24"/>
          <w:shd w:val="clear" w:color="auto" w:fill="FFFFFF"/>
        </w:rPr>
        <w:t>)</w:t>
      </w:r>
      <w:r w:rsidR="00FF36E0" w:rsidRPr="00DA405F">
        <w:rPr>
          <w:rFonts w:ascii="Times New Roman" w:eastAsiaTheme="minorEastAsia" w:hAnsi="Times New Roman" w:cs="Times New Roman"/>
          <w:iCs/>
          <w:color w:val="242729"/>
          <w:sz w:val="24"/>
          <w:szCs w:val="24"/>
          <w:shd w:val="clear" w:color="auto" w:fill="FFFFFF"/>
        </w:rPr>
        <w:t xml:space="preserve">. </w:t>
      </w:r>
    </w:p>
    <w:p w14:paraId="4B66FF1F" w14:textId="7D91D9A3" w:rsidR="00E57644" w:rsidRPr="00DA405F" w:rsidRDefault="00702B0A"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This model was the foundation of later ‘temporal-difference’</w:t>
      </w:r>
      <w:r w:rsidR="006177AD" w:rsidRPr="00DA405F">
        <w:rPr>
          <w:rFonts w:ascii="Times New Roman" w:eastAsiaTheme="minorEastAsia" w:hAnsi="Times New Roman" w:cs="Times New Roman"/>
          <w:iCs/>
          <w:color w:val="242729"/>
          <w:sz w:val="24"/>
          <w:szCs w:val="24"/>
          <w:shd w:val="clear" w:color="auto" w:fill="FFFFFF"/>
        </w:rPr>
        <w:t xml:space="preserve"> (TD)</w:t>
      </w:r>
      <w:r w:rsidRPr="00DA405F">
        <w:rPr>
          <w:rFonts w:ascii="Times New Roman" w:eastAsiaTheme="minorEastAsia" w:hAnsi="Times New Roman" w:cs="Times New Roman"/>
          <w:iCs/>
          <w:color w:val="242729"/>
          <w:sz w:val="24"/>
          <w:szCs w:val="24"/>
          <w:shd w:val="clear" w:color="auto" w:fill="FFFFFF"/>
        </w:rPr>
        <w:t xml:space="preserve"> models which made two important contributions relevant for the neuroscientific study of utility  </w:t>
      </w:r>
      <w:r w:rsidRPr="00DA405F">
        <w:rPr>
          <w:rFonts w:ascii="Times New Roman" w:eastAsiaTheme="minorEastAsia" w:hAnsi="Times New Roman" w:cs="Times New Roman"/>
          <w:iCs/>
          <w:color w:val="242729"/>
          <w:sz w:val="24"/>
          <w:szCs w:val="24"/>
          <w:shd w:val="clear" w:color="auto" w:fill="FFFFFF"/>
        </w:rPr>
        <w:fldChar w:fldCharType="begin" w:fldLock="1"/>
      </w:r>
      <w:r w:rsidR="009444D6" w:rsidRPr="00DA405F">
        <w:rPr>
          <w:rFonts w:ascii="Times New Roman" w:eastAsiaTheme="minorEastAsia" w:hAnsi="Times New Roman" w:cs="Times New Roman"/>
          <w:iCs/>
          <w:color w:val="242729"/>
          <w:sz w:val="24"/>
          <w:szCs w:val="24"/>
          <w:shd w:val="clear" w:color="auto" w:fill="FFFFFF"/>
        </w:rPr>
        <w:instrText>ADDIN CSL_CITATION {"citationItems":[{"id":"ITEM-1","itemData":{"DOI":"10.1037/0033-295X.88.2.135","ISSN":"0033295X","PMID":"7291377","abstract":"Many adaptive neural network (AN) theories are based on neuronlike adaptive elements that can behave as single unit analogs of associative conditioning. This article describes a similar adaptive element, but one that is more closely in accord with the facts of animal learning theory than elements commonly studied in AN research. It is suggested that an essential feature of classical conditioning that has been largely overlooked by AN theorists is its predictive nature. The adaptive element learns to increase its response rate in anticipation of increased stimulation, producing a CR before the occurrence of the UCS. The element also is in strong agreement with the behavioral data regarding the effects of stimulus context, since it is a temporally refined extension of the model proposed by R. A. Rescorla and A. R. Wagner (1972). Computer simulation demonstrates that the element becomes sensitive to the most reliable, nonredundant, and earliest predictors of reinforcement. The model is discussed in light of recent advances in the physiology and biochemistry of synaptic mechanisms. (21/2 p ref) (PsycINFO Database Record (c) 2006 APA, all rights reserved). © 1981 American Psychological Association.","author":[{"dropping-particle":"","family":"Sutton","given":"Richard S.","non-dropping-particle":"","parse-names":false,"suffix":""},{"dropping-particle":"","family":"Barto","given":"Andrew G.","non-dropping-particle":"","parse-names":false,"suffix":""}],"container-title":"Psychological Review","id":"ITEM-1","issue":"2","issued":{"date-parts":[["1981"]]},"page":"135-170","title":"Toward a modern theory of adaptive networks: Expectation and prediction","type":"article","volume":"88"},"uris":["http://www.mendeley.com/documents/?uuid=c5931f9d-18b2-4337-b700-5ae074fafc09"]},{"id":"ITEM-2","itemData":{"DOI":"10.3758/s13420-012-0082-6","ISSN":"15434494","PMID":"22927003","abstract":"The temporal-difference (TD) algorithm from reinforcement learning provides a simple method for incrementally learning predictions of upcoming events. Applied to classical conditioning, TD models suppose that animals learn a real-time prediction of the unconditioned stimulus (US) on the basis of all available conditioned stimuli (CSs). In the TD model, similar to other error-correction models, learning is driven by prediction errors-the difference between the change in US prediction and the actual US. With the TD model, however, learning occurs continuously from moment to moment and is not artificially constrained to occur in trials. Accordingly, a key feature of any TD model is the assumption about the representation of a CS on a moment-to-moment basis. Here, we evaluate the performance of the TD model with a heretofore unexplored range of classical conditioning tasks. To do so, we consider three stimulus representations that vary in their degree of temporal generalization and evaluate how the representation influences the performance of the TD model on these conditioning tasks. © Psychonomic Society, Inc. 2012.","author":[{"dropping-particle":"","family":"Ludvig","given":"Elliot A.","non-dropping-particle":"","parse-names":false,"suffix":""},{"dropping-particle":"","family":"Sutton","given":"Richard S.","non-dropping-particle":"","parse-names":false,"suffix":""},{"dropping-particle":"","family":"Kehoe","given":"E. James","non-dropping-particle":"","parse-names":false,"suffix":""}],"container-title":"Learning and Behavior","id":"ITEM-2","issue":"3","issued":{"date-parts":[["2012"]]},"page":"305-319","title":"Evaluating the TD model of classical conditioning","type":"article-journal","volume":"40"},"uris":["http://www.mendeley.com/documents/?uuid=b05d848b-ab1d-4643-9bdd-e659cb9cb7cf"]}],"mendeley":{"formattedCitation":"(Ludvig et al., 2012; Sutton &amp; Barto, 1981)","plainTextFormattedCitation":"(Ludvig et al., 2012; Sutton &amp; Barto, 1981)","previouslyFormattedCitation":"(Ludvig et al., 2012; Sutton &amp; Barto, 1981)"},"properties":{"noteIndex":0},"schema":"https://github.com/citation-style-language/schema/raw/master/csl-citation.json"}</w:instrText>
      </w:r>
      <w:r w:rsidRPr="00DA405F">
        <w:rPr>
          <w:rFonts w:ascii="Times New Roman" w:eastAsiaTheme="minorEastAsia" w:hAnsi="Times New Roman" w:cs="Times New Roman"/>
          <w:iCs/>
          <w:color w:val="242729"/>
          <w:sz w:val="24"/>
          <w:szCs w:val="24"/>
          <w:shd w:val="clear" w:color="auto" w:fill="FFFFFF"/>
        </w:rPr>
        <w:fldChar w:fldCharType="separate"/>
      </w:r>
      <w:r w:rsidRPr="00DA405F">
        <w:rPr>
          <w:rFonts w:ascii="Times New Roman" w:eastAsiaTheme="minorEastAsia" w:hAnsi="Times New Roman" w:cs="Times New Roman"/>
          <w:iCs/>
          <w:noProof/>
          <w:color w:val="242729"/>
          <w:sz w:val="24"/>
          <w:szCs w:val="24"/>
          <w:shd w:val="clear" w:color="auto" w:fill="FFFFFF"/>
        </w:rPr>
        <w:t>(Ludvig et al., 2012; Sutton &amp; Barto, 1981)</w:t>
      </w:r>
      <w:r w:rsidRPr="00DA405F">
        <w:rPr>
          <w:rFonts w:ascii="Times New Roman" w:eastAsiaTheme="minorEastAsia" w:hAnsi="Times New Roman" w:cs="Times New Roman"/>
          <w:iCs/>
          <w:color w:val="242729"/>
          <w:sz w:val="24"/>
          <w:szCs w:val="24"/>
          <w:shd w:val="clear" w:color="auto" w:fill="FFFFFF"/>
        </w:rPr>
        <w:fldChar w:fldCharType="end"/>
      </w:r>
      <w:r w:rsidRPr="00DA405F">
        <w:rPr>
          <w:rFonts w:ascii="Times New Roman" w:eastAsiaTheme="minorEastAsia" w:hAnsi="Times New Roman" w:cs="Times New Roman"/>
          <w:iCs/>
          <w:color w:val="242729"/>
          <w:sz w:val="24"/>
          <w:szCs w:val="24"/>
          <w:shd w:val="clear" w:color="auto" w:fill="FFFFFF"/>
        </w:rPr>
        <w:t xml:space="preserve">. </w:t>
      </w:r>
      <w:r w:rsidR="00017949" w:rsidRPr="00DA405F">
        <w:rPr>
          <w:rFonts w:ascii="Times New Roman" w:eastAsiaTheme="minorEastAsia" w:hAnsi="Times New Roman" w:cs="Times New Roman"/>
          <w:iCs/>
          <w:color w:val="242729"/>
          <w:sz w:val="24"/>
          <w:szCs w:val="24"/>
          <w:shd w:val="clear" w:color="auto" w:fill="FFFFFF"/>
        </w:rPr>
        <w:t>First, the Rescorla-Wagner model treats the trial as the unit of time, which is unsuitable for physiological learning which must happen continuously</w:t>
      </w:r>
      <w:r w:rsidR="00054FAB" w:rsidRPr="00DA405F">
        <w:rPr>
          <w:rFonts w:ascii="Times New Roman" w:eastAsiaTheme="minorEastAsia" w:hAnsi="Times New Roman" w:cs="Times New Roman"/>
          <w:iCs/>
          <w:color w:val="242729"/>
          <w:sz w:val="24"/>
          <w:szCs w:val="24"/>
          <w:shd w:val="clear" w:color="auto" w:fill="FFFFFF"/>
        </w:rPr>
        <w:t xml:space="preserve"> in real-time</w:t>
      </w:r>
      <w:r w:rsidR="00017949" w:rsidRPr="00DA405F">
        <w:rPr>
          <w:rFonts w:ascii="Times New Roman" w:eastAsiaTheme="minorEastAsia" w:hAnsi="Times New Roman" w:cs="Times New Roman"/>
          <w:iCs/>
          <w:color w:val="242729"/>
          <w:sz w:val="24"/>
          <w:szCs w:val="24"/>
          <w:shd w:val="clear" w:color="auto" w:fill="FFFFFF"/>
        </w:rPr>
        <w:t>.</w:t>
      </w:r>
      <w:r w:rsidR="00054FAB" w:rsidRPr="00DA405F">
        <w:rPr>
          <w:rFonts w:ascii="Times New Roman" w:eastAsiaTheme="minorEastAsia" w:hAnsi="Times New Roman" w:cs="Times New Roman"/>
          <w:iCs/>
          <w:color w:val="242729"/>
          <w:sz w:val="24"/>
          <w:szCs w:val="24"/>
          <w:shd w:val="clear" w:color="auto" w:fill="FFFFFF"/>
        </w:rPr>
        <w:t xml:space="preserve"> </w:t>
      </w:r>
      <w:r w:rsidR="00F10BA6" w:rsidRPr="00DA405F">
        <w:rPr>
          <w:rFonts w:ascii="Times New Roman" w:eastAsiaTheme="minorEastAsia" w:hAnsi="Times New Roman" w:cs="Times New Roman"/>
          <w:iCs/>
          <w:color w:val="242729"/>
          <w:sz w:val="24"/>
          <w:szCs w:val="24"/>
          <w:shd w:val="clear" w:color="auto" w:fill="FFFFFF"/>
        </w:rPr>
        <w:t>It is conceivable that something learnt in the first half of a trial might be vital in the later half</w:t>
      </w:r>
      <w:r w:rsidR="006177AD" w:rsidRPr="00DA405F">
        <w:rPr>
          <w:rFonts w:ascii="Times New Roman" w:eastAsiaTheme="minorEastAsia" w:hAnsi="Times New Roman" w:cs="Times New Roman"/>
          <w:iCs/>
          <w:color w:val="242729"/>
          <w:sz w:val="24"/>
          <w:szCs w:val="24"/>
          <w:shd w:val="clear" w:color="auto" w:fill="FFFFFF"/>
        </w:rPr>
        <w:t>, or even on some later trial</w:t>
      </w:r>
      <w:r w:rsidR="00F10BA6" w:rsidRPr="00DA405F">
        <w:rPr>
          <w:rFonts w:ascii="Times New Roman" w:eastAsiaTheme="minorEastAsia" w:hAnsi="Times New Roman" w:cs="Times New Roman"/>
          <w:iCs/>
          <w:color w:val="242729"/>
          <w:sz w:val="24"/>
          <w:szCs w:val="24"/>
          <w:shd w:val="clear" w:color="auto" w:fill="FFFFFF"/>
        </w:rPr>
        <w:t>. Secondly,</w:t>
      </w:r>
      <w:r w:rsidR="006177AD" w:rsidRPr="00DA405F">
        <w:rPr>
          <w:rFonts w:ascii="Times New Roman" w:eastAsiaTheme="minorEastAsia" w:hAnsi="Times New Roman" w:cs="Times New Roman"/>
          <w:iCs/>
          <w:color w:val="242729"/>
          <w:sz w:val="24"/>
          <w:szCs w:val="24"/>
          <w:shd w:val="clear" w:color="auto" w:fill="FFFFFF"/>
        </w:rPr>
        <w:t xml:space="preserve"> TD models employ a Markov approach to updating</w:t>
      </w:r>
      <w:r w:rsidR="009444D6" w:rsidRPr="00DA405F">
        <w:rPr>
          <w:rFonts w:ascii="Times New Roman" w:eastAsiaTheme="minorEastAsia" w:hAnsi="Times New Roman" w:cs="Times New Roman"/>
          <w:iCs/>
          <w:color w:val="242729"/>
          <w:sz w:val="24"/>
          <w:szCs w:val="24"/>
          <w:shd w:val="clear" w:color="auto" w:fill="FFFFFF"/>
        </w:rPr>
        <w:t xml:space="preserve"> predictions where the difference in predictions at each time step are compared to each other and then to the unconditioned stimulus, also referred to as ‘second order conditioning’ </w:t>
      </w:r>
      <w:r w:rsidR="009444D6" w:rsidRPr="00DA405F">
        <w:rPr>
          <w:rFonts w:ascii="Times New Roman" w:eastAsiaTheme="minorEastAsia" w:hAnsi="Times New Roman" w:cs="Times New Roman"/>
          <w:iCs/>
          <w:color w:val="242729"/>
          <w:sz w:val="24"/>
          <w:szCs w:val="24"/>
          <w:shd w:val="clear" w:color="auto" w:fill="FFFFFF"/>
        </w:rPr>
        <w:fldChar w:fldCharType="begin" w:fldLock="1"/>
      </w:r>
      <w:r w:rsidR="009444D6" w:rsidRPr="00DA405F">
        <w:rPr>
          <w:rFonts w:ascii="Times New Roman" w:eastAsiaTheme="minorEastAsia" w:hAnsi="Times New Roman" w:cs="Times New Roman"/>
          <w:iCs/>
          <w:color w:val="242729"/>
          <w:sz w:val="24"/>
          <w:szCs w:val="24"/>
          <w:shd w:val="clear" w:color="auto" w:fill="FFFFFF"/>
        </w:rPr>
        <w:instrText>ADDIN CSL_CITATION {"citationItems":[{"id":"ITEM-1","itemData":{"ISBN":"0262071029","ISSN":"0262071029","abstract":"(from the chapter) presents a model of classical conditioning called the temporal-difference (TD) model # analyze it from the point of view of animal learning theory /// focus here on what we see as the primary theoretical contribution to animal learning theory of the TD and related models: the hypothesis that reinforcement in classical conditioning is the time derivative of a composite association combining innate (US) and acquired (CS) associations # explore relationships with animal learning theories of reinforcement /// the TD model was designed to eliminate ...problems by relying on a slightly more complex time-derivative theory of reinforcement # motivate and explain this theory from the point of view of animal learning theory and show that the TD model solves the ISI (interstimulus interval) problems and other problems with simpler time-derivative models # demonstrate the TD model's behavior in a range of conditioning paradigms, including conditioned inhibition, primacy effects ...facilitation of remote associations, and second-order conditioning","author":[{"dropping-particle":"","family":"Sutton","given":"Richard S","non-dropping-particle":"","parse-names":false,"suffix":""},{"dropping-particle":"","family":"Barto","given":"Andrew G","non-dropping-particle":"","parse-names":false,"suffix":""}],"container-title":"Learning and Computational Neuroscience: Foundations of Adaptive Networks","id":"ITEM-1","issue":"Mowrer 1960","issued":{"date-parts":[["1990"]]},"page":"497-537","title":"Time-Derivative Models of Pavlovian Reinforcement","type":"article-journal"},"uris":["http://www.mendeley.com/documents/?uuid=bdfedb6d-9cea-4845-b11a-196a25edd255"]}],"mendeley":{"formattedCitation":"(Sutton &amp; Barto, 1990)","plainTextFormattedCitation":"(Sutton &amp; Barto, 1990)","previouslyFormattedCitation":"(Sutton &amp; Barto, 1990)"},"properties":{"noteIndex":0},"schema":"https://github.com/citation-style-language/schema/raw/master/csl-citation.json"}</w:instrText>
      </w:r>
      <w:r w:rsidR="009444D6" w:rsidRPr="00DA405F">
        <w:rPr>
          <w:rFonts w:ascii="Times New Roman" w:eastAsiaTheme="minorEastAsia" w:hAnsi="Times New Roman" w:cs="Times New Roman"/>
          <w:iCs/>
          <w:color w:val="242729"/>
          <w:sz w:val="24"/>
          <w:szCs w:val="24"/>
          <w:shd w:val="clear" w:color="auto" w:fill="FFFFFF"/>
        </w:rPr>
        <w:fldChar w:fldCharType="separate"/>
      </w:r>
      <w:r w:rsidR="009444D6" w:rsidRPr="00DA405F">
        <w:rPr>
          <w:rFonts w:ascii="Times New Roman" w:eastAsiaTheme="minorEastAsia" w:hAnsi="Times New Roman" w:cs="Times New Roman"/>
          <w:iCs/>
          <w:noProof/>
          <w:color w:val="242729"/>
          <w:sz w:val="24"/>
          <w:szCs w:val="24"/>
          <w:shd w:val="clear" w:color="auto" w:fill="FFFFFF"/>
        </w:rPr>
        <w:t>(Sutton &amp; Barto, 1990)</w:t>
      </w:r>
      <w:r w:rsidR="009444D6" w:rsidRPr="00DA405F">
        <w:rPr>
          <w:rFonts w:ascii="Times New Roman" w:eastAsiaTheme="minorEastAsia" w:hAnsi="Times New Roman" w:cs="Times New Roman"/>
          <w:iCs/>
          <w:color w:val="242729"/>
          <w:sz w:val="24"/>
          <w:szCs w:val="24"/>
          <w:shd w:val="clear" w:color="auto" w:fill="FFFFFF"/>
        </w:rPr>
        <w:fldChar w:fldCharType="end"/>
      </w:r>
      <w:r w:rsidR="009444D6" w:rsidRPr="00DA405F">
        <w:rPr>
          <w:rFonts w:ascii="Times New Roman" w:eastAsiaTheme="minorEastAsia" w:hAnsi="Times New Roman" w:cs="Times New Roman"/>
          <w:iCs/>
          <w:color w:val="242729"/>
          <w:sz w:val="24"/>
          <w:szCs w:val="24"/>
          <w:shd w:val="clear" w:color="auto" w:fill="FFFFFF"/>
        </w:rPr>
        <w:t xml:space="preserve">. For an intuitive example, consider an American Football team moving the ball down the pitch in separate plays (time-step) where the end result of each play carries a different future prediction of the unconditioned reward points </w:t>
      </w:r>
      <w:r w:rsidR="009444D6" w:rsidRPr="00DA405F">
        <w:rPr>
          <w:rFonts w:ascii="Times New Roman" w:eastAsiaTheme="minorEastAsia" w:hAnsi="Times New Roman" w:cs="Times New Roman"/>
          <w:iCs/>
          <w:color w:val="242729"/>
          <w:sz w:val="24"/>
          <w:szCs w:val="24"/>
          <w:shd w:val="clear" w:color="auto" w:fill="FFFFFF"/>
        </w:rPr>
        <w:fldChar w:fldCharType="begin" w:fldLock="1"/>
      </w:r>
      <w:r w:rsidR="00194300" w:rsidRPr="00DA405F">
        <w:rPr>
          <w:rFonts w:ascii="Times New Roman" w:eastAsiaTheme="minorEastAsia" w:hAnsi="Times New Roman" w:cs="Times New Roman"/>
          <w:iCs/>
          <w:color w:val="242729"/>
          <w:sz w:val="24"/>
          <w:szCs w:val="24"/>
          <w:shd w:val="clear" w:color="auto" w:fill="FFFFFF"/>
        </w:rPr>
        <w:instrText>ADDIN CSL_CITATION {"citationItems":[{"id":"ITEM-1","itemData":{"DOI":"10.1016/B978-0-12-416008-8.00015-2","ISBN":"9780124160088","abstract":"In order to choose advantageously in many circumstances, the values of choice alternatives have to be learned from experience. We provide an introduction to theoretical and experimental work on reinforcement learning, that is, trial-and-error learning to obtain rewards or avoid punishments. We introduce one version, the temporal-difference learning model, and review evidence that its predictions relate to the firing properties of midbrain dopamine neurons and to activity recorded with functional neuroimaging in humans. We also present evidence that this computational and neurophysiological mechanism affects human and animal behavior in decision and conditioning tasks. © 2014 Elsevier Inc. All rights reserved.","author":[{"dropping-particle":"","family":"Daw","given":"Nathaniel D.","non-dropping-particle":"","parse-names":false,"suffix":""},{"dropping-particle":"","family":"Tobler","given":"Philipe N.","non-dropping-particle":"","parse-names":false,"suffix":""}],"container-title":"Neuroeconomics: Decision Making and the Brain: Second Edition","id":"ITEM-1","issued":{"date-parts":[["2013"]]},"page":"283-298","title":"Value Learning through Reinforcement: The Basics of Dopamine and Reinforcement Learning","type":"article-journal"},"uris":["http://www.mendeley.com/documents/?uuid=66fcb138-3406-4900-a550-2641bc65306b"]}],"mendeley":{"formattedCitation":"(Daw &amp; Tobler, 2013)","plainTextFormattedCitation":"(Daw &amp; Tobler, 2013)","previouslyFormattedCitation":"(Daw &amp; Tobler, 2013)"},"properties":{"noteIndex":0},"schema":"https://github.com/citation-style-language/schema/raw/master/csl-citation.json"}</w:instrText>
      </w:r>
      <w:r w:rsidR="009444D6" w:rsidRPr="00DA405F">
        <w:rPr>
          <w:rFonts w:ascii="Times New Roman" w:eastAsiaTheme="minorEastAsia" w:hAnsi="Times New Roman" w:cs="Times New Roman"/>
          <w:iCs/>
          <w:color w:val="242729"/>
          <w:sz w:val="24"/>
          <w:szCs w:val="24"/>
          <w:shd w:val="clear" w:color="auto" w:fill="FFFFFF"/>
        </w:rPr>
        <w:fldChar w:fldCharType="separate"/>
      </w:r>
      <w:r w:rsidR="009444D6" w:rsidRPr="00DA405F">
        <w:rPr>
          <w:rFonts w:ascii="Times New Roman" w:eastAsiaTheme="minorEastAsia" w:hAnsi="Times New Roman" w:cs="Times New Roman"/>
          <w:iCs/>
          <w:noProof/>
          <w:color w:val="242729"/>
          <w:sz w:val="24"/>
          <w:szCs w:val="24"/>
          <w:shd w:val="clear" w:color="auto" w:fill="FFFFFF"/>
        </w:rPr>
        <w:t>(Daw &amp; Tobler, 2013)</w:t>
      </w:r>
      <w:r w:rsidR="009444D6" w:rsidRPr="00DA405F">
        <w:rPr>
          <w:rFonts w:ascii="Times New Roman" w:eastAsiaTheme="minorEastAsia" w:hAnsi="Times New Roman" w:cs="Times New Roman"/>
          <w:iCs/>
          <w:color w:val="242729"/>
          <w:sz w:val="24"/>
          <w:szCs w:val="24"/>
          <w:shd w:val="clear" w:color="auto" w:fill="FFFFFF"/>
        </w:rPr>
        <w:fldChar w:fldCharType="end"/>
      </w:r>
      <w:r w:rsidR="009444D6" w:rsidRPr="00DA405F">
        <w:rPr>
          <w:rFonts w:ascii="Times New Roman" w:eastAsiaTheme="minorEastAsia" w:hAnsi="Times New Roman" w:cs="Times New Roman"/>
          <w:iCs/>
          <w:color w:val="242729"/>
          <w:sz w:val="24"/>
          <w:szCs w:val="24"/>
          <w:shd w:val="clear" w:color="auto" w:fill="FFFFFF"/>
        </w:rPr>
        <w:t xml:space="preserve">. </w:t>
      </w:r>
    </w:p>
    <w:p w14:paraId="64A75720" w14:textId="11F4B742"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 xml:space="preserve">These theoretical models had a profound effect on the search for a neural substrate of reward when reconciled with electrophysiological recordings of non-human primate midbrain dopaminergic neurons (Schultz et al., 1997). Such dopaminergic neurons typically have stereotyped responses to unpredicted rewards showing phasic activity with a duration of less than 200ms and a latency of </w:t>
      </w:r>
      <w:r w:rsidR="00E26DBC">
        <w:rPr>
          <w:rFonts w:ascii="Times New Roman" w:hAnsi="Times New Roman" w:cs="Times New Roman"/>
          <w:iCs/>
          <w:color w:val="242729"/>
          <w:sz w:val="24"/>
          <w:szCs w:val="24"/>
        </w:rPr>
        <w:t>&lt;</w:t>
      </w:r>
      <w:r w:rsidRPr="00DA405F">
        <w:rPr>
          <w:rFonts w:ascii="Times New Roman" w:hAnsi="Times New Roman" w:cs="Times New Roman"/>
          <w:iCs/>
          <w:color w:val="242729"/>
          <w:sz w:val="24"/>
          <w:szCs w:val="24"/>
        </w:rPr>
        <w:t>100ms</w:t>
      </w:r>
      <w:r w:rsidR="00E26DBC">
        <w:rPr>
          <w:rFonts w:ascii="Times New Roman" w:hAnsi="Times New Roman" w:cs="Times New Roman"/>
          <w:iCs/>
          <w:color w:val="242729"/>
          <w:sz w:val="24"/>
          <w:szCs w:val="24"/>
        </w:rPr>
        <w:t xml:space="preserve"> </w:t>
      </w:r>
      <w:r w:rsidR="00E26DBC">
        <w:rPr>
          <w:rFonts w:ascii="Times New Roman" w:hAnsi="Times New Roman" w:cs="Times New Roman"/>
          <w:iCs/>
          <w:color w:val="242729"/>
          <w:sz w:val="24"/>
          <w:szCs w:val="24"/>
        </w:rPr>
        <w:fldChar w:fldCharType="begin" w:fldLock="1"/>
      </w:r>
      <w:r w:rsidR="002A1482">
        <w:rPr>
          <w:rFonts w:ascii="Times New Roman" w:hAnsi="Times New Roman" w:cs="Times New Roman"/>
          <w:iCs/>
          <w:color w:val="242729"/>
          <w:sz w:val="24"/>
          <w:szCs w:val="24"/>
        </w:rPr>
        <w:instrText>ADDIN CSL_CITATION {"citationItems":[{"id":"ITEM-1","itemData":{"DOI":"10.1152/jn.1992.67.1.145","ISSN":"00223077","PMID":"1552316","abstract":"Previous studies have shown that dopamine (DA) neurons respond to stimuli of behavioral significance, such as primary reward and conditioned stimuli predicting reward and eliciting behavioral reactions. The present study investigated how these responses develop and vary when the behavioral significance of stimuli changes during different stages of learning. Impulses from DA neurons were recorded with movable microelectrodes from areas A8, A9, and A10 in two awake monkeys during the successive acquisition of two behavioral tasks. Impulses of DA neurons were distinguished from other neurons by their long duration (1.8-5.0 ms) and low spontaneous frequency (0.5-7.0 imp/s). In the first task, animals learned to reach in a small box in front of them when it opened visibly and audibly. Before conditioning, DA neurons were activated the first few times that the empty box opened and animals reacted with saccadic eye movements. Neuronal and behavioral responses disappeared on repeated stimulus presentation. Thus neuronal responses were related to the novelty of an unexpected stimulus eliciting orienting behavior. Subsequently, the box contained a small morsel of apple in one out of six trials. Animals reacted with ocular saccades to nearly every box opening and reached out when the morsel was present. One-third of 49 neurons were phasically activated by every door opening. The response was stronger when food was present. Thus DA neurons responded simultaneously to the sight of primary food reward and to the conditioned stimulus associated with reward. When the box contained a morsel of apple on every trial, animals regularly reacted with target-directed eye and arm movements, and the majority of 76 DA neurons responded to door opening. The same neurons lacked responses to a light not associated with task performance that was illuminated at the position of the food box in alternate sessions, thus demonstrating specificity for the behavioral significance of stimuli. The second task employed the operant conditioning of a reaction time situation in which animals reached from a resting key toward a lever when a small light was illuminated. DA neurons lacked responses to the unconditioned light. During task acquisition lasting 2-3 days, one-half of 25 DA neurons were phasically activated when a drop of liquid reward was delivered for reinforcing the reaching movement. In contrast, neurons were not activated when reward was delivered at regular intervals (2.5-3.5 s) bu…","author":[{"dropping-particle":"","family":"Ljungberg","given":"T.","non-dropping-particle":"","parse-names":false,"suffix":""},{"dropping-particle":"","family":"Apicella","given":"P.","non-dropping-particle":"","parse-names":false,"suffix":""},{"dropping-particle":"","family":"Schultz","given":"W.","non-dropping-particle":"","parse-names":false,"suffix":""}],"container-title":"Journal of Neurophysiology","id":"ITEM-1","issue":"1","issued":{"date-parts":[["1992"]]},"page":"145-163","title":"Responses of monkey dopamine neurons during learning of behavioral reactions","type":"article-journal","volume":"67"},"uris":["http://www.mendeley.com/documents/?uuid=b2478035-07e4-44a9-82c8-75834dab5d69"]}],"mendeley":{"formattedCitation":"(Ljungberg et al., 1992)","plainTextFormattedCitation":"(Ljungberg et al., 1992)","previouslyFormattedCitation":"(Ljungberg et al., 1992)"},"properties":{"noteIndex":0},"schema":"https://github.com/citation-style-language/schema/raw/master/csl-citation.json"}</w:instrText>
      </w:r>
      <w:r w:rsidR="00E26DBC">
        <w:rPr>
          <w:rFonts w:ascii="Times New Roman" w:hAnsi="Times New Roman" w:cs="Times New Roman"/>
          <w:iCs/>
          <w:color w:val="242729"/>
          <w:sz w:val="24"/>
          <w:szCs w:val="24"/>
        </w:rPr>
        <w:fldChar w:fldCharType="separate"/>
      </w:r>
      <w:r w:rsidR="00E26DBC" w:rsidRPr="00E26DBC">
        <w:rPr>
          <w:rFonts w:ascii="Times New Roman" w:hAnsi="Times New Roman" w:cs="Times New Roman"/>
          <w:iCs/>
          <w:noProof/>
          <w:color w:val="242729"/>
          <w:sz w:val="24"/>
          <w:szCs w:val="24"/>
        </w:rPr>
        <w:t>(Ljungberg et al., 1992)</w:t>
      </w:r>
      <w:r w:rsidR="00E26DBC">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This activity scales with the magnitude (typically measured in ml of a pleasurable sugary juice) of reward, and with the reward's unpredictability</w:t>
      </w:r>
      <w:r w:rsidR="002A1482">
        <w:rPr>
          <w:rFonts w:ascii="Times New Roman" w:hAnsi="Times New Roman" w:cs="Times New Roman"/>
          <w:iCs/>
          <w:color w:val="242729"/>
          <w:sz w:val="24"/>
          <w:szCs w:val="24"/>
        </w:rPr>
        <w:t xml:space="preserve"> </w:t>
      </w:r>
      <w:r w:rsidR="002A1482">
        <w:rPr>
          <w:rFonts w:ascii="Times New Roman" w:hAnsi="Times New Roman" w:cs="Times New Roman"/>
          <w:iCs/>
          <w:color w:val="242729"/>
          <w:sz w:val="24"/>
          <w:szCs w:val="24"/>
        </w:rPr>
        <w:fldChar w:fldCharType="begin" w:fldLock="1"/>
      </w:r>
      <w:r w:rsidR="004F738D">
        <w:rPr>
          <w:rFonts w:ascii="Times New Roman" w:hAnsi="Times New Roman" w:cs="Times New Roman"/>
          <w:iCs/>
          <w:color w:val="242729"/>
          <w:sz w:val="24"/>
          <w:szCs w:val="24"/>
        </w:rPr>
        <w:instrText>ADDIN CSL_CITATION {"citationItems":[{"id":"ITEM-1","itemData":{"abstract":"The midbrain dopamine neurons are hypothesized to provide a physiological correlate of the reward prediction error signal required by current models of reinforcement learning. We examined the activity of single dopamine neurons during a task in which subjects learned by trial and error when to make an eye movement for a juice reward. We found that these neurons encoded the difference between the current reward and a weighted average of previous rewards, a reward prediction error, but only for outcomes that were better than expected. Thus, the firing rate of midbrain dopamine neurons is quantitatively predicted by theoretical descriptions of the reward prediction error signal used in reinforcement learning models for circumstances in which this signal has a positive value. We also found that the dopamine system continued to compute the reward prediction error even when the behavioral policy of the animal was only weakly influenced by this computation.","author":[{"dropping-particle":"","family":"Bayer","given":"H M","non-dropping-particle":"","parse-names":false,"suffix":""},{"dropping-particle":"","family":"Glimcher","given":"P W","non-dropping-particle":"","parse-names":false,"suffix":""}],"container-title":"Neuron","id":"ITEM-1","issue":"11","issued":{"date-parts":[["2005"]]},"page":"2304-2312","title":"Midbrain Dopamine Neurons Encode a Quantitative Reward Prediction Error Signal","type":"article-journal","volume":"103"},"uris":["http://www.mendeley.com/documents/?uuid=4cacb341-031d-473f-a51a-ea18be12912b"]}],"mendeley":{"formattedCitation":"(Bayer &amp; Glimcher, 2005)","plainTextFormattedCitation":"(Bayer &amp; Glimcher, 2005)","previouslyFormattedCitation":"(Bayer &amp; Glimcher, 2005)"},"properties":{"noteIndex":0},"schema":"https://github.com/citation-style-language/schema/raw/master/csl-citation.json"}</w:instrText>
      </w:r>
      <w:r w:rsidR="002A1482">
        <w:rPr>
          <w:rFonts w:ascii="Times New Roman" w:hAnsi="Times New Roman" w:cs="Times New Roman"/>
          <w:iCs/>
          <w:color w:val="242729"/>
          <w:sz w:val="24"/>
          <w:szCs w:val="24"/>
        </w:rPr>
        <w:fldChar w:fldCharType="separate"/>
      </w:r>
      <w:r w:rsidR="002A1482" w:rsidRPr="002A1482">
        <w:rPr>
          <w:rFonts w:ascii="Times New Roman" w:hAnsi="Times New Roman" w:cs="Times New Roman"/>
          <w:iCs/>
          <w:noProof/>
          <w:color w:val="242729"/>
          <w:sz w:val="24"/>
          <w:szCs w:val="24"/>
        </w:rPr>
        <w:t xml:space="preserve">(Bayer &amp; Glimcher, </w:t>
      </w:r>
      <w:r w:rsidR="002A1482" w:rsidRPr="002A1482">
        <w:rPr>
          <w:rFonts w:ascii="Times New Roman" w:hAnsi="Times New Roman" w:cs="Times New Roman"/>
          <w:iCs/>
          <w:noProof/>
          <w:color w:val="242729"/>
          <w:sz w:val="24"/>
          <w:szCs w:val="24"/>
        </w:rPr>
        <w:lastRenderedPageBreak/>
        <w:t>2005)</w:t>
      </w:r>
      <w:r w:rsidR="002A1482">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these neurons show the greatest increase in stimulus-related firing rate</w:t>
      </w:r>
      <w:r w:rsidRPr="00CD3967">
        <w:rPr>
          <w:rStyle w:val="FootnoteReference"/>
        </w:rPr>
        <w:footnoteReference w:id="9"/>
      </w:r>
      <w:r w:rsidRPr="00DA405F">
        <w:rPr>
          <w:rFonts w:ascii="Times New Roman" w:hAnsi="Times New Roman" w:cs="Times New Roman"/>
          <w:iCs/>
          <w:color w:val="242729"/>
          <w:sz w:val="24"/>
          <w:szCs w:val="24"/>
        </w:rPr>
        <w:t xml:space="preserve"> when the organism receives the most surprising, most preferred kind (e.g. flavour), and largest reward. Such responses of a single dopaminergic neuron to an unpredictable reward of juice recorded from the midbrain of a rhesus macaque over multiple trials are shown in figure 2a).</w:t>
      </w:r>
    </w:p>
    <w:p w14:paraId="0FCB4B8C" w14:textId="19370B0D"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Crucially, this 'quantitative encoding'</w:t>
      </w:r>
      <w:r w:rsidR="004F738D">
        <w:rPr>
          <w:rFonts w:ascii="Times New Roman" w:hAnsi="Times New Roman" w:cs="Times New Roman"/>
          <w:iCs/>
          <w:color w:val="242729"/>
          <w:sz w:val="24"/>
          <w:szCs w:val="24"/>
        </w:rPr>
        <w:t xml:space="preserve"> </w:t>
      </w:r>
      <w:r w:rsidR="004F738D">
        <w:rPr>
          <w:rFonts w:ascii="Times New Roman" w:hAnsi="Times New Roman" w:cs="Times New Roman"/>
          <w:iCs/>
          <w:color w:val="242729"/>
          <w:sz w:val="24"/>
          <w:szCs w:val="24"/>
        </w:rPr>
        <w:fldChar w:fldCharType="begin" w:fldLock="1"/>
      </w:r>
      <w:r w:rsidR="006F2716">
        <w:rPr>
          <w:rFonts w:ascii="Times New Roman" w:hAnsi="Times New Roman" w:cs="Times New Roman"/>
          <w:iCs/>
          <w:color w:val="242729"/>
          <w:sz w:val="24"/>
          <w:szCs w:val="24"/>
        </w:rPr>
        <w:instrText>ADDIN CSL_CITATION {"citationItems":[{"id":"ITEM-1","itemData":{"abstract":"The midbrain dopamine neurons are hypothesized to provide a physiological correlate of the reward prediction error signal required by current models of reinforcement learning. We examined the activity of single dopamine neurons during a task in which subjects learned by trial and error when to make an eye movement for a juice reward. We found that these neurons encoded the difference between the current reward and a weighted average of previous rewards, a reward prediction error, but only for outcomes that were better than expected. Thus, the firing rate of midbrain dopamine neurons is quantitatively predicted by theoretical descriptions of the reward prediction error signal used in reinforcement learning models for circumstances in which this signal has a positive value. We also found that the dopamine system continued to compute the reward prediction error even when the behavioral policy of the animal was only weakly influenced by this computation.","author":[{"dropping-particle":"","family":"Bayer","given":"H M","non-dropping-particle":"","parse-names":false,"suffix":""},{"dropping-particle":"","family":"Glimcher","given":"P W","non-dropping-particle":"","parse-names":false,"suffix":""}],"container-title":"Neuron","id":"ITEM-1","issue":"11","issued":{"date-parts":[["2005"]]},"page":"2304-2312","title":"Midbrain Dopamine Neurons Encode a Quantitative Reward Prediction Error Signal","type":"article-journal","volume":"103"},"uris":["http://www.mendeley.com/documents/?uuid=4cacb341-031d-473f-a51a-ea18be12912b"]}],"mendeley":{"formattedCitation":"(Bayer &amp; Glimcher, 2005)","plainTextFormattedCitation":"(Bayer &amp; Glimcher, 2005)","previouslyFormattedCitation":"(Bayer &amp; Glimcher, 2005)"},"properties":{"noteIndex":0},"schema":"https://github.com/citation-style-language/schema/raw/master/csl-citation.json"}</w:instrText>
      </w:r>
      <w:r w:rsidR="004F738D">
        <w:rPr>
          <w:rFonts w:ascii="Times New Roman" w:hAnsi="Times New Roman" w:cs="Times New Roman"/>
          <w:iCs/>
          <w:color w:val="242729"/>
          <w:sz w:val="24"/>
          <w:szCs w:val="24"/>
        </w:rPr>
        <w:fldChar w:fldCharType="separate"/>
      </w:r>
      <w:r w:rsidR="004F738D" w:rsidRPr="004F738D">
        <w:rPr>
          <w:rFonts w:ascii="Times New Roman" w:hAnsi="Times New Roman" w:cs="Times New Roman"/>
          <w:iCs/>
          <w:noProof/>
          <w:color w:val="242729"/>
          <w:sz w:val="24"/>
          <w:szCs w:val="24"/>
        </w:rPr>
        <w:t>(Bayer &amp; Glimcher, 2005)</w:t>
      </w:r>
      <w:r w:rsidR="004F738D">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xml:space="preserve"> of the desirability extends to cues which predict a future reward</w:t>
      </w:r>
      <w:r w:rsidR="006F2716">
        <w:rPr>
          <w:rFonts w:ascii="Times New Roman" w:hAnsi="Times New Roman" w:cs="Times New Roman"/>
          <w:iCs/>
          <w:color w:val="242729"/>
          <w:sz w:val="24"/>
          <w:szCs w:val="24"/>
        </w:rPr>
        <w:t xml:space="preserve"> </w:t>
      </w:r>
      <w:r w:rsidR="006F2716">
        <w:rPr>
          <w:rFonts w:ascii="Times New Roman" w:hAnsi="Times New Roman" w:cs="Times New Roman"/>
          <w:iCs/>
          <w:color w:val="242729"/>
          <w:sz w:val="24"/>
          <w:szCs w:val="24"/>
        </w:rPr>
        <w:fldChar w:fldCharType="begin" w:fldLock="1"/>
      </w:r>
      <w:r w:rsidR="006F2716">
        <w:rPr>
          <w:rFonts w:ascii="Times New Roman" w:hAnsi="Times New Roman" w:cs="Times New Roman"/>
          <w:iCs/>
          <w:color w:val="242729"/>
          <w:sz w:val="24"/>
          <w:szCs w:val="24"/>
        </w:rPr>
        <w:instrText>ADDIN CSL_CITATION {"citationItems":[{"id":"ITEM-1","itemData":{"DOI":"10.1152/jn.1994.72.2.1024","ISSN":"00223077","PMID":"7983508","abstract":"1. We used single neuron recording techniques in two behaving monkeys to investigate the conditions in which dopamine neurons respond to primary rewarding or potentially rewarding stimuli. Animals received drops of liquid either outside behavioral tasks or as rewards during learning or established performance of an auditory reaction time task. 2. Three quarters of dopamine neurons showed a short-latency, phasic response to liquid that was delivered outside the task without being predicted by phasic stimuli. The same neurons responded to liquid reward during learning but not when task performance was established, at which time the neuronal response occurred to the conditioned, reward-predicting, movement-triggering stimulus. 3. These data suggest that the responses of dopamine neurons to rewarding or potentially rewarding liquid are due to the temporally unpredicted stimulus occurrence. A known, reward-predicting, tonic context does not prevent dopamine neurons from responding to the rewarding liquid. The responses during learning apparently occur because reward is not yet reliably predicted by a conditioned phasic stimulus. Because the unpredicted occurrence of reward is of central importance for learning, these responses allow dopamine neurons to play an important role in reward-driven learning.","author":[{"dropping-particle":"","family":"Mirenowicz","given":"J.","non-dropping-particle":"","parse-names":false,"suffix":""},{"dropping-particle":"","family":"Schultz","given":"W.","non-dropping-particle":"","parse-names":false,"suffix":""}],"container-title":"Journal of Neurophysiology","id":"ITEM-1","issue":"2","issued":{"date-parts":[["1994"]]},"page":"1024-1027","title":"Importance of unpredictability for reward responses in primate dopamine neurons","type":"article-journal","volume":"72"},"uris":["http://www.mendeley.com/documents/?uuid=94f2f8b2-80bd-43b4-8ebf-307c53ec78fd"]}],"mendeley":{"formattedCitation":"(Mirenowicz &amp; Schultz, 1994)","plainTextFormattedCitation":"(Mirenowicz &amp; Schultz, 1994)","previouslyFormattedCitation":"(Mirenowicz &amp; Schultz, 1994)"},"properties":{"noteIndex":0},"schema":"https://github.com/citation-style-language/schema/raw/master/csl-citation.json"}</w:instrText>
      </w:r>
      <w:r w:rsidR="006F2716">
        <w:rPr>
          <w:rFonts w:ascii="Times New Roman" w:hAnsi="Times New Roman" w:cs="Times New Roman"/>
          <w:iCs/>
          <w:color w:val="242729"/>
          <w:sz w:val="24"/>
          <w:szCs w:val="24"/>
        </w:rPr>
        <w:fldChar w:fldCharType="separate"/>
      </w:r>
      <w:r w:rsidR="006F2716" w:rsidRPr="006F2716">
        <w:rPr>
          <w:rFonts w:ascii="Times New Roman" w:hAnsi="Times New Roman" w:cs="Times New Roman"/>
          <w:iCs/>
          <w:noProof/>
          <w:color w:val="242729"/>
          <w:sz w:val="24"/>
          <w:szCs w:val="24"/>
        </w:rPr>
        <w:t>(Mirenowicz &amp; Schultz, 1994)</w:t>
      </w:r>
      <w:r w:rsidR="006F2716">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Indeed, as a conditioned stimuli for</w:t>
      </w:r>
      <w:r w:rsidR="00157064">
        <w:rPr>
          <w:rFonts w:ascii="Times New Roman" w:hAnsi="Times New Roman" w:cs="Times New Roman"/>
          <w:iCs/>
          <w:color w:val="242729"/>
          <w:sz w:val="24"/>
          <w:szCs w:val="24"/>
        </w:rPr>
        <w:t xml:space="preserve"> </w:t>
      </w:r>
      <w:r w:rsidRPr="00DA405F">
        <w:rPr>
          <w:rFonts w:ascii="Times New Roman" w:hAnsi="Times New Roman" w:cs="Times New Roman"/>
          <w:iCs/>
          <w:color w:val="242729"/>
          <w:sz w:val="24"/>
          <w:szCs w:val="24"/>
        </w:rPr>
        <w:t xml:space="preserve">reward becomes established, dopaminergic neurons gradually increase the stimulus-related phasic activity corresponding to the presentation of the conditioned stimuli, and </w:t>
      </w:r>
      <w:r w:rsidRPr="00DA405F">
        <w:rPr>
          <w:rFonts w:ascii="Times New Roman" w:hAnsi="Times New Roman" w:cs="Times New Roman"/>
          <w:i/>
          <w:iCs/>
          <w:color w:val="242729"/>
          <w:sz w:val="24"/>
          <w:szCs w:val="24"/>
        </w:rPr>
        <w:t>decrease</w:t>
      </w:r>
      <w:r w:rsidRPr="00DA405F">
        <w:rPr>
          <w:rFonts w:ascii="Times New Roman" w:hAnsi="Times New Roman" w:cs="Times New Roman"/>
          <w:color w:val="242729"/>
          <w:sz w:val="24"/>
          <w:szCs w:val="24"/>
        </w:rPr>
        <w:t xml:space="preserve"> stimulus-related phasic activity at the time of the reward delivery. For a </w:t>
      </w:r>
      <w:r w:rsidR="00BE378C">
        <w:rPr>
          <w:rFonts w:ascii="Times New Roman" w:hAnsi="Times New Roman" w:cs="Times New Roman"/>
          <w:color w:val="242729"/>
          <w:sz w:val="24"/>
          <w:szCs w:val="24"/>
        </w:rPr>
        <w:t xml:space="preserve">perfectly </w:t>
      </w:r>
      <w:r w:rsidRPr="00DA405F">
        <w:rPr>
          <w:rFonts w:ascii="Times New Roman" w:hAnsi="Times New Roman" w:cs="Times New Roman"/>
          <w:color w:val="242729"/>
          <w:sz w:val="24"/>
          <w:szCs w:val="24"/>
        </w:rPr>
        <w:t xml:space="preserve">temporally predictive cue-reward relationship, the only change in dopaminergic firing rate is seen when the conditioned stimulus is presented and there is </w:t>
      </w:r>
      <w:r w:rsidRPr="00DA405F">
        <w:rPr>
          <w:rFonts w:ascii="Times New Roman" w:hAnsi="Times New Roman" w:cs="Times New Roman"/>
          <w:i/>
          <w:iCs/>
          <w:color w:val="242729"/>
          <w:sz w:val="24"/>
          <w:szCs w:val="24"/>
        </w:rPr>
        <w:t>no</w:t>
      </w:r>
      <w:r w:rsidRPr="00DA405F">
        <w:rPr>
          <w:rFonts w:ascii="Times New Roman" w:hAnsi="Times New Roman" w:cs="Times New Roman"/>
          <w:color w:val="242729"/>
          <w:sz w:val="24"/>
          <w:szCs w:val="24"/>
        </w:rPr>
        <w:t xml:space="preserve"> change in reward-related dopaminergic firing rate</w:t>
      </w:r>
      <w:r w:rsidR="006F2716">
        <w:rPr>
          <w:rFonts w:ascii="Times New Roman" w:hAnsi="Times New Roman" w:cs="Times New Roman"/>
          <w:color w:val="242729"/>
          <w:sz w:val="24"/>
          <w:szCs w:val="24"/>
        </w:rPr>
        <w:t xml:space="preserve"> </w:t>
      </w:r>
      <w:r w:rsidR="006F2716">
        <w:rPr>
          <w:rFonts w:ascii="Times New Roman" w:hAnsi="Times New Roman" w:cs="Times New Roman"/>
          <w:color w:val="242729"/>
          <w:sz w:val="24"/>
          <w:szCs w:val="24"/>
        </w:rPr>
        <w:fldChar w:fldCharType="begin" w:fldLock="1"/>
      </w:r>
      <w:r w:rsidR="005E2514">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reward","type":"article-journal","volume":"275"},"uris":["http://www.mendeley.com/documents/?uuid=1c581e8e-daa8-4295-9ca2-036662199b91"]}],"mendeley":{"formattedCitation":"(W. Schultz et al., 1997)","plainTextFormattedCitation":"(W. Schultz et al., 1997)","previouslyFormattedCitation":"(W. Schultz et al., 1997)"},"properties":{"noteIndex":0},"schema":"https://github.com/citation-style-language/schema/raw/master/csl-citation.json"}</w:instrText>
      </w:r>
      <w:r w:rsidR="006F2716">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(W. Schultz et al., 1997)</w:t>
      </w:r>
      <w:r w:rsidR="006F2716">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The changes in firing rate of a single dopaminergic neuron evoked by a fully conditioned stimulus and reward are shown in figure 2b).</w:t>
      </w:r>
    </w:p>
    <w:p w14:paraId="7CA538ED" w14:textId="56BC3430" w:rsidR="005C4318" w:rsidRPr="005C4318" w:rsidRDefault="009C57C2" w:rsidP="009A2C06">
      <w:pPr>
        <w:rPr>
          <w:rFonts w:ascii="Times New Roman" w:hAnsi="Times New Roman" w:cs="Times New Roman"/>
          <w:sz w:val="24"/>
          <w:szCs w:val="24"/>
        </w:rPr>
      </w:pPr>
      <w:r w:rsidRPr="00DA405F">
        <w:rPr>
          <w:rFonts w:ascii="Times New Roman" w:hAnsi="Times New Roman" w:cs="Times New Roman"/>
          <w:color w:val="242729"/>
          <w:sz w:val="24"/>
          <w:szCs w:val="24"/>
        </w:rPr>
        <w:t xml:space="preserve">This change </w:t>
      </w:r>
      <w:r w:rsidR="001B5FED">
        <w:rPr>
          <w:rFonts w:ascii="Times New Roman" w:hAnsi="Times New Roman" w:cs="Times New Roman"/>
          <w:color w:val="242729"/>
          <w:sz w:val="24"/>
          <w:szCs w:val="24"/>
        </w:rPr>
        <w:t xml:space="preserve">in </w:t>
      </w:r>
      <w:r w:rsidRPr="00DA405F">
        <w:rPr>
          <w:rFonts w:ascii="Times New Roman" w:hAnsi="Times New Roman" w:cs="Times New Roman"/>
          <w:color w:val="242729"/>
          <w:sz w:val="24"/>
          <w:szCs w:val="24"/>
        </w:rPr>
        <w:t>firing rates to the</w:t>
      </w:r>
      <w:r w:rsidR="00405122">
        <w:rPr>
          <w:rFonts w:ascii="Times New Roman" w:hAnsi="Times New Roman" w:cs="Times New Roman"/>
          <w:color w:val="242729"/>
          <w:sz w:val="24"/>
          <w:szCs w:val="24"/>
        </w:rPr>
        <w:t>se</w:t>
      </w:r>
      <w:r w:rsidRPr="00DA405F">
        <w:rPr>
          <w:rFonts w:ascii="Times New Roman" w:hAnsi="Times New Roman" w:cs="Times New Roman"/>
          <w:color w:val="242729"/>
          <w:sz w:val="24"/>
          <w:szCs w:val="24"/>
        </w:rPr>
        <w:t xml:space="preserve"> two stimuli presentations can be explained using the prediction error paradigm</w:t>
      </w:r>
      <w:r w:rsidR="009B2022">
        <w:rPr>
          <w:rFonts w:ascii="Times New Roman" w:hAnsi="Times New Roman" w:cs="Times New Roman"/>
          <w:color w:val="242729"/>
          <w:sz w:val="24"/>
          <w:szCs w:val="24"/>
        </w:rPr>
        <w:t xml:space="preserve"> described above</w:t>
      </w:r>
      <w:r w:rsidRPr="00DA405F">
        <w:rPr>
          <w:rFonts w:ascii="Times New Roman" w:hAnsi="Times New Roman" w:cs="Times New Roman"/>
          <w:color w:val="242729"/>
          <w:sz w:val="24"/>
          <w:szCs w:val="24"/>
        </w:rPr>
        <w:t xml:space="preserve">. A subject to whom it has been signalled that a reward will occur with 100% reliability in exactly n seconds will have no prediction error at the actual receipt of reward. This temporal-difference 'reward-prediction error' (RPE) is what the dopaminergic neurons are signalling with their change in activity </w:t>
      </w:r>
      <w:r w:rsidR="00534FAB">
        <w:rPr>
          <w:rFonts w:ascii="Times New Roman" w:hAnsi="Times New Roman" w:cs="Times New Roman"/>
          <w:color w:val="242729"/>
          <w:sz w:val="24"/>
          <w:szCs w:val="24"/>
        </w:rPr>
        <w:fldChar w:fldCharType="begin" w:fldLock="1"/>
      </w:r>
      <w:r w:rsidR="005E2514">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id":"ITEM-2","itemData":{"author":[{"dropping-particle":"","family":"D’Ardenne","given":"Kimberlee","non-dropping-particle":"","parse-names":false,"suffix":""},{"dropping-particle":"","family":"McClure","given":"Samuel M","non-dropping-particle":"","parse-names":false,"suffix":""},{"dropping-particle":"","family":"Nystrom","given":"Leigh E","non-dropping-particle":"","parse-names":false,"suffix":""},{"dropping-particle":"","family":"Cohen","given":"Jonathan D","non-dropping-particle":"","parse-names":false,"suffix":""}],"container-title":"Science","id":"ITEM-2","issue":"February","issued":{"date-parts":[["2008"]]},"page":"1264-1267","title":"BOLD Responses Reflecting Dopaminergic Signals in the Human Ventral Tegmental Area","type":"article-journal","volume":"319"},"uris":["http://www.mendeley.com/documents/?uuid=2945e8cd-f67a-45e2-86c5-27fbe65f45bc"]}],"mendeley":{"formattedCitation":"(D’Ardenne et al., 2008; W. Schultz et al., 1997)","plainTextFormattedCitation":"(D’Ardenne et al., 2008; W. Schultz et al., 1997)","previouslyFormattedCitation":"(D’Ardenne et al., 2008; W. Schultz et al., 1997)"},"properties":{"noteIndex":0},"schema":"https://github.com/citation-style-language/schema/raw/master/csl-citation.json"}</w:instrText>
      </w:r>
      <w:r w:rsidR="00534FAB">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(D’Ardenne et al., 2008; W. Schultz et al., 1997)</w:t>
      </w:r>
      <w:r w:rsidR="00534FAB">
        <w:rPr>
          <w:rFonts w:ascii="Times New Roman" w:hAnsi="Times New Roman" w:cs="Times New Roman"/>
          <w:color w:val="242729"/>
          <w:sz w:val="24"/>
          <w:szCs w:val="24"/>
        </w:rPr>
        <w:fldChar w:fldCharType="end"/>
      </w:r>
      <w:r w:rsidR="00534FAB">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 The compatibility of this signal with temporal-difference (rather than the foundational Rescorla-Wagner) models is supported by</w:t>
      </w:r>
      <w:r w:rsidR="009A2C06">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 xml:space="preserve">a study by </w:t>
      </w:r>
      <w:r w:rsidR="00534FAB">
        <w:rPr>
          <w:rFonts w:ascii="Times New Roman" w:hAnsi="Times New Roman" w:cs="Times New Roman"/>
          <w:color w:val="242729"/>
          <w:sz w:val="24"/>
          <w:szCs w:val="24"/>
        </w:rPr>
        <w:fldChar w:fldCharType="begin" w:fldLock="1"/>
      </w:r>
      <w:r w:rsidR="00551993">
        <w:rPr>
          <w:rFonts w:ascii="Times New Roman" w:hAnsi="Times New Roman" w:cs="Times New Roman"/>
          <w:color w:val="242729"/>
          <w:sz w:val="24"/>
          <w:szCs w:val="24"/>
        </w:rPr>
        <w:instrText>ADDIN CSL_CITATION {"citationItems":[{"id":"ITEM-1","itemData":{"DOI":"10.1523/jneurosci.16-05-01936.1996","ISSN":"02706474","PMID":"8774460","abstract":"We develop a theoretical framework that shows how mesencephalic dopamine systems could distribute to their targets a signal that represents information about future expectations. In particular, we show how activity in the cerebral cortex can make predictions about future receipt of reward and how fluctuations in the activity levels of neurons in diffuse dopamine systems above and below baseline levels would represent errors in these predictions that are delivered to cortical and subcortical targets. We present a model for how such errors could be constructed in a real brain that is consistent with physiological results for a subset of dopaminergic neurons located in the ventral tegmental area and surrounding dopaminergic neurons. The theory also makes testable predictions about human choice behavior on a simple decision-making task. Furthermore, we show that, through a simple influence on synaptic plasticity, fluctuations in dopamine release can act to change the predictions in an appropriate manner.","author":[{"dropping-particle":"","family":"Montague","given":"P. Read","non-dropping-particle":"","parse-names":false,"suffix":""},{"dropping-particle":"","family":"Dayan","given":"Peter","non-dropping-particle":"","parse-names":false,"suffix":""},{"dropping-particle":"","family":"Sejnowski","given":"Terrence J.","non-dropping-particle":"","parse-names":false,"suffix":""}],"container-title":"Journal of Neuroscience","id":"ITEM-1","issue":"5","issued":{"date-parts":[["1996"]]},"page":"1936-1947","title":"A framework for mesencephalic dopamine systems based on predictive Hebbian learning","type":"article-journal","volume":"16"},"uris":["http://www.mendeley.com/documents/?uuid=8c705d8a-8bc3-4c92-989c-54592e15ca1b"]}],"mendeley":{"formattedCitation":"(Montague et al., 1996)","manualFormatting":"Montague et al., who","plainTextFormattedCitation":"(Montague et al., 1996)","previouslyFormattedCitation":"(Montague et al., 1996)"},"properties":{"noteIndex":0},"schema":"https://github.com/citation-style-language/schema/raw/master/csl-citation.json"}</w:instrText>
      </w:r>
      <w:r w:rsidR="00534FAB">
        <w:rPr>
          <w:rFonts w:ascii="Times New Roman" w:hAnsi="Times New Roman" w:cs="Times New Roman"/>
          <w:color w:val="242729"/>
          <w:sz w:val="24"/>
          <w:szCs w:val="24"/>
        </w:rPr>
        <w:fldChar w:fldCharType="separate"/>
      </w:r>
      <w:r w:rsidR="00534FAB" w:rsidRPr="00534FAB">
        <w:rPr>
          <w:rFonts w:ascii="Times New Roman" w:hAnsi="Times New Roman" w:cs="Times New Roman"/>
          <w:noProof/>
          <w:color w:val="242729"/>
          <w:sz w:val="24"/>
          <w:szCs w:val="24"/>
        </w:rPr>
        <w:t>Montague et al.,</w:t>
      </w:r>
      <w:r w:rsidR="009A2C06">
        <w:rPr>
          <w:rFonts w:ascii="Times New Roman" w:hAnsi="Times New Roman" w:cs="Times New Roman"/>
          <w:noProof/>
          <w:color w:val="242729"/>
          <w:sz w:val="24"/>
          <w:szCs w:val="24"/>
        </w:rPr>
        <w:t xml:space="preserve"> who</w:t>
      </w:r>
      <w:r w:rsidR="00534FAB">
        <w:rPr>
          <w:rFonts w:ascii="Times New Roman" w:hAnsi="Times New Roman" w:cs="Times New Roman"/>
          <w:color w:val="242729"/>
          <w:sz w:val="24"/>
          <w:szCs w:val="24"/>
        </w:rPr>
        <w:fldChar w:fldCharType="end"/>
      </w:r>
      <w:r w:rsidR="00534FAB">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showed that rewards could be predicted from sequences of conditioned stimuli. Such sequences are only compatible with the higher-order prediction errors of temporal-difference learning.</w:t>
      </w:r>
    </w:p>
    <w:p w14:paraId="1495908B" w14:textId="4E942327"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If the change in firing rate of these neurons is correlated to the reward-prediction error of a pair of conditioned and unconditioned stimuli, it should hold for when this error is negate, i.e. when a reward is predicted, but does not arrive. Such a relationship is observed </w:t>
      </w:r>
      <w:r w:rsidR="00C82BAC">
        <w:rPr>
          <w:rFonts w:ascii="Times New Roman" w:hAnsi="Times New Roman" w:cs="Times New Roman"/>
          <w:color w:val="242729"/>
          <w:sz w:val="24"/>
          <w:szCs w:val="24"/>
        </w:rPr>
        <w:fldChar w:fldCharType="begin" w:fldLock="1"/>
      </w:r>
      <w:r w:rsidR="00C267F7">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reward","type":"article-journal","volume":"275"},"uris":["http://www.mendeley.com/documents/?uuid=1c581e8e-daa8-4295-9ca2-036662199b91"]}],"mendeley":{"formattedCitation":"(W. Schultz et al., 1997)","manualFormatting":"(Schultz et al., 1997)","plainTextFormattedCitation":"(W. Schultz et al., 1997)","previouslyFormattedCitation":"(W. Schultz et al., 1997)"},"properties":{"noteIndex":0},"schema":"https://github.com/citation-style-language/schema/raw/master/csl-citation.json"}</w:instrText>
      </w:r>
      <w:r w:rsidR="00C82BAC">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(Schultz et al., 1997)</w:t>
      </w:r>
      <w:r w:rsidR="00C82BAC">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w:t>
      </w:r>
      <w:r w:rsidR="00C267F7">
        <w:rPr>
          <w:rFonts w:ascii="Times New Roman" w:hAnsi="Times New Roman" w:cs="Times New Roman"/>
          <w:color w:val="242729"/>
          <w:sz w:val="24"/>
          <w:szCs w:val="24"/>
        </w:rPr>
        <w:t>an illustrative example is presented</w:t>
      </w:r>
      <w:r w:rsidRPr="00DA405F">
        <w:rPr>
          <w:rFonts w:ascii="Times New Roman" w:hAnsi="Times New Roman" w:cs="Times New Roman"/>
          <w:color w:val="242729"/>
          <w:sz w:val="24"/>
          <w:szCs w:val="24"/>
        </w:rPr>
        <w:t xml:space="preserve"> in figure 2c). In addition, punishments, and conditioned stimuli for future punishments, have been shown to </w:t>
      </w:r>
      <w:r w:rsidR="001115CE">
        <w:rPr>
          <w:rFonts w:ascii="Times New Roman" w:hAnsi="Times New Roman" w:cs="Times New Roman"/>
          <w:color w:val="242729"/>
          <w:sz w:val="24"/>
          <w:szCs w:val="24"/>
        </w:rPr>
        <w:t xml:space="preserve">also </w:t>
      </w:r>
      <w:r w:rsidRPr="00DA405F">
        <w:rPr>
          <w:rFonts w:ascii="Times New Roman" w:hAnsi="Times New Roman" w:cs="Times New Roman"/>
          <w:color w:val="242729"/>
          <w:sz w:val="24"/>
          <w:szCs w:val="24"/>
        </w:rPr>
        <w:t xml:space="preserve">inhibit dopaminergic firing rate </w:t>
      </w:r>
      <w:r w:rsidR="00C82BAC">
        <w:rPr>
          <w:rFonts w:ascii="Times New Roman" w:hAnsi="Times New Roman" w:cs="Times New Roman"/>
          <w:color w:val="242729"/>
          <w:sz w:val="24"/>
          <w:szCs w:val="24"/>
        </w:rPr>
        <w:fldChar w:fldCharType="begin" w:fldLock="1"/>
      </w:r>
      <w:r w:rsidR="00C82BAC">
        <w:rPr>
          <w:rFonts w:ascii="Times New Roman" w:hAnsi="Times New Roman" w:cs="Times New Roman"/>
          <w:color w:val="242729"/>
          <w:sz w:val="24"/>
          <w:szCs w:val="24"/>
        </w:rPr>
        <w:instrText>ADDIN CSL_CITATION {"citationItems":[{"id":"ITEM-1","itemData":{"DOI":"10.1152/jn.1994.72.2.1024","ISSN":"00223077","PMID":"7983508","abstract":"1. We used single neuron recording techniques in two behaving monkeys to investigate the conditions in which dopamine neurons respond to primary rewarding or potentially rewarding stimuli. Animals received drops of liquid either outside behavioral tasks or as rewards during learning or established performance of an auditory reaction time task. 2. Three quarters of dopamine neurons showed a short-latency, phasic response to liquid that was delivered outside the task without being predicted by phasic stimuli. The same neurons responded to liquid reward during learning but not when task performance was established, at which time the neuronal response occurred to the conditioned, reward-predicting, movement-triggering stimulus. 3. These data suggest that the responses of dopamine neurons to rewarding or potentially rewarding liquid are due to the temporally unpredicted stimulus occurrence. A known, reward-predicting, tonic context does not prevent dopamine neurons from responding to the rewarding liquid. The responses during learning apparently occur because reward is not yet reliably predicted by a conditioned phasic stimulus. Because the unpredicted occurrence of reward is of central importance for learning, these responses allow dopamine neurons to play an important role in reward-driven learning.","author":[{"dropping-particle":"","family":"Mirenowicz","given":"J.","non-dropping-particle":"","parse-names":false,"suffix":""},{"dropping-particle":"","family":"Schultz","given":"W.","non-dropping-particle":"","parse-names":false,"suffix":""}],"container-title":"Journal of Neurophysiology","id":"ITEM-1","issue":"2","issued":{"date-parts":[["1994"]]},"page":"1024-1027","title":"Importance of unpredictability for reward responses in primate dopamine neurons","type":"article-journal","volume":"72"},"uris":["http://www.mendeley.com/documents/?uuid=94f2f8b2-80bd-43b4-8ebf-307c53ec78fd"]}],"mendeley":{"formattedCitation":"(Mirenowicz &amp; Schultz, 1994)","plainTextFormattedCitation":"(Mirenowicz &amp; Schultz, 1994)","previouslyFormattedCitation":"(Mirenowicz &amp; Schultz, 1994)"},"properties":{"noteIndex":0},"schema":"https://github.com/citation-style-language/schema/raw/master/csl-citation.json"}</w:instrText>
      </w:r>
      <w:r w:rsidR="00C82BAC">
        <w:rPr>
          <w:rFonts w:ascii="Times New Roman" w:hAnsi="Times New Roman" w:cs="Times New Roman"/>
          <w:color w:val="242729"/>
          <w:sz w:val="24"/>
          <w:szCs w:val="24"/>
        </w:rPr>
        <w:fldChar w:fldCharType="separate"/>
      </w:r>
      <w:r w:rsidR="00C82BAC" w:rsidRPr="00C82BAC">
        <w:rPr>
          <w:rFonts w:ascii="Times New Roman" w:hAnsi="Times New Roman" w:cs="Times New Roman"/>
          <w:noProof/>
          <w:color w:val="242729"/>
          <w:sz w:val="24"/>
          <w:szCs w:val="24"/>
        </w:rPr>
        <w:t>(Mirenowicz &amp; Schultz, 1994)</w:t>
      </w:r>
      <w:r w:rsidR="00C82BAC">
        <w:rPr>
          <w:rFonts w:ascii="Times New Roman" w:hAnsi="Times New Roman" w:cs="Times New Roman"/>
          <w:color w:val="242729"/>
          <w:sz w:val="24"/>
          <w:szCs w:val="24"/>
        </w:rPr>
        <w:fldChar w:fldCharType="end"/>
      </w:r>
      <w:r w:rsidRPr="00CD3967">
        <w:rPr>
          <w:rStyle w:val="FootnoteReference"/>
        </w:rPr>
        <w:footnoteReference w:id="10"/>
      </w:r>
      <w:r w:rsidRPr="00DA405F">
        <w:rPr>
          <w:rFonts w:ascii="Times New Roman" w:hAnsi="Times New Roman" w:cs="Times New Roman"/>
          <w:color w:val="242729"/>
          <w:sz w:val="24"/>
          <w:szCs w:val="24"/>
        </w:rPr>
        <w:t>.</w:t>
      </w:r>
    </w:p>
    <w:p w14:paraId="765EAF29" w14:textId="77777777"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b/>
          <w:bCs/>
          <w:iCs/>
          <w:color w:val="242729"/>
          <w:sz w:val="24"/>
          <w:szCs w:val="24"/>
        </w:rPr>
        <w:t>A Dopaminergic Neural Substrate of Utility</w:t>
      </w:r>
    </w:p>
    <w:p w14:paraId="2D86D170" w14:textId="1AF5D4AB"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 xml:space="preserve">That the change in dopaminergic neuron firing rate encodes a reward-prediction error, with responses correlated with the physical components of expected value, i.e. reward magnitude and probability </w:t>
      </w:r>
      <w:r w:rsidR="00FA318B">
        <w:rPr>
          <w:rFonts w:ascii="Times New Roman" w:hAnsi="Times New Roman" w:cs="Times New Roman"/>
          <w:iCs/>
          <w:color w:val="242729"/>
          <w:sz w:val="24"/>
          <w:szCs w:val="24"/>
        </w:rPr>
        <w:fldChar w:fldCharType="begin" w:fldLock="1"/>
      </w:r>
      <w:r w:rsidR="008B1B5B">
        <w:rPr>
          <w:rFonts w:ascii="Times New Roman" w:hAnsi="Times New Roman" w:cs="Times New Roman"/>
          <w:iCs/>
          <w:color w:val="242729"/>
          <w:sz w:val="24"/>
          <w:szCs w:val="24"/>
        </w:rPr>
        <w:instrText>ADDIN CSL_CITATION {"citationItems":[{"id":"ITEM-1","itemData":{"ISBN":"0036-8075","ISSN":"1095-9203","PMID":"12649484","abstract":"Uncertainty is critical in the measure of information and in assessing the accuracy of predictions. It is determined by probability P, being maximal at P = 0.5 and decreasing at higher and lower probabilities. Using distinct stimuli to indicate the probability of reward, we found that the phasic activation of dopamine neurons varied monotonically across the full range of probabilities, supporting past claims that this response codes the discrepancy between predicted and actual reward. In contrast, a previously unobserved response covaried with uncertainty and consisted of a gradual increase in activity until the potential time of reward. The coding of uncertainty suggests a possible role for dopamine signals in attention-based learning and risk-taking behavior.","author":[{"dropping-particle":"","family":"Fiorillo","given":"Christopher D.","non-dropping-particle":"","parse-names":false,"suffix":""},{"dropping-particle":"","family":"Tobler","given":"Philippe N.","non-dropping-particle":"","parse-names":false,"suffix":""},{"dropping-particle":"","family":"Schultz","given":"Wolfram","non-dropping-particle":"","parse-names":false,"suffix":""}],"container-title":"Science","id":"ITEM-1","issue":"March","issued":{"date-parts":[["2003"]]},"page":"1898-1902","title":"Discrete Coding of Reward Dopamine Neurons","type":"article-journal","volume":"299"},"uris":["http://www.mendeley.com/documents/?uuid=21fb096a-2663-4f50-b8aa-b3baf15e7b6f"]},{"id":"ITEM-2","itemData":{"DOI":"10.1126/science.1105370","ISSN":"00368075","PMID":"15761155","abstract":"It is important for animals to estimate the value of rewards as accurately as possible. Because the number of potential reward values is very large, it is necessary that the brain's limited resources be allocated so as to discriminate better among more likely reward outcomes at the expense of less likely outcomes. We found that midbrain dopamine neurons rapidly adapted to the information provided by reward-predicting stimuli. Responses shifted relative to the expected reward value, and the gain adjusted to the variance of reward value. In this way, dopamine neurons maintained their reward sensitivity over a large range of reward values.","author":[{"dropping-particle":"","family":"Tobler","given":"Philippe N.","non-dropping-particle":"","parse-names":false,"suffix":""},{"dropping-particle":"","family":"Fiorillo","given":"Christopher D.","non-dropping-particle":"","parse-names":false,"suffix":""},{"dropping-particle":"","family":"Schultz","given":"Wolfram","non-dropping-particle":"","parse-names":false,"suffix":""}],"container-title":"Science","id":"ITEM-2","issue":"5715","issued":{"date-parts":[["2005"]]},"page":"1642-1645","title":"Adaptive coding of reward value by dopamine neurons","type":"article-journal","volume":"307"},"uris":["http://www.mendeley.com/documents/?uuid=9f3e506a-36d8-40f9-a530-569fa90a1127"]}],"mendeley":{"formattedCitation":"(Fiorillo et al., 2003; Tobler et al., 2005)","plainTextFormattedCitation":"(Fiorillo et al., 2003; Tobler et al., 2005)","previouslyFormattedCitation":"(Fiorillo et al., 2003; Tobler et al., 2005)"},"properties":{"noteIndex":0},"schema":"https://github.com/citation-style-language/schema/raw/master/csl-citation.json"}</w:instrText>
      </w:r>
      <w:r w:rsidR="00FA318B">
        <w:rPr>
          <w:rFonts w:ascii="Times New Roman" w:hAnsi="Times New Roman" w:cs="Times New Roman"/>
          <w:iCs/>
          <w:color w:val="242729"/>
          <w:sz w:val="24"/>
          <w:szCs w:val="24"/>
        </w:rPr>
        <w:fldChar w:fldCharType="separate"/>
      </w:r>
      <w:r w:rsidR="00FA318B" w:rsidRPr="00FA318B">
        <w:rPr>
          <w:rFonts w:ascii="Times New Roman" w:hAnsi="Times New Roman" w:cs="Times New Roman"/>
          <w:iCs/>
          <w:noProof/>
          <w:color w:val="242729"/>
          <w:sz w:val="24"/>
          <w:szCs w:val="24"/>
        </w:rPr>
        <w:t>(Fiorillo et al., 2003; Tobler et al., 2005)</w:t>
      </w:r>
      <w:r w:rsidR="00FA318B">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However, as discussed, physical components alone cannot account for an organism</w:t>
      </w:r>
      <w:r w:rsidR="000D5C8E">
        <w:rPr>
          <w:rFonts w:ascii="Times New Roman" w:hAnsi="Times New Roman" w:cs="Times New Roman"/>
          <w:iCs/>
          <w:color w:val="242729"/>
          <w:sz w:val="24"/>
          <w:szCs w:val="24"/>
        </w:rPr>
        <w:t>’</w:t>
      </w:r>
      <w:r w:rsidRPr="00DA405F">
        <w:rPr>
          <w:rFonts w:ascii="Times New Roman" w:hAnsi="Times New Roman" w:cs="Times New Roman"/>
          <w:iCs/>
          <w:color w:val="242729"/>
          <w:sz w:val="24"/>
          <w:szCs w:val="24"/>
        </w:rPr>
        <w:t>s level of utility received. Instead, expected utility theory formalises the calculation of the utility present in any choice by observing the behaviour</w:t>
      </w:r>
      <w:r w:rsidR="00892573">
        <w:rPr>
          <w:rFonts w:ascii="Times New Roman" w:hAnsi="Times New Roman" w:cs="Times New Roman"/>
          <w:iCs/>
          <w:color w:val="242729"/>
          <w:sz w:val="24"/>
          <w:szCs w:val="24"/>
        </w:rPr>
        <w:t>s</w:t>
      </w:r>
      <w:r w:rsidRPr="00DA405F">
        <w:rPr>
          <w:rFonts w:ascii="Times New Roman" w:hAnsi="Times New Roman" w:cs="Times New Roman"/>
          <w:iCs/>
          <w:color w:val="242729"/>
          <w:sz w:val="24"/>
          <w:szCs w:val="24"/>
        </w:rPr>
        <w:t xml:space="preserve"> of </w:t>
      </w:r>
      <w:r w:rsidR="00892573">
        <w:rPr>
          <w:rFonts w:ascii="Times New Roman" w:hAnsi="Times New Roman" w:cs="Times New Roman"/>
          <w:iCs/>
          <w:color w:val="242729"/>
          <w:sz w:val="24"/>
          <w:szCs w:val="24"/>
        </w:rPr>
        <w:t>a</w:t>
      </w:r>
      <w:r w:rsidRPr="00DA405F">
        <w:rPr>
          <w:rFonts w:ascii="Times New Roman" w:hAnsi="Times New Roman" w:cs="Times New Roman"/>
          <w:iCs/>
          <w:color w:val="242729"/>
          <w:sz w:val="24"/>
          <w:szCs w:val="24"/>
        </w:rPr>
        <w:t xml:space="preserve"> choosing subject.</w:t>
      </w:r>
    </w:p>
    <w:p w14:paraId="10856650" w14:textId="3CE7928A"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Recent behavioural experiments in mice </w:t>
      </w:r>
      <w:r w:rsidR="008B1B5B">
        <w:rPr>
          <w:rFonts w:ascii="Times New Roman" w:hAnsi="Times New Roman" w:cs="Times New Roman"/>
          <w:color w:val="242729"/>
          <w:sz w:val="24"/>
          <w:szCs w:val="24"/>
        </w:rPr>
        <w:fldChar w:fldCharType="begin" w:fldLock="1"/>
      </w:r>
      <w:r w:rsidR="008B1B5B">
        <w:rPr>
          <w:rFonts w:ascii="Times New Roman" w:hAnsi="Times New Roman" w:cs="Times New Roman"/>
          <w:color w:val="242729"/>
          <w:sz w:val="24"/>
          <w:szCs w:val="24"/>
        </w:rPr>
        <w:instrText>ADDIN CSL_CITATION {"citationItems":[{"id":"ITEM-1","itemData":{"DOI":"10.1371/journal.pone.0033612","ISSN":"19326203","PMID":"22506004","abstract":"Activation of dopamine receptors in forebrain regions, for minutes or longer, is known to be sufficient for positive reinforcement of stimuli and actions. However, the firing rate of dopamine neurons is increased for only about 200 milliseconds following natural reward events that are better than expected, a response which has been described as a \"reward prediction error\" (RPE). Although RPE drives reinforcement learning (RL) in computational models, it has not been possible to directly test whether the transient dopamine signal actually drives RL. Here we have performed optical stimulation of genetically targeted ventral tegmental area (VTA) dopamine neurons expressing Channelrhodopsin-2 (ChR2) in mice. We mimicked the transient activation of dopamine neurons that occurs in response to natural reward by applying a light pulse of 200 ms in VTA. When a single light pulse followed each self-initiated nose poke, it was sufficient in itself to cause operant reinforcement. Furthermore, when optical stimulation was delivered in separate sessions according to a predetermined pattern, it increased locomotion and contralateral rotations, behaviors that are known to result from activation of dopamine neurons. All three of the optically induced operant and locomotor behaviors were tightly correlated with the number of VTA dopamine neurons that expressed ChR2, providing additional evidence that the behavioral responses were caused by activation of dopamine neurons. These results provide strong evidence that the transient activation of dopamine neurons provides a functional reward signal that drives learning, in support of RL theories of dopamine function. © 2012 Kim et al.","author":[{"dropping-particle":"","family":"Kim","given":"Kyung Man","non-dropping-particle":"","parse-names":false,"suffix":""},{"dropping-particle":"V.","family":"Baratta","given":"Michael","non-dropping-particle":"","parse-names":false,"suffix":""},{"dropping-particle":"","family":"Yang","given":"Aimei","non-dropping-particle":"","parse-names":false,"suffix":""},{"dropping-particle":"","family":"Lee","given":"Doheon","non-dropping-particle":"","parse-names":false,"suffix":""},{"dropping-particle":"","family":"Boyden","given":"Edward S.","non-dropping-particle":"","parse-names":false,"suffix":""},{"dropping-particle":"","family":"Fiorillo","given":"Christopher D.","non-dropping-particle":"","parse-names":false,"suffix":""}],"container-title":"PLoS ONE","id":"ITEM-1","issue":"4","issued":{"date-parts":[["2012"]]},"page":"1-8","title":"Optogenetic mimicry of the transient activation of dopamine neurons by natural reward is sufficient for operant reinforcement","type":"article-journal","volume":"7"},"uris":["http://www.mendeley.com/documents/?uuid=19446563-8088-47c5-9407-dcca08120411"]}],"mendeley":{"formattedCitation":"(Kim et al., 2012)","plainTextFormattedCitation":"(Kim et al., 2012)","previouslyFormattedCitation":"(Kim et al., 2012)"},"properties":{"noteIndex":0},"schema":"https://github.com/citation-style-language/schema/raw/master/csl-citation.json"}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(Kim et al., 2012)</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rats </w:t>
      </w:r>
      <w:r w:rsidR="00F623C3">
        <w:rPr>
          <w:rFonts w:ascii="Times New Roman" w:hAnsi="Times New Roman" w:cs="Times New Roman"/>
          <w:color w:val="242729"/>
          <w:sz w:val="24"/>
          <w:szCs w:val="24"/>
        </w:rPr>
        <w:fldChar w:fldCharType="begin" w:fldLock="1"/>
      </w:r>
      <w:r w:rsidR="00C87A17">
        <w:rPr>
          <w:rFonts w:ascii="Times New Roman" w:hAnsi="Times New Roman" w:cs="Times New Roman"/>
          <w:color w:val="242729"/>
          <w:sz w:val="24"/>
          <w:szCs w:val="24"/>
        </w:rPr>
        <w:instrText>ADDIN CSL_CITATION {"citationItems":[{"id":"ITEM-1","itemData":{"DOI":"10.1038/nn.3413","ISSN":"15461726","PMID":"23708143","abstract":"Situations in which rewards are unexpectedly obtained or withheld represent opportunities for new learning. Often, this learning includes identifying cues that predict reward availability. Unexpected rewards strongly activate midbrain dopamine neurons. This phasic signal is proposed to support learning about antecedent cues by signaling discrepancies between actual and expected outcomes, termed a reward prediction error. However, it is unknown whether dopamine neuron prediction error signaling and cue-reward learning are causally linked. To test this hypothesis, we manipulated dopamine neuron activity in rats in two behavioral procedures, associative blocking and extinction, that illustrate the essential function of prediction errors in learning. We observed that optogenetic activation of dopamine neurons concurrent with reward delivery, mimicking a prediction error, was sufficient to cause long-lasting increases in cue-elicited reward-seeking behavior. Our findings establish a causal role for temporally precise dopamine neuron signaling in cue-reward learning, bridging a critical gap between experimental evidence and influential theoretical frameworks. © 2013 Nature America, Inc. All rights reserved.","author":[{"dropping-particle":"","family":"Steinberg","given":"Elizabeth E.","non-dropping-particle":"","parse-names":false,"suffix":""},{"dropping-particle":"","family":"Keiflin","given":"Ronald","non-dropping-particle":"","parse-names":false,"suffix":""},{"dropping-particle":"","family":"Boivin","given":"Josiah R.","non-dropping-particle":"","parse-names":false,"suffix":""},{"dropping-particle":"","family":"Witten","given":"Ilana B.","non-dropping-particle":"","parse-names":false,"suffix":""},{"dropping-particle":"","family":"Deisseroth","given":"Karl","non-dropping-particle":"","parse-names":false,"suffix":""},{"dropping-particle":"","family":"Janak","given":"Patricia H.","non-dropping-particle":"","parse-names":false,"suffix":""}],"container-title":"Nature Neuroscience","id":"ITEM-1","issue":"7","issued":{"date-parts":[["2013"]]},"page":"966-973","publisher":"Nature Publishing Group","title":"A causal link between prediction errors, dopamine neurons and learning","type":"article-journal","volume":"16"},"uris":["http://www.mendeley.com/documents/?uuid=eaa217d9-e65e-4ecb-a09e-5dd5b8446b6e"]},{"id":"ITEM-2","itemData":{"DOI":"10.1038/nn.4191","ISSN":"15461726","PMID":"26642092","abstract":"Correlative studies have strongly linked phasic changes in dopamine activity with reward prediction error signaling. But causal evidence that these brief changes in firing actually serve as error signals to drive associative learning is more tenuous. Although there is direct evidence that brief increases can substitute for positive prediction errors, there is no comparable evidence that similarly brief pauses can substitute for negative prediction errors. In the absence of such evidence, the effect of increases in firing could reflect novelty or salience, variables also correlated with dopamine activity. Here we provide evidence in support of the proposed linkage, showing in a modified Pavlovian over-expectation task that brief pauses in the firing of dopamine neurons in rat ventral tegmental area at the time of reward are sufficient to mimic the effects of endogenous negative prediction errors. These results support the proposal that brief changes in the firing of dopamine neurons serve as full-fledged bidirectional prediction error signals.","author":[{"dropping-particle":"","family":"Chang","given":"Chun Yun","non-dropping-particle":"","parse-names":false,"suffix":""},{"dropping-particle":"","family":"Esber","given":"Guillem R.","non-dropping-particle":"","parse-names":false,"suffix":""},{"dropping-particle":"","family":"Marrero-Garcia","given":"Yasmin","non-dropping-particle":"","parse-names":false,"suffix":""},{"dropping-particle":"","family":"Yau","given":"Hau Jie","non-dropping-particle":"","parse-names":false,"suffix":""},{"dropping-particle":"","family":"Bonci","given":"Antonello","non-dropping-particle":"","parse-names":false,"suffix":""},{"dropping-particle":"","family":"Schoenbaum","given":"Geoffrey","non-dropping-particle":"","parse-names":false,"suffix":""}],"container-title":"Nature Neuroscience","id":"ITEM-2","issue":"1","issued":{"date-parts":[["2015"]]},"page":"111-116","title":"Brief optogenetic inhibition of dopamine neurons mimics endogenous negative reward prediction errors","type":"article-journal","volume":"19"},"uris":["http://www.mendeley.com/documents/?uuid=c71f75c4-1e43-4eb3-99b3-f070ea7abed4"]}],"mendeley":{"formattedCitation":"(C. Y. Chang et al., 2015; Steinberg et al., 2013)","plainTextFormattedCitation":"(C. Y. Chang et al., 2015; Steinberg et al., 2013)","previouslyFormattedCitation":"(Chang et al., 2015; Steinberg et al., 2013)"},"properties":{"noteIndex":0},"schema":"https://github.com/citation-style-language/schema/raw/master/csl-citation.json"}</w:instrText>
      </w:r>
      <w:r w:rsidR="00F623C3">
        <w:rPr>
          <w:rFonts w:ascii="Times New Roman" w:hAnsi="Times New Roman" w:cs="Times New Roman"/>
          <w:color w:val="242729"/>
          <w:sz w:val="24"/>
          <w:szCs w:val="24"/>
        </w:rPr>
        <w:fldChar w:fldCharType="separate"/>
      </w:r>
      <w:r w:rsidR="00C87A17" w:rsidRPr="00C87A17">
        <w:rPr>
          <w:rFonts w:ascii="Times New Roman" w:hAnsi="Times New Roman" w:cs="Times New Roman"/>
          <w:noProof/>
          <w:color w:val="242729"/>
          <w:sz w:val="24"/>
          <w:szCs w:val="24"/>
        </w:rPr>
        <w:t>(C. Y. Chang et al., 2015; Steinberg et al., 2013)</w:t>
      </w:r>
      <w:r w:rsidR="00F623C3">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monkeys </w:t>
      </w:r>
      <w:r w:rsidR="008B1B5B">
        <w:rPr>
          <w:rFonts w:ascii="Times New Roman" w:hAnsi="Times New Roman" w:cs="Times New Roman"/>
          <w:color w:val="242729"/>
          <w:sz w:val="24"/>
          <w:szCs w:val="24"/>
        </w:rPr>
        <w:fldChar w:fldCharType="begin" w:fldLock="1"/>
      </w:r>
      <w:r w:rsidR="008B1B5B">
        <w:rPr>
          <w:rFonts w:ascii="Times New Roman" w:hAnsi="Times New Roman" w:cs="Times New Roman"/>
          <w:color w:val="242729"/>
          <w:sz w:val="24"/>
          <w:szCs w:val="24"/>
        </w:rPr>
        <w:instrText>ADDIN CSL_CITATION {"citationItems":[{"id":"ITEM-1","itemData":{"DOI":"10.1016/j.cell.2016.08.024","ISSN":"10974172","PMID":"27610576","abstract":"Optogenetic studies in mice have revealed new relationships between well-defined neurons and brain functions. However, there are currently no means to achieve the same cell-type specificity in monkeys, which possess an expanded behavioral repertoire and closer anatomical homology to humans. Here, we present a resource for cell-type-specific channelrhodopsin expression in Rhesus monkeys and apply this technique to modulate dopamine activity and monkey choice behavior. These data show that two viral vectors label dopamine neurons with greater than 95% specificity. Infected neurons were activated by light pulses, indicating functional expression. The addition of optical stimulation to reward outcomes promoted the learning of reward-predicting stimuli at the neuronal and behavioral level. Together, these results demonstrate the feasibility of effective and selective stimulation of dopamine neurons in non-human primates and a resource that could be applied to other cell types in the monkey brain.","author":[{"dropping-particle":"","family":"Stauffer","given":"William R.","non-dropping-particle":"","parse-names":false,"suffix":""},{"dropping-particle":"","family":"Lak","given":"Armin","non-dropping-particle":"","parse-names":false,"suffix":""},{"dropping-particle":"","family":"Yang","given":"Aimei","non-dropping-particle":"","parse-names":false,"suffix":""},{"dropping-particle":"","family":"Borel","given":"Melodie","non-dropping-particle":"","parse-names":false,"suffix":""},{"dropping-particle":"","family":"Paulsen","given":"Ole","non-dropping-particle":"","parse-names":false,"suffix":""},{"dropping-particle":"","family":"Boyden","given":"Edward S.","non-dropping-particle":"","parse-names":false,"suffix":""},{"dropping-particle":"","family":"Schultz","given":"Wolfram","non-dropping-particle":"","parse-names":false,"suffix":""}],"container-title":"Cell","id":"ITEM-1","issue":"6","issued":{"date-parts":[["2016"]]},"page":"1564-1571.e6","publisher":"The Authors","title":"Dopamine Neuron-Specific Optogenetic Stimulation in Rhesus Macaques","type":"article-journal","volume":"166"},"uris":["http://www.mendeley.com/documents/?uuid=6437e268-831a-4b00-9ccd-e68367c2632f"]}],"mendeley":{"formattedCitation":"(Stauffer et al., 2016)","plainTextFormattedCitation":"(Stauffer et al., 2016)","previouslyFormattedCitation":"(Stauffer et al., 2016)"},"properties":{"noteIndex":0},"schema":"https://github.com/citation-style-language/schema/raw/master/csl-citation.json"}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(Stauffer et al., 2016)</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have shown that optical stimulation of 'mimic' </w:t>
      </w:r>
      <w:r w:rsidRPr="00DA405F">
        <w:rPr>
          <w:rFonts w:ascii="Times New Roman" w:hAnsi="Times New Roman" w:cs="Times New Roman"/>
          <w:color w:val="242729"/>
          <w:sz w:val="24"/>
          <w:szCs w:val="24"/>
        </w:rPr>
        <w:lastRenderedPageBreak/>
        <w:t xml:space="preserve">dopaminergic RPE activity is sufficient to drive learning and choice behaviour </w:t>
      </w:r>
      <w:r w:rsidR="008B1B5B">
        <w:rPr>
          <w:rFonts w:ascii="Times New Roman" w:hAnsi="Times New Roman" w:cs="Times New Roman"/>
          <w:color w:val="242729"/>
          <w:sz w:val="24"/>
          <w:szCs w:val="24"/>
        </w:rPr>
        <w:fldChar w:fldCharType="begin" w:fldLock="1"/>
      </w:r>
      <w:r w:rsidR="00F623C3">
        <w:rPr>
          <w:rFonts w:ascii="Times New Roman" w:hAnsi="Times New Roman" w:cs="Times New Roman"/>
          <w:color w:val="242729"/>
          <w:sz w:val="24"/>
          <w:szCs w:val="24"/>
        </w:rPr>
        <w:instrText>ADDIN CSL_CITATION {"citationItems":[{"id":"ITEM-1","itemData":{"DOI":"10.1016/j.cell.2016.08.024","ISSN":"10974172","PMID":"27610576","abstract":"Optogenetic studies in mice have revealed new relationships between well-defined neurons and brain functions. However, there are currently no means to achieve the same cell-type specificity in monkeys, which possess an expanded behavioral repertoire and closer anatomical homology to humans. Here, we present a resource for cell-type-specific channelrhodopsin expression in Rhesus monkeys and apply this technique to modulate dopamine activity and monkey choice behavior. These data show that two viral vectors label dopamine neurons with greater than 95% specificity. Infected neurons were activated by light pulses, indicating functional expression. The addition of optical stimulation to reward outcomes promoted the learning of reward-predicting stimuli at the neuronal and behavioral level. Together, these results demonstrate the feasibility of effective and selective stimulation of dopamine neurons in non-human primates and a resource that could be applied to other cell types in the monkey brain.","author":[{"dropping-particle":"","family":"Stauffer","given":"William R.","non-dropping-particle":"","parse-names":false,"suffix":""},{"dropping-particle":"","family":"Lak","given":"Armin","non-dropping-particle":"","parse-names":false,"suffix":""},{"dropping-particle":"","family":"Yang","given":"Aimei","non-dropping-particle":"","parse-names":false,"suffix":""},{"dropping-particle":"","family":"Borel","given":"Melodie","non-dropping-particle":"","parse-names":false,"suffix":""},{"dropping-particle":"","family":"Paulsen","given":"Ole","non-dropping-particle":"","parse-names":false,"suffix":""},{"dropping-particle":"","family":"Boyden","given":"Edward S.","non-dropping-particle":"","parse-names":false,"suffix":""},{"dropping-particle":"","family":"Schultz","given":"Wolfram","non-dropping-particle":"","parse-names":false,"suffix":""}],"container-title":"Cell","id":"ITEM-1","issue":"6","issued":{"date-parts":[["2016"]]},"page":"1564-1571.e6","publisher":"The Authors","title":"Dopamine Neuron-Specific Optogenetic Stimulation in Rhesus Macaques","type":"article-journal","volume":"166"},"uris":["http://www.mendeley.com/documents/?uuid=6437e268-831a-4b00-9ccd-e68367c2632f"]}],"mendeley":{"formattedCitation":"(Stauffer et al., 2016)","plainTextFormattedCitation":"(Stauffer et al., 2016)","previouslyFormattedCitation":"(Stauffer et al., 2016)"},"properties":{"noteIndex":0},"schema":"https://github.com/citation-style-language/schema/raw/master/csl-citation.json"}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(Stauffer et al., 2016)</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Conversely, disruption of the ability of dopaminergic neurons to produce burst firing by genetic inactivation of NMDA receptors led to mutant mice that had attenuated performance on a bandit choice task </w:t>
      </w:r>
      <w:r w:rsidR="00F623C3">
        <w:rPr>
          <w:rFonts w:ascii="Times New Roman" w:hAnsi="Times New Roman" w:cs="Times New Roman"/>
          <w:color w:val="242729"/>
          <w:sz w:val="24"/>
          <w:szCs w:val="24"/>
        </w:rPr>
        <w:fldChar w:fldCharType="begin" w:fldLock="1"/>
      </w:r>
      <w:r w:rsidR="00F623C3">
        <w:rPr>
          <w:rFonts w:ascii="Times New Roman" w:hAnsi="Times New Roman" w:cs="Times New Roman"/>
          <w:color w:val="242729"/>
          <w:sz w:val="24"/>
          <w:szCs w:val="24"/>
        </w:rPr>
        <w:instrText>ADDIN CSL_CITATION {"citationItems":[{"id":"ITEM-1","itemData":{"DOI":"10.1073/pnas.0813415106","ISSN":"00278424","PMID":"19342487","abstract":"Midbrain dopamine (DA) neurons fire in 2 characteristic modes, tonic and phasic, which are thought to modulate distinct aspects of behavior. However, the inability to selectively disrupt these patterns of activity has hampered the precise definition of the function of these modes of signaling. Here, we addressed the role of phasic DA in learning and other DA-dependent behaviors by attenuating DA neuron burst firing and subsequent DA release, without altering tonic neural activity. Disruption of phasic DA was achieved by selective genetic inactivation of NMDA-type, iono- tropic glutamate receptors in DA neurons. Disruption of phasic DA neuron activity impaired the acquisition of numerous conditioned behavioral responses, and dramatically attenuated learning about cues that predicted rewarding and aversive events while leaving many other DA-dependent behaviors unaffected.","author":[{"dropping-particle":"","family":"Zweifel","given":"Larry S.","non-dropping-particle":"","parse-names":false,"suffix":""},{"dropping-particle":"","family":"Parker","given":"Jones G.","non-dropping-particle":"","parse-names":false,"suffix":""},{"dropping-particle":"","family":"Lobb","given":"Collin J.","non-dropping-particle":"","parse-names":false,"suffix":""},{"dropping-particle":"","family":"Rainwater","given":"Aundrea","non-dropping-particle":"","parse-names":false,"suffix":""},{"dropping-particle":"","family":"Wall","given":"Valeriez","non-dropping-particle":"","parse-names":false,"suffix":""},{"dropping-particle":"","family":"Fadok","given":"Jonathan P.","non-dropping-particle":"","parse-names":false,"suffix":""},{"dropping-particle":"","family":"Darvas","given":"Martin","non-dropping-particle":"","parse-names":false,"suffix":""},{"dropping-particle":"","family":"Kim","given":"Min J.","non-dropping-particle":"","parse-names":false,"suffix":""},{"dropping-particle":"","family":"Mizumori","given":"Sheri J.Y.","non-dropping-particle":"","parse-names":false,"suffix":""},{"dropping-particle":"","family":"Paladini","given":"Carlos A.","non-dropping-particle":"","parse-names":false,"suffix":""},{"dropping-particle":"","family":"Phillips","given":"Paul E.M.","non-dropping-particle":"","parse-names":false,"suffix":""},{"dropping-particle":"","family":"Palmiter","given":"Richard D.","non-dropping-particle":"","parse-names":false,"suffix":""}],"container-title":"Proceedings of the National Academy of Sciences of the United States of America","id":"ITEM-1","issue":"18","issued":{"date-parts":[["2009"]]},"page":"7281-7288","title":"Disruption of NMDAR-dependent burst firing by dopamine neurons provides selective assessment of phasic dopamine-dependent behavior","type":"article-journal","volume":"106"},"uris":["http://www.mendeley.com/documents/?uuid=a35dd2a3-cd1c-4823-ac4e-162dd4379288"]}],"mendeley":{"formattedCitation":"(Zweifel et al., 2009)","plainTextFormattedCitation":"(Zweifel et al., 2009)","previouslyFormattedCitation":"(Zweifel et al., 2009)"},"properties":{"noteIndex":0},"schema":"https://github.com/citation-style-language/schema/raw/master/csl-citation.json"}</w:instrText>
      </w:r>
      <w:r w:rsidR="00F623C3">
        <w:rPr>
          <w:rFonts w:ascii="Times New Roman" w:hAnsi="Times New Roman" w:cs="Times New Roman"/>
          <w:color w:val="242729"/>
          <w:sz w:val="24"/>
          <w:szCs w:val="24"/>
        </w:rPr>
        <w:fldChar w:fldCharType="separate"/>
      </w:r>
      <w:r w:rsidR="00F623C3" w:rsidRPr="00F623C3">
        <w:rPr>
          <w:rFonts w:ascii="Times New Roman" w:hAnsi="Times New Roman" w:cs="Times New Roman"/>
          <w:noProof/>
          <w:color w:val="242729"/>
          <w:sz w:val="24"/>
          <w:szCs w:val="24"/>
        </w:rPr>
        <w:t>(Zweifel et al., 2009)</w:t>
      </w:r>
      <w:r w:rsidR="00F623C3">
        <w:rPr>
          <w:rFonts w:ascii="Times New Roman" w:hAnsi="Times New Roman" w:cs="Times New Roman"/>
          <w:color w:val="242729"/>
          <w:sz w:val="24"/>
          <w:szCs w:val="24"/>
        </w:rPr>
        <w:fldChar w:fldCharType="end"/>
      </w:r>
      <w:r w:rsidR="00F623C3">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 implicating these cells as a neuronal substrate of utility.</w:t>
      </w:r>
    </w:p>
    <w:p w14:paraId="2EF386E6" w14:textId="606FA950" w:rsidR="009C57C2" w:rsidRPr="00DA405F" w:rsidRDefault="00F623C3" w:rsidP="009C57C2">
      <w:pPr>
        <w:rPr>
          <w:rFonts w:ascii="Times New Roman" w:hAnsi="Times New Roman" w:cs="Times New Roman"/>
          <w:sz w:val="24"/>
          <w:szCs w:val="24"/>
        </w:rPr>
      </w:pPr>
      <w:r>
        <w:rPr>
          <w:rFonts w:ascii="Times New Roman" w:hAnsi="Times New Roman" w:cs="Times New Roman"/>
          <w:iCs/>
          <w:color w:val="242729"/>
          <w:sz w:val="24"/>
          <w:szCs w:val="24"/>
        </w:rPr>
        <w:fldChar w:fldCharType="begin" w:fldLock="1"/>
      </w:r>
      <w:r w:rsidR="00C0284B">
        <w:rPr>
          <w:rFonts w:ascii="Times New Roman" w:hAnsi="Times New Roman" w:cs="Times New Roman"/>
          <w:iCs/>
          <w:color w:val="242729"/>
          <w:sz w:val="24"/>
          <w:szCs w:val="24"/>
        </w:rPr>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rPr>
          <w:rFonts w:ascii="Times New Roman" w:hAnsi="Times New Roman" w:cs="Times New Roman"/>
          <w:iCs/>
          <w:color w:val="242729"/>
          <w:sz w:val="24"/>
          <w:szCs w:val="24"/>
        </w:rPr>
        <w:fldChar w:fldCharType="separate"/>
      </w:r>
      <w:r w:rsidRPr="00F623C3">
        <w:rPr>
          <w:rFonts w:ascii="Times New Roman" w:hAnsi="Times New Roman" w:cs="Times New Roman"/>
          <w:iCs/>
          <w:noProof/>
          <w:color w:val="242729"/>
          <w:sz w:val="24"/>
          <w:szCs w:val="24"/>
        </w:rPr>
        <w:t>Lak et al., 2014</w:t>
      </w:r>
      <w:r>
        <w:rPr>
          <w:rFonts w:ascii="Times New Roman" w:hAnsi="Times New Roman" w:cs="Times New Roman"/>
          <w:iCs/>
          <w:color w:val="242729"/>
          <w:sz w:val="24"/>
          <w:szCs w:val="24"/>
        </w:rPr>
        <w:fldChar w:fldCharType="end"/>
      </w:r>
      <w:r w:rsidR="005006DA">
        <w:rPr>
          <w:rFonts w:ascii="Times New Roman" w:hAnsi="Times New Roman" w:cs="Times New Roman"/>
          <w:iCs/>
          <w:color w:val="242729"/>
          <w:sz w:val="24"/>
          <w:szCs w:val="24"/>
        </w:rPr>
        <w:t xml:space="preserve"> furthered this by</w:t>
      </w:r>
      <w:r w:rsidR="009C57C2" w:rsidRPr="00DA405F">
        <w:rPr>
          <w:rFonts w:ascii="Times New Roman" w:hAnsi="Times New Roman" w:cs="Times New Roman"/>
          <w:iCs/>
          <w:color w:val="242729"/>
          <w:sz w:val="24"/>
          <w:szCs w:val="24"/>
        </w:rPr>
        <w:t xml:space="preserve"> studied the dopaminergic activity of midbrain neurons in rhesus macaques making choices that differed by magnitude, probability, and type of consumable good (either flavour of juice, or juice versus mashed banana). Monkeys showed complete and transitive choices, i.e. choosing as if satisfying some integrated quantity (utility) rather than separate reward dimensions. The RPE activity of single neurons recorded in this study reflected this unitary scale, rather than the separate attributes of the goods, suggesting that the prediction error of dopaminergic cells is, in fact, a </w:t>
      </w:r>
      <w:r w:rsidR="009C57C2" w:rsidRPr="00DA405F">
        <w:rPr>
          <w:rFonts w:ascii="Times New Roman" w:hAnsi="Times New Roman" w:cs="Times New Roman"/>
          <w:i/>
          <w:iCs/>
          <w:color w:val="242729"/>
          <w:sz w:val="24"/>
          <w:szCs w:val="24"/>
        </w:rPr>
        <w:t>utility</w:t>
      </w:r>
      <w:r w:rsidR="009C57C2" w:rsidRPr="00DA405F">
        <w:rPr>
          <w:rFonts w:ascii="Times New Roman" w:hAnsi="Times New Roman" w:cs="Times New Roman"/>
          <w:color w:val="242729"/>
          <w:sz w:val="24"/>
          <w:szCs w:val="24"/>
        </w:rPr>
        <w:t xml:space="preserve"> prediction error.</w:t>
      </w:r>
    </w:p>
    <w:p w14:paraId="1E83A4C2" w14:textId="5B76113D" w:rsidR="009C57C2" w:rsidRPr="00C0284B" w:rsidRDefault="009C57C2" w:rsidP="009C57C2">
      <w:pPr>
        <w:rPr>
          <w:rFonts w:ascii="Times New Roman" w:hAnsi="Times New Roman" w:cs="Times New Roman"/>
          <w:color w:val="242729"/>
          <w:sz w:val="24"/>
          <w:szCs w:val="24"/>
        </w:rPr>
      </w:pPr>
      <w:r w:rsidRPr="00DA405F">
        <w:rPr>
          <w:rFonts w:ascii="Times New Roman" w:hAnsi="Times New Roman" w:cs="Times New Roman"/>
          <w:color w:val="242729"/>
          <w:sz w:val="24"/>
          <w:szCs w:val="24"/>
        </w:rPr>
        <w:t xml:space="preserve">Aside from the physical components, another important dimension rewards can vary along is the effort and time taken to receive </w:t>
      </w:r>
      <w:r w:rsidRPr="00DA405F">
        <w:rPr>
          <w:rFonts w:ascii="Times New Roman" w:hAnsi="Times New Roman" w:cs="Times New Roman"/>
          <w:iCs/>
          <w:color w:val="242729"/>
          <w:sz w:val="24"/>
          <w:szCs w:val="24"/>
        </w:rPr>
        <w:t xml:space="preserve">said good, i.e. </w:t>
      </w:r>
      <w:r w:rsidRPr="00DA405F">
        <w:rPr>
          <w:rFonts w:ascii="Times New Roman" w:hAnsi="Times New Roman" w:cs="Times New Roman"/>
          <w:i/>
          <w:iCs/>
          <w:color w:val="242729"/>
          <w:sz w:val="24"/>
          <w:szCs w:val="24"/>
        </w:rPr>
        <w:t>“a bird in the hand is worth two in the bush”</w:t>
      </w:r>
      <w:r w:rsidRPr="00DA405F">
        <w:rPr>
          <w:rFonts w:ascii="Times New Roman" w:hAnsi="Times New Roman" w:cs="Times New Roman"/>
          <w:color w:val="242729"/>
          <w:sz w:val="24"/>
          <w:szCs w:val="24"/>
        </w:rPr>
        <w:t>.</w:t>
      </w:r>
      <w:r w:rsidR="00AF3525">
        <w:rPr>
          <w:rFonts w:ascii="Times New Roman" w:hAnsi="Times New Roman" w:cs="Times New Roman"/>
          <w:color w:val="242729"/>
          <w:sz w:val="24"/>
          <w:szCs w:val="24"/>
        </w:rPr>
        <w:t xml:space="preserve"> If dopamine signalling is incorporating all of the dimensions of a possible reward into a unitary scale, these two should be encoded.</w:t>
      </w:r>
      <w:r w:rsidR="00C0284B">
        <w:rPr>
          <w:rFonts w:ascii="Times New Roman" w:hAnsi="Times New Roman" w:cs="Times New Roman"/>
          <w:color w:val="242729"/>
          <w:sz w:val="24"/>
          <w:szCs w:val="24"/>
        </w:rPr>
        <w:t xml:space="preserve"> </w:t>
      </w:r>
      <w:r w:rsidR="00C0284B">
        <w:rPr>
          <w:rFonts w:ascii="Times New Roman" w:hAnsi="Times New Roman" w:cs="Times New Roman"/>
          <w:color w:val="242729"/>
          <w:sz w:val="24"/>
          <w:szCs w:val="24"/>
        </w:rPr>
        <w:fldChar w:fldCharType="begin" w:fldLock="1"/>
      </w:r>
      <w:r w:rsidR="00A7494A">
        <w:rPr>
          <w:rFonts w:ascii="Times New Roman" w:hAnsi="Times New Roman" w:cs="Times New Roman"/>
          <w:color w:val="242729"/>
          <w:sz w:val="24"/>
          <w:szCs w:val="24"/>
        </w:rPr>
        <w:instrText>ADDIN CSL_CITATION {"citationItems":[{"id":"ITEM-1","itemData":{"DOI":"10.1038/nn1923","ISSN":"10976256","PMID":"17603481","abstract":"The ability to predict favorable outcomes using environmental cues is an essential part of learned behavior. Dopamine neurons in the midbrain encode such stimulus-reward relationships in a manner consistent with contemporary learning models, but it is unclear how encoding this translates into actual dopamine release in target regions. Here, we sampled dopamine levels in the rat nucleus accumbens on a rapid (100 ms) timescale using electrochemical technology during a classical conditioning procedure. Early in conditioning, transient dopamine-release events signaled a primary reward, but not predictive cues. After repeated cue-reward pairings, dopamine signals shifted in time to predictive cue onset and were no longer observed at reward delivery. In the absence of stimulus-reward conditioning, there was no shift in the dopamine signal. Consistent with proposed roles in reward prediction and incentive salience, these results indicate that rapid dopamine release provides a reward signal that is dynamically modified by associative learning. © 2007 Nature Publishing Group.","author":[{"dropping-particle":"","family":"Day","given":"Jeremy J.","non-dropping-particle":"","parse-names":false,"suffix":""},{"dropping-particle":"","family":"Roitman","given":"Mitchell F.","non-dropping-particle":"","parse-names":false,"suffix":""},{"dropping-particle":"","family":"Wightman","given":"R. Mark","non-dropping-particle":"","parse-names":false,"suffix":""},{"dropping-particle":"","family":"Carelli","given":"Regina M.","non-dropping-particle":"","parse-names":false,"suffix":""}],"container-title":"Nature Neuroscience","id":"ITEM-1","issue":"8","issued":{"date-parts":[["2007"]]},"page":"1020-1028","title":"Associative learning mediates dynamic shifts in dopamine signaling in the nucleus accumbens","type":"article-journal","volume":"10"},"uris":["http://www.mendeley.com/documents/?uuid=e5e8229a-373c-4539-aba6-c1e4f02df68c"]}],"mendeley":{"formattedCitation":"(Day et al., 2007)","manualFormatting":"Day et al., 2007","plainTextFormattedCitation":"(Day et al., 2007)","previouslyFormattedCitation":"(Day et al., 2007)"},"properties":{"noteIndex":0},"schema":"https://github.com/citation-style-language/schema/raw/master/csl-citation.json"}</w:instrText>
      </w:r>
      <w:r w:rsidR="00C0284B">
        <w:rPr>
          <w:rFonts w:ascii="Times New Roman" w:hAnsi="Times New Roman" w:cs="Times New Roman"/>
          <w:color w:val="242729"/>
          <w:sz w:val="24"/>
          <w:szCs w:val="24"/>
        </w:rPr>
        <w:fldChar w:fldCharType="separate"/>
      </w:r>
      <w:r w:rsidR="00C0284B" w:rsidRPr="00C0284B">
        <w:rPr>
          <w:rFonts w:ascii="Times New Roman" w:hAnsi="Times New Roman" w:cs="Times New Roman"/>
          <w:noProof/>
          <w:color w:val="242729"/>
          <w:sz w:val="24"/>
          <w:szCs w:val="24"/>
        </w:rPr>
        <w:t>Day et al., 2007</w:t>
      </w:r>
      <w:r w:rsidR="00C0284B">
        <w:rPr>
          <w:rFonts w:ascii="Times New Roman" w:hAnsi="Times New Roman" w:cs="Times New Roman"/>
          <w:color w:val="242729"/>
          <w:sz w:val="24"/>
          <w:szCs w:val="24"/>
        </w:rPr>
        <w:fldChar w:fldCharType="end"/>
      </w:r>
      <w:r w:rsidR="00C0284B">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used voltammetry to study dopamine released by midbrain projections to the nucleus accumbens in rats. In forced choice trials, significantly less dopamine was released (with the implication that therefore this is also less neuronal spiking activity from the upstream dopaminergic neurons, but see</w:t>
      </w:r>
      <w:r w:rsidRPr="00CD3967">
        <w:rPr>
          <w:rStyle w:val="FootnoteReference"/>
        </w:rPr>
        <w:footnoteReference w:id="11"/>
      </w:r>
      <w:r w:rsidRPr="00DA405F">
        <w:rPr>
          <w:rFonts w:ascii="Times New Roman" w:hAnsi="Times New Roman" w:cs="Times New Roman"/>
          <w:color w:val="242729"/>
          <w:sz w:val="24"/>
          <w:szCs w:val="24"/>
        </w:rPr>
        <w:t xml:space="preserve">) when the obligated good was either delayed, or required repeated lever presses (had a high effort cost). Single cells dopaminergic activity in macaques have since been shown to reduce in a hyperbolic manner as rewards are time discounted </w:t>
      </w:r>
      <w:r w:rsidR="00FA6C75">
        <w:rPr>
          <w:rFonts w:ascii="Times New Roman" w:hAnsi="Times New Roman" w:cs="Times New Roman"/>
          <w:color w:val="242729"/>
          <w:sz w:val="24"/>
          <w:szCs w:val="24"/>
        </w:rPr>
        <w:fldChar w:fldCharType="begin" w:fldLock="1"/>
      </w:r>
      <w:r w:rsidR="005B4BC5">
        <w:rPr>
          <w:rFonts w:ascii="Times New Roman" w:hAnsi="Times New Roman" w:cs="Times New Roman"/>
          <w:color w:val="242729"/>
          <w:sz w:val="24"/>
          <w:szCs w:val="24"/>
        </w:rPr>
        <w:instrText>ADDIN CSL_CITATION {"citationItems":[{"id":"ITEM-1","itemData":{"DOI":"10.1523/JNEUROSCI.1600-08.2008","ISSN":"02706474","PMID":"18667616","abstract":"Psychological and microeconomic studies have shown that outcome values are discounted by imposed delays. The effect, called temporal discounting, is demonstrated typically by choice preferences for sooner smaller rewards over later larger rewards. However, it is unclear whether temporal discounting occurs during the decision process when differently delayed reward outcomes are compared or during predictions of reward delays by pavlovian conditioned stimuli without choice. To address this issue, we investigated the temporal discounting behavior in a choice situation and studied the effects of reward delay on the value signals of dopamine neurons. The choice behavior confirmed hyperbolic discounting of reward value by delays on the order of seconds. Reward delay reduced the responses of dopamine neurons to pavlovian conditioned stimuli according to a hyperbolic decay function similar to that observed in choice behavior. Moreover, the stimulus responses increased with larger reward magnitudes, suggesting that both delay and magnitude constituted viable components of dopamine value signals. In contrast, dopamine responses to the reward itself increased with longer delays, possibly reflecting temporal uncertainty and partial learning. These dopamine reward value signals might serve as useful inputs for brain mechanisms involved in economic choices between delayed rewards. Copyright © 2008 Society for Neuroscience.","author":[{"dropping-particle":"","family":"Kobayashi","given":"Shunsuke","non-dropping-particle":"","parse-names":false,"suffix":""},{"dropping-particle":"","family":"Schultz","given":"Wolfram","non-dropping-particle":"","parse-names":false,"suffix":""}],"container-title":"Journal of Neuroscience","id":"ITEM-1","issue":"31","issued":{"date-parts":[["2008"]]},"page":"7837-7846","title":"Influence of reward delays on responses of dopamine neurons","type":"article-journal","volume":"28"},"uris":["http://www.mendeley.com/documents/?uuid=36235357-559c-484b-8776-e1a1771d840b"]}],"mendeley":{"formattedCitation":"(Kobayashi &amp; Schultz, 2008)","plainTextFormattedCitation":"(Kobayashi &amp; Schultz, 2008)","previouslyFormattedCitation":"(Kobayashi &amp; Schultz, 2008)"},"properties":{"noteIndex":0},"schema":"https://github.com/citation-style-language/schema/raw/master/csl-citation.json"}</w:instrText>
      </w:r>
      <w:r w:rsidR="00FA6C75">
        <w:rPr>
          <w:rFonts w:ascii="Times New Roman" w:hAnsi="Times New Roman" w:cs="Times New Roman"/>
          <w:color w:val="242729"/>
          <w:sz w:val="24"/>
          <w:szCs w:val="24"/>
        </w:rPr>
        <w:fldChar w:fldCharType="separate"/>
      </w:r>
      <w:r w:rsidR="00FA6C75" w:rsidRPr="00FA6C75">
        <w:rPr>
          <w:rFonts w:ascii="Times New Roman" w:hAnsi="Times New Roman" w:cs="Times New Roman"/>
          <w:noProof/>
          <w:color w:val="242729"/>
          <w:sz w:val="24"/>
          <w:szCs w:val="24"/>
        </w:rPr>
        <w:t>(Kobayashi &amp; Schultz, 2008)</w:t>
      </w:r>
      <w:r w:rsidR="00FA6C75">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a recent study has extended the idea of folding effort into the unitary scale of utility encoding in macaque dopaminergic neurons </w:t>
      </w:r>
      <w:r w:rsidR="00A7494A">
        <w:rPr>
          <w:rFonts w:ascii="Times New Roman" w:hAnsi="Times New Roman" w:cs="Times New Roman"/>
          <w:color w:val="242729"/>
          <w:sz w:val="24"/>
          <w:szCs w:val="24"/>
        </w:rPr>
        <w:fldChar w:fldCharType="begin" w:fldLock="1"/>
      </w:r>
      <w:r w:rsidR="00C87A17">
        <w:rPr>
          <w:rFonts w:ascii="Times New Roman" w:hAnsi="Times New Roman" w:cs="Times New Roman"/>
          <w:color w:val="242729"/>
          <w:sz w:val="24"/>
          <w:szCs w:val="24"/>
        </w:rPr>
        <w:instrText>ADDIN CSL_CITATION {"citationItems":[{"id":"ITEM-1","itemData":{"author":[{"dropping-particle":"","family":"Burrell","given":"M. H.","non-dropping-particle":"","parse-names":false,"suffix":""}],"container-title":"Doctoral Thesis","id":"ITEM-1","issued":{"date-parts":[["2019"]]},"title":"Measuring the Subjective Value of Effort in Behaviour and Midbrain Dopamine Neurons","type":"article-journal"},"uris":["http://www.mendeley.com/documents/?uuid=8e337618-e55b-4939-b403-7857db14c40f"]}],"mendeley":{"formattedCitation":"(Burrell, 2019)","plainTextFormattedCitation":"(Burrell, 2019)","previouslyFormattedCitation":"(Burrell, 2020)"},"properties":{"noteIndex":0},"schema":"https://github.com/citation-style-language/schema/raw/master/csl-citation.json"}</w:instrText>
      </w:r>
      <w:r w:rsidR="00A7494A">
        <w:rPr>
          <w:rFonts w:ascii="Times New Roman" w:hAnsi="Times New Roman" w:cs="Times New Roman"/>
          <w:color w:val="242729"/>
          <w:sz w:val="24"/>
          <w:szCs w:val="24"/>
        </w:rPr>
        <w:fldChar w:fldCharType="separate"/>
      </w:r>
      <w:r w:rsidR="00C87A17" w:rsidRPr="00C87A17">
        <w:rPr>
          <w:rFonts w:ascii="Times New Roman" w:hAnsi="Times New Roman" w:cs="Times New Roman"/>
          <w:noProof/>
          <w:color w:val="242729"/>
          <w:sz w:val="24"/>
          <w:szCs w:val="24"/>
        </w:rPr>
        <w:t>(Burrell, 2019)</w:t>
      </w:r>
      <w:r w:rsidR="00A7494A">
        <w:rPr>
          <w:rFonts w:ascii="Times New Roman" w:hAnsi="Times New Roman" w:cs="Times New Roman"/>
          <w:color w:val="242729"/>
          <w:sz w:val="24"/>
          <w:szCs w:val="24"/>
        </w:rPr>
        <w:fldChar w:fldCharType="end"/>
      </w:r>
      <w:r w:rsidR="00A7494A">
        <w:rPr>
          <w:rFonts w:ascii="Times New Roman" w:hAnsi="Times New Roman" w:cs="Times New Roman"/>
          <w:color w:val="242729"/>
          <w:sz w:val="24"/>
          <w:szCs w:val="24"/>
        </w:rPr>
        <w:t>.</w:t>
      </w:r>
    </w:p>
    <w:p w14:paraId="32082967" w14:textId="40491FDB"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Finally, employing an experimental paradigm using gambles to construct the utility function (the 'fractal method';</w:t>
      </w:r>
      <w:r w:rsidR="00977A84">
        <w:rPr>
          <w:rFonts w:ascii="Times New Roman" w:hAnsi="Times New Roman" w:cs="Times New Roman"/>
          <w:color w:val="242729"/>
          <w:sz w:val="24"/>
          <w:szCs w:val="24"/>
        </w:rPr>
        <w:t xml:space="preserve"> </w:t>
      </w:r>
      <w:r w:rsidR="00977A84">
        <w:rPr>
          <w:rFonts w:ascii="Times New Roman" w:hAnsi="Times New Roman" w:cs="Times New Roman"/>
          <w:color w:val="242729"/>
          <w:sz w:val="24"/>
          <w:szCs w:val="24"/>
        </w:rPr>
        <w:fldChar w:fldCharType="begin" w:fldLock="1"/>
      </w:r>
      <w:r w:rsidR="006D0598">
        <w:rPr>
          <w:rFonts w:ascii="Times New Roman" w:hAnsi="Times New Roman" w:cs="Times New Roman"/>
          <w:color w:val="242729"/>
          <w:sz w:val="24"/>
          <w:szCs w:val="24"/>
        </w:rPr>
        <w:instrText>ADDIN CSL_CITATION {"citationItems":[{"id":"ITEM-1","itemData":{"DOI":"10.1257/jep.1.1.121","ISSN":"0895-3309","abstract":"Fifteen years ago, the theory of choice under uncertainty could be considered one of the “success stories” of economic analysis: it rested on solid axiomatic foundations, it had seen important breakthroughs in the analytics of risk, risk aversion, and their applications to economic issues, and it stood ready to provide the theoretical underpinnings for the newly emerging “information revolution” in economics. Today choice under uncertainty is a field in flux: the standard theory is being challenged on several grounds from both within and outside economics. The nature of these challenges, and of our profession's responses to them, is the topic of this paper.","author":[{"dropping-particle":"","family":"Machina","given":"Mark J","non-dropping-particle":"","parse-names":false,"suffix":""}],"container-title":"Journal of Economic Perspectives","id":"ITEM-1","issue":"1","issued":{"date-parts":[["1987"]]},"page":"121-154","title":"Choice Under Uncertainty: Problems Solved and Unsolved","type":"article-journal","volume":"1"},"uris":["http://www.mendeley.com/documents/?uuid=289343ff-2e32-4c12-aa91-10e1079099d4"]}],"mendeley":{"formattedCitation":"(Machina, 1987)","manualFormatting":"Machina, 1987)","plainTextFormattedCitation":"(Machina, 1987)","previouslyFormattedCitation":"(Machina, 1987)"},"properties":{"noteIndex":0},"schema":"https://github.com/citation-style-language/schema/raw/master/csl-citation.json"}</w:instrText>
      </w:r>
      <w:r w:rsidR="00977A84">
        <w:rPr>
          <w:rFonts w:ascii="Times New Roman" w:hAnsi="Times New Roman" w:cs="Times New Roman"/>
          <w:color w:val="242729"/>
          <w:sz w:val="24"/>
          <w:szCs w:val="24"/>
        </w:rPr>
        <w:fldChar w:fldCharType="separate"/>
      </w:r>
      <w:r w:rsidR="00977A84" w:rsidRPr="00977A84">
        <w:rPr>
          <w:rFonts w:ascii="Times New Roman" w:hAnsi="Times New Roman" w:cs="Times New Roman"/>
          <w:noProof/>
          <w:color w:val="242729"/>
          <w:sz w:val="24"/>
          <w:szCs w:val="24"/>
        </w:rPr>
        <w:t>Machina, 1987)</w:t>
      </w:r>
      <w:r w:rsidR="00977A84">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w:t>
      </w:r>
      <w:r w:rsidR="00592B2C">
        <w:rPr>
          <w:rFonts w:ascii="Times New Roman" w:hAnsi="Times New Roman" w:cs="Times New Roman"/>
          <w:color w:val="242729"/>
          <w:sz w:val="24"/>
          <w:szCs w:val="24"/>
        </w:rPr>
        <w:fldChar w:fldCharType="begin" w:fldLock="1"/>
      </w:r>
      <w:r w:rsidR="00977A84">
        <w:rPr>
          <w:rFonts w:ascii="Times New Roman" w:hAnsi="Times New Roman" w:cs="Times New Roman"/>
          <w:color w:val="242729"/>
          <w:sz w:val="24"/>
          <w:szCs w:val="24"/>
        </w:rPr>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utility","type":"article-journal","volume":"24"},"uris":["http://www.mendeley.com/documents/?uuid=7c4277a4-4814-491b-afd5-67ddc993078e"]}],"mendeley":{"formattedCitation":"(Stauffer et al., 2014)","manualFormatting":"Stauffer et al.","plainTextFormattedCitation":"(Stauffer et al., 2014)","previouslyFormattedCitation":"(Stauffer et al., 2014)"},"properties":{"noteIndex":0},"schema":"https://github.com/citation-style-language/schema/raw/master/csl-citation.json"}</w:instrText>
      </w:r>
      <w:r w:rsidR="00592B2C">
        <w:rPr>
          <w:rFonts w:ascii="Times New Roman" w:hAnsi="Times New Roman" w:cs="Times New Roman"/>
          <w:color w:val="242729"/>
          <w:sz w:val="24"/>
          <w:szCs w:val="24"/>
        </w:rPr>
        <w:fldChar w:fldCharType="separate"/>
      </w:r>
      <w:r w:rsidR="00592B2C" w:rsidRPr="00592B2C">
        <w:rPr>
          <w:rFonts w:ascii="Times New Roman" w:hAnsi="Times New Roman" w:cs="Times New Roman"/>
          <w:noProof/>
          <w:color w:val="242729"/>
          <w:sz w:val="24"/>
          <w:szCs w:val="24"/>
        </w:rPr>
        <w:t>Stauffer et al.</w:t>
      </w:r>
      <w:r w:rsidR="00592B2C">
        <w:rPr>
          <w:rFonts w:ascii="Times New Roman" w:hAnsi="Times New Roman" w:cs="Times New Roman"/>
          <w:color w:val="242729"/>
          <w:sz w:val="24"/>
          <w:szCs w:val="24"/>
        </w:rPr>
        <w:fldChar w:fldCharType="end"/>
      </w:r>
      <w:r w:rsidR="00592B2C">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found that the normalised dopaminergic phasic activity associated with reward increased in a non</w:t>
      </w:r>
      <w:r w:rsidR="008E6953">
        <w:rPr>
          <w:rFonts w:ascii="Times New Roman" w:hAnsi="Times New Roman" w:cs="Times New Roman"/>
          <w:color w:val="242729"/>
          <w:sz w:val="24"/>
          <w:szCs w:val="24"/>
        </w:rPr>
        <w:t>-</w:t>
      </w:r>
      <w:r w:rsidRPr="00DA405F">
        <w:rPr>
          <w:rFonts w:ascii="Times New Roman" w:hAnsi="Times New Roman" w:cs="Times New Roman"/>
          <w:color w:val="242729"/>
          <w:sz w:val="24"/>
          <w:szCs w:val="24"/>
        </w:rPr>
        <w:t>linear manner as the expected value of a gamble increased linearly. Such non-linearities in utility-versus-value are the foundational theoretical finding from</w:t>
      </w:r>
      <w:r w:rsidR="005B4BC5">
        <w:rPr>
          <w:rFonts w:ascii="Times New Roman" w:hAnsi="Times New Roman" w:cs="Times New Roman"/>
          <w:color w:val="242729"/>
          <w:sz w:val="24"/>
          <w:szCs w:val="24"/>
        </w:rPr>
        <w:t xml:space="preserve"> </w:t>
      </w:r>
      <w:r w:rsidR="005B4BC5">
        <w:rPr>
          <w:rFonts w:ascii="Times New Roman" w:hAnsi="Times New Roman" w:cs="Times New Roman"/>
          <w:color w:val="242729"/>
          <w:sz w:val="24"/>
          <w:szCs w:val="24"/>
        </w:rPr>
        <w:fldChar w:fldCharType="begin" w:fldLock="1"/>
      </w:r>
      <w:r w:rsidR="00592B2C">
        <w:rPr>
          <w:rFonts w:ascii="Times New Roman" w:hAnsi="Times New Roman" w:cs="Times New Roman"/>
          <w:color w:val="242729"/>
          <w:sz w:val="24"/>
          <w:szCs w:val="24"/>
        </w:rPr>
        <w:instrText>ADDIN CSL_CITATION {"citationItems":[{"id":"ITEM-1","itemData":{"author":[{"dropping-particle":"","family":"Bernoulli","given":"Daniel","non-dropping-particle":"","parse-names":false,"suffix":""}],"container-title":"Econometrica","id":"ITEM-1","issue":"1","issued":{"date-parts":[["1738"]]},"page":"23-36","title":"Exposition of a New Theory on the Measurement of Risk","type":"article-journal","volume":"22"},"uris":["http://www.mendeley.com/documents/?uuid=ac9701dc-8b5f-42e9-8cb1-2333386d4ac0"]}],"mendeley":{"formattedCitation":"(Bernoulli, 1738)","manualFormatting":"Bernoulli","plainTextFormattedCitation":"(Bernoulli, 1738)","previouslyFormattedCitation":"(Bernoulli, 1738)"},"properties":{"noteIndex":0},"schema":"https://github.com/citation-style-language/schema/raw/master/csl-citation.json"}</w:instrText>
      </w:r>
      <w:r w:rsidR="005B4BC5">
        <w:rPr>
          <w:rFonts w:ascii="Times New Roman" w:hAnsi="Times New Roman" w:cs="Times New Roman"/>
          <w:color w:val="242729"/>
          <w:sz w:val="24"/>
          <w:szCs w:val="24"/>
        </w:rPr>
        <w:fldChar w:fldCharType="separate"/>
      </w:r>
      <w:r w:rsidR="005B4BC5" w:rsidRPr="005B4BC5">
        <w:rPr>
          <w:rFonts w:ascii="Times New Roman" w:hAnsi="Times New Roman" w:cs="Times New Roman"/>
          <w:noProof/>
          <w:color w:val="242729"/>
          <w:sz w:val="24"/>
          <w:szCs w:val="24"/>
        </w:rPr>
        <w:t>Bernoulli</w:t>
      </w:r>
      <w:r w:rsidR="005B4BC5">
        <w:rPr>
          <w:rFonts w:ascii="Times New Roman" w:hAnsi="Times New Roman" w:cs="Times New Roman"/>
          <w:color w:val="242729"/>
          <w:sz w:val="24"/>
          <w:szCs w:val="24"/>
        </w:rPr>
        <w:fldChar w:fldCharType="end"/>
      </w:r>
      <w:r w:rsidR="005B4BC5">
        <w:rPr>
          <w:rFonts w:ascii="Times New Roman" w:hAnsi="Times New Roman" w:cs="Times New Roman"/>
          <w:color w:val="242729"/>
          <w:sz w:val="24"/>
          <w:szCs w:val="24"/>
        </w:rPr>
        <w:t>’s work on the St. Petersburg paradox</w:t>
      </w:r>
      <w:r w:rsidRPr="00DA405F">
        <w:rPr>
          <w:rFonts w:ascii="Times New Roman" w:hAnsi="Times New Roman" w:cs="Times New Roman"/>
          <w:color w:val="242729"/>
          <w:sz w:val="24"/>
          <w:szCs w:val="24"/>
        </w:rPr>
        <w:t>. That the increase in dopaminergic cell firing mirrors this asymmetry is more evidence that the</w:t>
      </w:r>
      <w:r w:rsidR="005C27F9">
        <w:rPr>
          <w:rFonts w:ascii="Times New Roman" w:hAnsi="Times New Roman" w:cs="Times New Roman"/>
          <w:color w:val="242729"/>
          <w:sz w:val="24"/>
          <w:szCs w:val="24"/>
        </w:rPr>
        <w:t xml:space="preserve"> activity of these dopaminergic projections are </w:t>
      </w:r>
      <w:r w:rsidR="00B61727">
        <w:rPr>
          <w:rFonts w:ascii="Times New Roman" w:hAnsi="Times New Roman" w:cs="Times New Roman"/>
          <w:color w:val="242729"/>
          <w:sz w:val="24"/>
          <w:szCs w:val="24"/>
        </w:rPr>
        <w:t>signalling</w:t>
      </w:r>
      <w:r w:rsidRPr="00DA405F">
        <w:rPr>
          <w:rFonts w:ascii="Times New Roman" w:hAnsi="Times New Roman" w:cs="Times New Roman"/>
          <w:color w:val="242729"/>
          <w:sz w:val="24"/>
          <w:szCs w:val="24"/>
        </w:rPr>
        <w:t xml:space="preserve"> a utility-prediction error.</w:t>
      </w:r>
    </w:p>
    <w:p w14:paraId="7D532E50" w14:textId="2314B940" w:rsidR="00346260"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Though we have focused on the dopaminergic midbrain in this introduction (and throughout the rest of this thesis), it should be noted that other areas of the brain have also been proposed as encoding economic value. Given the fundamental importance of economic decision-making to the survival and well-being of humans, and other animals, it is hardly surprising that </w:t>
      </w:r>
      <w:r w:rsidR="00AD4CEC">
        <w:rPr>
          <w:rFonts w:ascii="Times New Roman" w:hAnsi="Times New Roman" w:cs="Times New Roman"/>
          <w:color w:val="242729"/>
          <w:sz w:val="24"/>
          <w:szCs w:val="24"/>
        </w:rPr>
        <w:t xml:space="preserve">these decisions might </w:t>
      </w:r>
      <w:r w:rsidR="00945C0E">
        <w:rPr>
          <w:rFonts w:ascii="Times New Roman" w:hAnsi="Times New Roman" w:cs="Times New Roman"/>
          <w:color w:val="242729"/>
          <w:sz w:val="24"/>
          <w:szCs w:val="24"/>
        </w:rPr>
        <w:t>involve</w:t>
      </w:r>
      <w:r w:rsidR="00AD4CEC">
        <w:rPr>
          <w:rFonts w:ascii="Times New Roman" w:hAnsi="Times New Roman" w:cs="Times New Roman"/>
          <w:color w:val="242729"/>
          <w:sz w:val="24"/>
          <w:szCs w:val="24"/>
        </w:rPr>
        <w:t xml:space="preserve"> the integration of multiple</w:t>
      </w:r>
      <w:r w:rsidR="007923F8">
        <w:rPr>
          <w:rFonts w:ascii="Times New Roman" w:hAnsi="Times New Roman" w:cs="Times New Roman"/>
          <w:sz w:val="24"/>
          <w:szCs w:val="24"/>
        </w:rPr>
        <w:t xml:space="preserve"> </w:t>
      </w:r>
      <w:r w:rsidR="00945C0E">
        <w:rPr>
          <w:rFonts w:ascii="Times New Roman" w:hAnsi="Times New Roman" w:cs="Times New Roman"/>
          <w:sz w:val="24"/>
          <w:szCs w:val="24"/>
        </w:rPr>
        <w:t xml:space="preserve">regions of the brain </w:t>
      </w:r>
      <w:r w:rsidR="00945C0E">
        <w:rPr>
          <w:rFonts w:ascii="Times New Roman" w:hAnsi="Times New Roman" w:cs="Times New Roman"/>
          <w:color w:val="242729"/>
          <w:sz w:val="24"/>
          <w:szCs w:val="24"/>
        </w:rPr>
        <w:fldChar w:fldCharType="begin" w:fldLock="1"/>
      </w:r>
      <w:r w:rsidR="00945C0E">
        <w:rPr>
          <w:rFonts w:ascii="Times New Roman" w:hAnsi="Times New Roman" w:cs="Times New Roman"/>
          <w:color w:val="242729"/>
          <w:sz w:val="24"/>
          <w:szCs w:val="24"/>
        </w:rP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value","type":"article-journal","volume":"441"},"uris":["http://www.mendeley.com/documents/?uuid=a75d270b-8d07-4fca-b712-5eb9a03dc903"]},{"id":"ITEM-2","itemData":{"DOI":"10.1073/pnas.1212706109","ISSN":"00278424","PMID":"23112182","abstract":"The amygdala is a key structure of the brain's reward system. Existing theories view its role in decision-making as restricted to an early valuation stage that provides input to decision mechanisms in downstream brain structures. However, the extent to which the amygdala itself codes information about economic choices is unclear. Here, we report that individual neurons in the primate amygdala predict behavioral choices in an economic decision task. We recorded the activity of amygdala neurons while monkeys chose between saving liquid reward with interest and spending the accumulated reward. In addition to known value-related responses, we found that activity in a group of amygdala neurons predicted the monkeys' upcoming save-spend choices with an average accuracy of 78%. This choice-predictive activity occurred early in trials, even before information about specific actions associated with save-spend choices was available. For a substantial number of neurons, choice-differential activity was specific for free, internally generated economic choices and not observed in a control task involving forced imperative choices. A subgroup of choice-predictive neurons did not show relationships to value, movement direction, or visual stimulus features. Choice-predictive activity in some amygdala neurons was preceded by transient periods of value coding, suggesting value-to-choice transitions and resembling decision processes in other brain systems. These findings suggest that the amygdala might play an active role in economic decisions. Current views of amygdala function should be extended to incorporate a role in decision-making beyond valuation.","author":[{"dropping-particle":"","family":"Grabenhorst","given":"Fabian","non-dropping-particle":"","parse-names":false,"suffix":""},{"dropping-particle":"","family":"Hernádi","given":"István","non-dropping-particle":"","parse-names":false,"suffix":""},{"dropping-particle":"","family":"Schultz","given":"Wolfram","non-dropping-particle":"","parse-names":false,"suffix":""}],"container-title":"Proceedings of the National Academy of Sciences of the United States of America","id":"ITEM-2","issue":"46","issued":{"date-parts":[["2012"]]},"page":"18950-18955","title":"Prediction of economic choice by primate amygdala neurons","type":"article-journal","volume":"109"},"uris":["http://www.mendeley.com/documents/?uuid=452a1de1-5dbf-4eea-9455-71672daa1dab"]}],"mendeley":{"formattedCitation":"(Grabenhorst et al., 2012; Padoa-Schioppa &amp; Assad, 2006)","plainTextFormattedCitation":"(Grabenhorst et al., 2012; Padoa-Schioppa &amp; Assad, 2006)","previouslyFormattedCitation":"(Grabenhorst et al., 2012; Padoa-Schioppa &amp; Assad, 2006)"},"properties":{"noteIndex":0},"schema":"https://github.com/citation-style-language/schema/raw/master/csl-citation.json"}</w:instrText>
      </w:r>
      <w:r w:rsidR="00945C0E">
        <w:rPr>
          <w:rFonts w:ascii="Times New Roman" w:hAnsi="Times New Roman" w:cs="Times New Roman"/>
          <w:color w:val="242729"/>
          <w:sz w:val="24"/>
          <w:szCs w:val="24"/>
        </w:rPr>
        <w:fldChar w:fldCharType="separate"/>
      </w:r>
      <w:r w:rsidR="00945C0E" w:rsidRPr="00BB3E70">
        <w:rPr>
          <w:rFonts w:ascii="Times New Roman" w:hAnsi="Times New Roman" w:cs="Times New Roman"/>
          <w:noProof/>
          <w:color w:val="242729"/>
          <w:sz w:val="24"/>
          <w:szCs w:val="24"/>
        </w:rPr>
        <w:t>(Grabenhorst et al., 2012; Padoa-Schioppa &amp; Assad, 2006)</w:t>
      </w:r>
      <w:r w:rsidR="00945C0E">
        <w:rPr>
          <w:rFonts w:ascii="Times New Roman" w:hAnsi="Times New Roman" w:cs="Times New Roman"/>
          <w:color w:val="242729"/>
          <w:sz w:val="24"/>
          <w:szCs w:val="24"/>
        </w:rPr>
        <w:fldChar w:fldCharType="end"/>
      </w:r>
      <w:r w:rsidR="00945C0E">
        <w:rPr>
          <w:rFonts w:ascii="Times New Roman" w:hAnsi="Times New Roman" w:cs="Times New Roman"/>
          <w:sz w:val="24"/>
          <w:szCs w:val="24"/>
        </w:rPr>
        <w:t>.</w:t>
      </w:r>
      <w:r w:rsidR="00346260">
        <w:rPr>
          <w:rFonts w:ascii="Times New Roman" w:hAnsi="Times New Roman" w:cs="Times New Roman"/>
          <w:sz w:val="24"/>
          <w:szCs w:val="24"/>
        </w:rPr>
        <w:t xml:space="preserve"> For greater detail on the anatomy of the brain circuits thought to underpin reward processing, and the evidence for other regions of the brain’s involvement in these circuits, see appendix </w:t>
      </w:r>
      <w:r w:rsidR="00257328">
        <w:rPr>
          <w:rFonts w:ascii="Times New Roman" w:hAnsi="Times New Roman" w:cs="Times New Roman"/>
          <w:sz w:val="24"/>
          <w:szCs w:val="24"/>
        </w:rPr>
        <w:t>1.</w:t>
      </w:r>
      <w:r w:rsidR="00346260">
        <w:rPr>
          <w:rFonts w:ascii="Times New Roman" w:hAnsi="Times New Roman" w:cs="Times New Roman"/>
          <w:sz w:val="24"/>
          <w:szCs w:val="24"/>
        </w:rPr>
        <w:t>3.</w:t>
      </w:r>
    </w:p>
    <w:p w14:paraId="6665F07E" w14:textId="4E818B2A" w:rsidR="00140A4B" w:rsidRDefault="009C57C2" w:rsidP="009C57C2">
      <w:pPr>
        <w:pStyle w:val="ListParagraph"/>
        <w:ind w:left="0"/>
        <w:rPr>
          <w:rFonts w:ascii="Times New Roman" w:hAnsi="Times New Roman" w:cs="Times New Roman"/>
          <w:iCs/>
          <w:color w:val="242729"/>
          <w:sz w:val="24"/>
          <w:szCs w:val="24"/>
        </w:rPr>
      </w:pPr>
      <w:r w:rsidRPr="00DA405F">
        <w:rPr>
          <w:rFonts w:ascii="Times New Roman" w:hAnsi="Times New Roman" w:cs="Times New Roman"/>
          <w:iCs/>
          <w:color w:val="242729"/>
          <w:sz w:val="24"/>
          <w:szCs w:val="24"/>
        </w:rPr>
        <w:t>As a putative neural substrate for utility in the brain, we spend the remainder of this thesis discussing and analysing the behaviour of non-human primates on a task that elicits utility from choices on a trial by trial basis. This behavioural utility is then used to investigate the activity of recorded midbrain dopaminergic neurons in these animals.</w:t>
      </w:r>
    </w:p>
    <w:p w14:paraId="47B3FCC3" w14:textId="3BBAA58C" w:rsidR="00140A4B" w:rsidRDefault="00140A4B">
      <w:pPr>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661312" behindDoc="1" locked="0" layoutInCell="1" allowOverlap="1" wp14:anchorId="2DC869BB" wp14:editId="026DC8D9">
            <wp:simplePos x="0" y="0"/>
            <wp:positionH relativeFrom="margin">
              <wp:align>left</wp:align>
            </wp:positionH>
            <wp:positionV relativeFrom="paragraph">
              <wp:posOffset>0</wp:posOffset>
            </wp:positionV>
            <wp:extent cx="5647055" cy="6670675"/>
            <wp:effectExtent l="0" t="0" r="0" b="0"/>
            <wp:wrapTight wrapText="bothSides">
              <wp:wrapPolygon edited="0">
                <wp:start x="802" y="0"/>
                <wp:lineTo x="656" y="617"/>
                <wp:lineTo x="1166" y="864"/>
                <wp:lineTo x="2769" y="987"/>
                <wp:lineTo x="2405" y="1419"/>
                <wp:lineTo x="2477" y="1665"/>
                <wp:lineTo x="3133" y="1974"/>
                <wp:lineTo x="2186" y="2159"/>
                <wp:lineTo x="1967" y="2344"/>
                <wp:lineTo x="1967" y="2961"/>
                <wp:lineTo x="729" y="3948"/>
                <wp:lineTo x="656" y="4688"/>
                <wp:lineTo x="3133" y="4935"/>
                <wp:lineTo x="0" y="4996"/>
                <wp:lineTo x="0" y="21528"/>
                <wp:lineTo x="21496" y="21528"/>
                <wp:lineTo x="21496" y="5243"/>
                <wp:lineTo x="10784" y="4935"/>
                <wp:lineTo x="15666" y="4935"/>
                <wp:lineTo x="18071" y="4626"/>
                <wp:lineTo x="18144" y="3948"/>
                <wp:lineTo x="18071" y="2961"/>
                <wp:lineTo x="20985" y="1974"/>
                <wp:lineTo x="21496" y="1480"/>
                <wp:lineTo x="21496" y="740"/>
                <wp:lineTo x="16468" y="0"/>
                <wp:lineTo x="802" y="0"/>
              </wp:wrapPolygon>
            </wp:wrapTight>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652100" cy="6676576"/>
                    </a:xfrm>
                    <a:prstGeom prst="rect">
                      <a:avLst/>
                    </a:prstGeom>
                  </pic:spPr>
                </pic:pic>
              </a:graphicData>
            </a:graphic>
            <wp14:sizeRelH relativeFrom="margin">
              <wp14:pctWidth>0</wp14:pctWidth>
            </wp14:sizeRelH>
            <wp14:sizeRelV relativeFrom="margin">
              <wp14:pctHeight>0</wp14:pctHeight>
            </wp14:sizeRelV>
          </wp:anchor>
        </w:drawing>
      </w:r>
      <w:r w:rsidRPr="00DA405F">
        <w:rPr>
          <w:rFonts w:ascii="Times New Roman" w:eastAsiaTheme="minorEastAsia" w:hAnsi="Times New Roman" w:cs="Times New Roman"/>
          <w:iCs/>
          <w:noProof/>
          <w:color w:val="242729"/>
          <w:sz w:val="24"/>
          <w:szCs w:val="24"/>
          <w:shd w:val="clear" w:color="auto" w:fill="FFFFFF"/>
        </w:rPr>
        <mc:AlternateContent>
          <mc:Choice Requires="wps">
            <w:drawing>
              <wp:anchor distT="45720" distB="45720" distL="114300" distR="114300" simplePos="0" relativeHeight="251663360" behindDoc="0" locked="0" layoutInCell="1" allowOverlap="1" wp14:anchorId="6DD027DF" wp14:editId="04E32582">
                <wp:simplePos x="0" y="0"/>
                <wp:positionH relativeFrom="margin">
                  <wp:align>right</wp:align>
                </wp:positionH>
                <wp:positionV relativeFrom="paragraph">
                  <wp:posOffset>6679142</wp:posOffset>
                </wp:positionV>
                <wp:extent cx="6096000" cy="2531110"/>
                <wp:effectExtent l="0" t="0" r="1905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2531110"/>
                        </a:xfrm>
                        <a:prstGeom prst="rect">
                          <a:avLst/>
                        </a:prstGeom>
                        <a:solidFill>
                          <a:srgbClr val="FFFFFF"/>
                        </a:solidFill>
                        <a:ln w="9525">
                          <a:solidFill>
                            <a:srgbClr val="000000"/>
                          </a:solidFill>
                          <a:miter lim="800000"/>
                          <a:headEnd/>
                          <a:tailEnd/>
                        </a:ln>
                      </wps:spPr>
                      <wps:txbx>
                        <w:txbxContent>
                          <w:p w14:paraId="0E5DEFFC" w14:textId="77777777" w:rsidR="00270682" w:rsidRPr="00140A4B" w:rsidRDefault="00270682" w:rsidP="00140A4B">
                            <w:pPr>
                              <w:rPr>
                                <w:rFonts w:ascii="Times New Roman" w:hAnsi="Times New Roman" w:cs="Times New Roman"/>
                              </w:rPr>
                            </w:pPr>
                            <w:r w:rsidRPr="00140A4B">
                              <w:rPr>
                                <w:rFonts w:ascii="Times New Roman" w:hAnsi="Times New Roman" w:cs="Times New Roman"/>
                                <w:b/>
                                <w:bCs/>
                              </w:rPr>
                              <w:t>Figure 1a-d) Observations of an organism’s binary choices between bundles of goods allows for the construction of utility curves under revealed preference theory.</w:t>
                            </w:r>
                            <w:r w:rsidRPr="00140A4B">
                              <w:rPr>
                                <w:rFonts w:ascii="Times New Roman" w:hAnsi="Times New Roman" w:cs="Times New Roman"/>
                              </w:rPr>
                              <w:t xml:space="preserve"> In a-c) an organism chooses between bundles of goods (in this example, between amounts of apples </w:t>
                            </w:r>
                            <m:oMath>
                              <m:r>
                                <m:rPr>
                                  <m:sty m:val="bi"/>
                                </m:rPr>
                                <w:rPr>
                                  <w:rFonts w:ascii="Cambria Math" w:hAnsi="Cambria Math" w:cs="Times New Roman"/>
                                </w:rPr>
                                <m:t>A</m:t>
                              </m:r>
                            </m:oMath>
                            <w:r w:rsidRPr="00140A4B">
                              <w:rPr>
                                <w:rFonts w:ascii="Times New Roman" w:hAnsi="Times New Roman" w:cs="Times New Roman"/>
                              </w:rPr>
                              <w:t xml:space="preserve"> and bananas </w:t>
                            </w:r>
                            <m:oMath>
                              <m:r>
                                <m:rPr>
                                  <m:sty m:val="bi"/>
                                </m:rPr>
                                <w:rPr>
                                  <w:rFonts w:ascii="Cambria Math" w:hAnsi="Cambria Math" w:cs="Times New Roman"/>
                                </w:rPr>
                                <m:t>B</m:t>
                              </m:r>
                            </m:oMath>
                            <w:r w:rsidRPr="00140A4B">
                              <w:rPr>
                                <w:rFonts w:ascii="Times New Roman" w:hAnsi="Times New Roman" w:cs="Times New Roman"/>
                              </w:rPr>
                              <w:t>). In a) the offered bundle of 4 apples and 1 banana is more desirable than an offer of 2 of each fruit, and so the first bundle is chosen. In b) an offer of 7 bananas and a single apple is dominant over an offer of 5 bananas and a 1 apple and so the former is chosen. In c) the two offers (4 apples and 1 banana vs. 5 bananas and a single apple) are both preferred equally and will be chosen between as if at random. The organism is said to be indifferent between these two choices and they lie on the same utility curve. In d) an example indifference map is generated assuming the choices in 1a-c). Each point along a curve is a potential choice which carries the same utility to the organism. For instance, the choice offered in c) is highlighted on the lowest curve. As curves are drawn away from the origin, the utility they represent to the organism increases; the points along a curve offer more utility to the organism than any possible point below the curve. Each distinct curve is referred to as an ‘indifference curve’. All choices and values in this figure are hypothetical and are used for illustrative purposes only. Adapted from Pastor-Bernier et al. 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D027DF" id="_x0000_t202" coordsize="21600,21600" o:spt="202" path="m,l,21600r21600,l21600,xe">
                <v:stroke joinstyle="miter"/>
                <v:path gradientshapeok="t" o:connecttype="rect"/>
              </v:shapetype>
              <v:shape id="Text Box 2" o:spid="_x0000_s1026" type="#_x0000_t202" style="position:absolute;margin-left:428.8pt;margin-top:525.9pt;width:480pt;height:199.3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">
                <v:textbox>
                  <w:txbxContent>
                    <w:p w14:paraId="0E5DEFFC" w14:textId="77777777" w:rsidR="00270682" w:rsidRPr="00140A4B" w:rsidRDefault="00270682" w:rsidP="00140A4B">
                      <w:pPr>
                        <w:rPr>
                          <w:rFonts w:ascii="Times New Roman" w:hAnsi="Times New Roman" w:cs="Times New Roman"/>
                        </w:rPr>
                      </w:pPr>
                      <w:r w:rsidRPr="00140A4B">
                        <w:rPr>
                          <w:rFonts w:ascii="Times New Roman" w:hAnsi="Times New Roman" w:cs="Times New Roman"/>
                          <w:b/>
                          <w:bCs/>
                        </w:rPr>
                        <w:t>Figure 1a-d) Observations of an organism’s binary choices between bundles of goods allows for the construction of utility curves under revealed preference theory.</w:t>
                      </w:r>
                      <w:r w:rsidRPr="00140A4B">
                        <w:rPr>
                          <w:rFonts w:ascii="Times New Roman" w:hAnsi="Times New Roman" w:cs="Times New Roman"/>
                        </w:rPr>
                        <w:t xml:space="preserve"> In a-c) an organism chooses between bundles of goods (in this example, between amounts of apples </w:t>
                      </w:r>
                      <m:oMath>
                        <m:r>
                          <m:rPr>
                            <m:sty m:val="bi"/>
                          </m:rPr>
                          <w:rPr>
                            <w:rFonts w:ascii="Cambria Math" w:hAnsi="Cambria Math" w:cs="Times New Roman"/>
                          </w:rPr>
                          <m:t>A</m:t>
                        </m:r>
                      </m:oMath>
                      <w:r w:rsidRPr="00140A4B">
                        <w:rPr>
                          <w:rFonts w:ascii="Times New Roman" w:hAnsi="Times New Roman" w:cs="Times New Roman"/>
                        </w:rPr>
                        <w:t xml:space="preserve"> and bananas </w:t>
                      </w:r>
                      <m:oMath>
                        <m:r>
                          <m:rPr>
                            <m:sty m:val="bi"/>
                          </m:rPr>
                          <w:rPr>
                            <w:rFonts w:ascii="Cambria Math" w:hAnsi="Cambria Math" w:cs="Times New Roman"/>
                          </w:rPr>
                          <m:t>B</m:t>
                        </m:r>
                      </m:oMath>
                      <w:r w:rsidRPr="00140A4B">
                        <w:rPr>
                          <w:rFonts w:ascii="Times New Roman" w:hAnsi="Times New Roman" w:cs="Times New Roman"/>
                        </w:rPr>
                        <w:t>). In a) the offered bundle of 4 apples and 1 banana is more desirable than an offer of 2 of each fruit, and so the first bundle is chosen. In b) an offer of 7 bananas and a single apple is dominant over an offer of 5 bananas and a 1 apple and so the former is chosen. In c) the two offers (4 apples and 1 banana vs. 5 bananas and a single apple) are both preferred equally and will be chosen between as if at random. The organism is said to be indifferent between these two choices and they lie on the same utility curve. In d) an example indifference map is generated assuming the choices in 1a-c). Each point along a curve is a potential choice which carries the same utility to the organism. For instance, the choice offered in c) is highlighted on the lowest curve. As curves are drawn away from the origin, the utility they represent to the organism increases; the points along a curve offer more utility to the organism than any possible point below the curve. Each distinct curve is referred to as an ‘indifference curve’. All choices and values in this figure are hypothetical and are used for illustrative purposes only. Adapted from Pastor-Bernier et al. 2017.</w:t>
                      </w:r>
                    </w:p>
                  </w:txbxContent>
                </v:textbox>
                <w10:wrap type="square" anchorx="margin"/>
              </v:shape>
            </w:pict>
          </mc:Fallback>
        </mc:AlternateContent>
      </w:r>
      <w:r>
        <w:rPr>
          <w:rFonts w:ascii="Times New Roman" w:hAnsi="Times New Roman" w:cs="Times New Roman"/>
          <w:b/>
          <w:bCs/>
          <w:sz w:val="24"/>
          <w:szCs w:val="24"/>
        </w:rPr>
        <w:br w:type="page"/>
      </w:r>
    </w:p>
    <w:p w14:paraId="3285E3E9" w14:textId="0E38E272" w:rsidR="002C178A" w:rsidRDefault="002C178A">
      <w:pPr>
        <w:rPr>
          <w:rFonts w:ascii="Times New Roman" w:eastAsiaTheme="minorEastAsia" w:hAnsi="Times New Roman" w:cs="Times New Roman"/>
          <w:b/>
          <w:bCs/>
          <w:iCs/>
          <w:color w:val="242729"/>
          <w:sz w:val="24"/>
          <w:szCs w:val="24"/>
          <w:shd w:val="clear" w:color="auto" w:fill="FFFFFF"/>
        </w:rPr>
      </w:pPr>
      <w:r w:rsidRPr="00DA405F">
        <w:rPr>
          <w:rFonts w:ascii="Times New Roman" w:eastAsiaTheme="minorEastAsia" w:hAnsi="Times New Roman" w:cs="Times New Roman"/>
          <w:iCs/>
          <w:noProof/>
          <w:color w:val="242729"/>
          <w:sz w:val="24"/>
          <w:szCs w:val="24"/>
          <w:shd w:val="clear" w:color="auto" w:fill="FFFFFF"/>
        </w:rPr>
        <w:lastRenderedPageBreak/>
        <mc:AlternateContent>
          <mc:Choice Requires="wps">
            <w:drawing>
              <wp:anchor distT="45720" distB="45720" distL="114300" distR="114300" simplePos="0" relativeHeight="251665408" behindDoc="0" locked="0" layoutInCell="1" allowOverlap="1" wp14:anchorId="05D42F9F" wp14:editId="5B0189E8">
                <wp:simplePos x="0" y="0"/>
                <wp:positionH relativeFrom="margin">
                  <wp:align>right</wp:align>
                </wp:positionH>
                <wp:positionV relativeFrom="paragraph">
                  <wp:posOffset>6912610</wp:posOffset>
                </wp:positionV>
                <wp:extent cx="6096000" cy="2522220"/>
                <wp:effectExtent l="0" t="0" r="19050" b="1143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2522220"/>
                        </a:xfrm>
                        <a:prstGeom prst="rect">
                          <a:avLst/>
                        </a:prstGeom>
                        <a:solidFill>
                          <a:srgbClr val="FFFFFF"/>
                        </a:solidFill>
                        <a:ln w="9525">
                          <a:solidFill>
                            <a:srgbClr val="000000"/>
                          </a:solidFill>
                          <a:miter lim="800000"/>
                          <a:headEnd/>
                          <a:tailEnd/>
                        </a:ln>
                      </wps:spPr>
                      <wps:txbx>
                        <w:txbxContent>
                          <w:p w14:paraId="48BEF044" w14:textId="47E81148" w:rsidR="00270682" w:rsidRPr="002C178A" w:rsidRDefault="00270682" w:rsidP="002C178A">
                            <w:pPr>
                              <w:rPr>
                                <w:rFonts w:ascii="Times New Roman" w:hAnsi="Times New Roman" w:cs="Times New Roman"/>
                              </w:rPr>
                            </w:pPr>
                            <w:r>
                              <w:rPr>
                                <w:rFonts w:ascii="Times New Roman" w:hAnsi="Times New Roman" w:cs="Times New Roman"/>
                                <w:b/>
                                <w:bCs/>
                              </w:rPr>
                              <w:t xml:space="preserve">Figure 2a-c) Single dopaminergic cell responses to rewards and conditioned stimuli. </w:t>
                            </w:r>
                            <w:r>
                              <w:rPr>
                                <w:rFonts w:ascii="Times New Roman" w:hAnsi="Times New Roman" w:cs="Times New Roman"/>
                              </w:rPr>
                              <w:t>In a), the responses of a single non-human primate dopamine cell recorded during this project to an unexpected juice reward are shown. Reward was delivered at time 0 and the responses of the cell are shown as a post-stimulus time histogram (top) and as a raster plot (bottom) of single spikes from this cell. The phasic response of the cell can be seen starting at 100ms and continuing for a further 200ms. As our task contains many epochs where stimuli are presented, and as we never withhold a predicted reward during our task, for panels b) and c) we use wholly simulated data to illustrate the widely reproduced change in activities of dopamine neurons upon conditioning of stimulus (b) and when a predicted reward is not forthcoming (c). For biological data, see Schultz et al., 1997. In b) a conditioned stimulus (CS) cue is presented at time point 0, predicting a reward at 3000ms. The firing rate of the simulated dopaminergic neuron increases at time 0 with the CS presentation rather than at time 3000 with the delivery of the reward. In c) the same CS cue is shown at time 0 but in these trials a predicted reward is never delivered. The simulated neurons maintains phasic activity at time 0 but shows a decrease in firing rate upon the omission of the predicted reward.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42F9F" id="_x0000_s1027" type="#_x0000_t202" style="position:absolute;margin-left:428.8pt;margin-top:544.3pt;width:480pt;height:198.6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">
                <v:textbox>
                  <w:txbxContent>
                    <w:p w14:paraId="48BEF044" w14:textId="47E81148" w:rsidR="00270682" w:rsidRPr="002C178A" w:rsidRDefault="00270682" w:rsidP="002C178A">
                      <w:pPr>
                        <w:rPr>
                          <w:rFonts w:ascii="Times New Roman" w:hAnsi="Times New Roman" w:cs="Times New Roman"/>
                        </w:rPr>
                      </w:pPr>
                      <w:r>
                        <w:rPr>
                          <w:rFonts w:ascii="Times New Roman" w:hAnsi="Times New Roman" w:cs="Times New Roman"/>
                          <w:b/>
                          <w:bCs/>
                        </w:rPr>
                        <w:t xml:space="preserve">Figure 2a-c) Single dopaminergic cell responses to rewards and conditioned stimuli. </w:t>
                      </w:r>
                      <w:r>
                        <w:rPr>
                          <w:rFonts w:ascii="Times New Roman" w:hAnsi="Times New Roman" w:cs="Times New Roman"/>
                        </w:rPr>
                        <w:t>In a), the responses of a single non-human primate dopamine cell recorded during this project to an unexpected juice reward are shown. Reward was delivered at time 0 and the responses of the cell are shown as a post-stimulus time histogram (top) and as a raster plot (bottom) of single spikes from this cell. The phasic response of the cell can be seen starting at 100ms and continuing for a further 200ms. As our task contains many epochs where stimuli are presented, and as we never withhold a predicted reward during our task, for panels b) and c) we use wholly simulated data to illustrate the widely reproduced change in activities of dopamine neurons upon conditioning of stimulus (b) and when a predicted reward is not forthcoming (c). For biological data, see Schultz et al., 1997. In b) a conditioned stimulus (CS) cue is presented at time point 0, predicting a reward at 3000ms. The firing rate of the simulated dopaminergic neuron increases at time 0 with the CS presentation rather than at time 3000 with the delivery of the reward. In c) the same CS cue is shown at time 0 but in these trials a predicted reward is never delivered. The simulated neurons maintains phasic activity at time 0 but shows a decrease in firing rate upon the omission of the predicted reward.</w:t>
                      </w:r>
                    </w:p>
                  </w:txbxContent>
                </v:textbox>
                <w10:wrap type="square" anchorx="margin"/>
              </v:shape>
            </w:pict>
          </mc:Fallback>
        </mc:AlternateContent>
      </w:r>
      <w:r w:rsidR="00630141">
        <w:rPr>
          <w:rFonts w:ascii="Times New Roman" w:eastAsiaTheme="minorEastAsia" w:hAnsi="Times New Roman" w:cs="Times New Roman"/>
          <w:b/>
          <w:bCs/>
          <w:iCs/>
          <w:noProof/>
          <w:color w:val="242729"/>
          <w:sz w:val="24"/>
          <w:szCs w:val="24"/>
          <w:shd w:val="clear" w:color="auto" w:fill="FFFFFF"/>
        </w:rPr>
        <w:drawing>
          <wp:inline distT="0" distB="0" distL="0" distR="0" wp14:anchorId="3753F3D3" wp14:editId="3DE5A28F">
            <wp:extent cx="4657725" cy="6899656"/>
            <wp:effectExtent l="0" t="0" r="0" b="0"/>
            <wp:docPr id="4" name="Picture 4" descr="A picture containing light, sitting, traffic, hang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ight, sitting, traffic, hanging&#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662100" cy="6906137"/>
                    </a:xfrm>
                    <a:prstGeom prst="rect">
                      <a:avLst/>
                    </a:prstGeom>
                  </pic:spPr>
                </pic:pic>
              </a:graphicData>
            </a:graphic>
          </wp:inline>
        </w:drawing>
      </w:r>
      <w:r>
        <w:rPr>
          <w:rFonts w:ascii="Times New Roman" w:eastAsiaTheme="minorEastAsia" w:hAnsi="Times New Roman" w:cs="Times New Roman"/>
          <w:b/>
          <w:bCs/>
          <w:iCs/>
          <w:color w:val="242729"/>
          <w:sz w:val="24"/>
          <w:szCs w:val="24"/>
          <w:shd w:val="clear" w:color="auto" w:fill="FFFFFF"/>
        </w:rPr>
        <w:br w:type="page"/>
      </w:r>
    </w:p>
    <w:p w14:paraId="0162235C" w14:textId="77777777" w:rsidR="000618AF" w:rsidRPr="00E02F01" w:rsidRDefault="000618AF" w:rsidP="000618AF">
      <w:pPr>
        <w:rPr>
          <w:b/>
          <w:bCs/>
        </w:rPr>
      </w:pPr>
      <w:r w:rsidRPr="00E02F01">
        <w:rPr>
          <w:b/>
          <w:bCs/>
        </w:rPr>
        <w:lastRenderedPageBreak/>
        <w:t>Appendix 1</w:t>
      </w:r>
      <w:r>
        <w:rPr>
          <w:b/>
          <w:bCs/>
        </w:rPr>
        <w:t>.1</w:t>
      </w:r>
      <w:r w:rsidRPr="00E02F01">
        <w:rPr>
          <w:b/>
          <w:bCs/>
        </w:rPr>
        <w:t xml:space="preserve"> – Modern Advances in Behavioural Economics and Auction Theory</w:t>
      </w:r>
    </w:p>
    <w:p w14:paraId="2CF32A75" w14:textId="77777777" w:rsidR="000618AF" w:rsidRDefault="000618AF" w:rsidP="000618AF">
      <w:r>
        <w:t>This thesis considers the behaviour and neuronal responses of trained macaques in an auction task (BDM) hitherto only used in human studies of economic decision-making. As such, we feel that any interested reader only need be introduced to three behavioural-economic concepts in the introductory chapters of the thesis:</w:t>
      </w:r>
    </w:p>
    <w:p w14:paraId="07B0A087" w14:textId="77777777" w:rsidR="000618AF" w:rsidRDefault="000618AF" w:rsidP="000618AF">
      <w:pPr>
        <w:pStyle w:val="ListParagraph"/>
        <w:numPr>
          <w:ilvl w:val="0"/>
          <w:numId w:val="5"/>
        </w:numPr>
      </w:pPr>
      <w:r>
        <w:t>The idea that utility and not value is the variable by which economic decisions are made. I.e. people and other organisms maximise their utility by consulting a utility function when choosing between distinct options. Compare equations 1.1 and 1.2 when discussing the St Petersburg paradox in the first chapter.</w:t>
      </w:r>
    </w:p>
    <w:p w14:paraId="1E0B07BD" w14:textId="77777777" w:rsidR="000618AF" w:rsidRDefault="000618AF" w:rsidP="000618AF">
      <w:pPr>
        <w:pStyle w:val="ListParagraph"/>
        <w:numPr>
          <w:ilvl w:val="0"/>
          <w:numId w:val="5"/>
        </w:numPr>
      </w:pPr>
      <w:r>
        <w:t xml:space="preserve">That in order to make these decisions some areas of the brain must have access to these internal representations of utility. For instance, we discuss </w:t>
      </w:r>
      <w:r>
        <w:fldChar w:fldCharType="begin" w:fldLock="1"/>
      </w:r>
      <w:r>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fldChar w:fldCharType="separate"/>
      </w:r>
      <w:r w:rsidRPr="00C72D64">
        <w:rPr>
          <w:noProof/>
        </w:rPr>
        <w:t>Lak et al., 2014</w:t>
      </w:r>
      <w:r>
        <w:fldChar w:fldCharType="end"/>
      </w:r>
      <w:r>
        <w:t xml:space="preserve">, which shows how dopaminergic neurons of the macaque midbrain integrate information across different dimensions. In Chapter 1 of the thesis we focus on dopaminergic circuits, branching out to discuss the evidence for other components of ‘the reward circuit’ </w:t>
      </w:r>
      <w:r>
        <w:fldChar w:fldCharType="begin" w:fldLock="1"/>
      </w:r>
      <w:r>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C72D64">
        <w:rPr>
          <w:noProof/>
        </w:rPr>
        <w:t>(Haber &amp; Knutson, 2010)</w:t>
      </w:r>
      <w:r>
        <w:fldChar w:fldCharType="end"/>
      </w:r>
      <w:r>
        <w:t xml:space="preserve"> in appendix 2.</w:t>
      </w:r>
    </w:p>
    <w:p w14:paraId="2834B1B2" w14:textId="77777777" w:rsidR="000618AF" w:rsidRDefault="000618AF" w:rsidP="000618AF">
      <w:pPr>
        <w:pStyle w:val="ListParagraph"/>
        <w:numPr>
          <w:ilvl w:val="0"/>
          <w:numId w:val="5"/>
        </w:numPr>
      </w:pPr>
      <w:r>
        <w:t>Finally, we discuss the incentive-compatible nature of the BDM, a mechanism by which subjects report their cardinal utility for a good on a single trial. Chapter 2 walks through the theory of the BDM and what makes it such a potentially attractive task for the cognitive sciences.</w:t>
      </w:r>
    </w:p>
    <w:p w14:paraId="0891B533" w14:textId="77777777" w:rsidR="000618AF" w:rsidRDefault="000618AF" w:rsidP="000618AF">
      <w:r>
        <w:t>However, there has been much interesting progress in the fields of micro- and behavioural economics over the past half a century which goes beyond the requirements of this thesis. We use this appendix to briefly discuss three examples we find most interesting.</w:t>
      </w:r>
    </w:p>
    <w:p w14:paraId="58E111D9" w14:textId="77777777" w:rsidR="000618AF" w:rsidRDefault="000618AF" w:rsidP="000618AF">
      <w:pPr>
        <w:rPr>
          <w:i/>
          <w:iCs/>
        </w:rPr>
      </w:pPr>
      <w:r>
        <w:rPr>
          <w:i/>
          <w:iCs/>
        </w:rPr>
        <w:t>Prospect Theory</w:t>
      </w:r>
    </w:p>
    <w:p w14:paraId="4D768963" w14:textId="77777777" w:rsidR="000618AF" w:rsidRDefault="000618AF" w:rsidP="000618AF">
      <w:pPr>
        <w:rPr>
          <w:i/>
          <w:iCs/>
        </w:rPr>
      </w:pPr>
      <w:r>
        <w:t xml:space="preserve">We close discussions of economic utility theory in the first chapter by mentioning violations of the four axioms of Von Neumann and Morgernstern’s utility model. Of particular note is the ‘Allais paradox’, first described in the literature by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2854BE">
        <w:rPr>
          <w:noProof/>
        </w:rPr>
        <w:t>Allais, 1953</w:t>
      </w:r>
      <w:r>
        <w:fldChar w:fldCharType="end"/>
      </w:r>
      <w:r>
        <w:t xml:space="preserve"> and adapted in figure 1 from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A participant is asked to make two choices, between options A and B, in gambles 1 and 2:</w:t>
      </w:r>
      <w:r>
        <w:br/>
      </w:r>
      <w:r>
        <w:br/>
      </w:r>
      <w:r>
        <w:rPr>
          <w:i/>
          <w:iCs/>
        </w:rPr>
        <w:t>Gamble 1:</w:t>
      </w:r>
    </w:p>
    <w:p w14:paraId="57816B23" w14:textId="77777777" w:rsidR="000618AF" w:rsidRDefault="000618AF" w:rsidP="000618AF">
      <w:pPr>
        <w:ind w:left="720"/>
        <w:rPr>
          <w:i/>
          <w:iCs/>
        </w:rPr>
      </w:pPr>
      <w:r>
        <w:rPr>
          <w:i/>
          <w:iCs/>
        </w:rPr>
        <w:t>Choose between option A where there is a 33% chance of winning $2,500, a 66% chance of winning $2,400, and 1 % chance of winning nothing, OR option B which represents a certain $2,400.</w:t>
      </w:r>
      <w:r>
        <w:rPr>
          <w:i/>
          <w:iCs/>
        </w:rPr>
        <w:tab/>
      </w:r>
    </w:p>
    <w:p w14:paraId="1AF80532" w14:textId="77777777" w:rsidR="000618AF" w:rsidRDefault="000618AF" w:rsidP="000618AF">
      <w:pPr>
        <w:rPr>
          <w:i/>
          <w:iCs/>
        </w:rPr>
      </w:pPr>
      <w:r>
        <w:rPr>
          <w:i/>
          <w:iCs/>
        </w:rPr>
        <w:t>Gamble 2:</w:t>
      </w:r>
    </w:p>
    <w:p w14:paraId="37EBFCB9" w14:textId="77777777" w:rsidR="000618AF" w:rsidRDefault="000618AF" w:rsidP="000618AF">
      <w:pPr>
        <w:ind w:left="720"/>
        <w:rPr>
          <w:i/>
          <w:iCs/>
        </w:rPr>
      </w:pPr>
      <w:r>
        <w:rPr>
          <w:i/>
          <w:iCs/>
        </w:rPr>
        <w:t>Choose between option A where there is a 33% chance of winning $2,500 and a 67% chance of winning $0, OR option B where there is a 34% of winning $2,400 and a 66% chance of winning $0</w:t>
      </w:r>
    </w:p>
    <w:p w14:paraId="734B0977" w14:textId="77777777" w:rsidR="000618AF" w:rsidRDefault="000618AF" w:rsidP="000618AF">
      <w:r>
        <w:t xml:space="preserve">In their experimental reproduction of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B938EF">
        <w:rPr>
          <w:noProof/>
        </w:rPr>
        <w:t>Allais, 1953</w:t>
      </w:r>
      <w:r>
        <w:fldChar w:fldCharType="end"/>
      </w:r>
      <w:r>
        <w:t>, Kahneman &amp; Tversky found that 82% of 72 participants chose option B in gamble 1 and 83% chose option A in gamble 2. However, this is a violation of the independence axiom (equation 1.5) as options A and B in gamble 1 and 2 are identical except for addition of independent extra alternative choice of $2,400 with a constant probability (66%). A graphical explanation of this paradox is shown in figure 1.</w:t>
      </w:r>
    </w:p>
    <w:p w14:paraId="20B70648" w14:textId="77777777" w:rsidR="000618AF" w:rsidRDefault="000618AF" w:rsidP="000618AF">
      <w:pPr>
        <w:pStyle w:val="Textbody"/>
        <w:spacing w:before="240" w:after="160" w:line="225" w:lineRule="atLeast"/>
        <w:rPr>
          <w:color w:val="222222"/>
        </w:rPr>
      </w:pPr>
      <w:r>
        <w:t>In chapter 1 we define the utility function of a set of choices in equation 1.2 as</w:t>
      </w:r>
      <w:r>
        <w:br/>
      </w:r>
    </w:p>
    <w:p w14:paraId="2878A8F0" w14:textId="77777777" w:rsidR="000618AF" w:rsidRDefault="000618AF" w:rsidP="000618AF">
      <w:pPr>
        <w:pStyle w:val="Caption"/>
        <w:keepNext/>
      </w:pPr>
      <w:r>
        <w:t>Equation A1.</w:t>
      </w:r>
      <w:r w:rsidR="004540CE">
        <w:fldChar w:fldCharType="begin"/>
      </w:r>
      <w:r w:rsidR="004540CE">
        <w:instrText xml:space="preserve"> SEQ Equation \* ARABIC </w:instrText>
      </w:r>
      <w:r w:rsidR="004540CE">
        <w:fldChar w:fldCharType="separate"/>
      </w:r>
      <w:r>
        <w:rPr>
          <w:noProof/>
        </w:rPr>
        <w:t>1</w:t>
      </w:r>
      <w:r w:rsidR="004540CE">
        <w:rPr>
          <w:noProof/>
        </w:rPr>
        <w:fldChar w:fldCharType="end"/>
      </w:r>
    </w:p>
    <w:p w14:paraId="37F5BC2E" w14:textId="77777777" w:rsidR="000618AF" w:rsidRPr="00DA405F" w:rsidRDefault="004540CE" w:rsidP="000618AF">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69410501" w14:textId="77777777" w:rsidR="000618AF" w:rsidRDefault="000618AF" w:rsidP="000618AF"/>
    <w:p w14:paraId="7E69DE76" w14:textId="77777777" w:rsidR="000618AF" w:rsidRDefault="000618AF" w:rsidP="000618AF">
      <w:pPr>
        <w:rPr>
          <w:rFonts w:eastAsiaTheme="minorEastAsia"/>
        </w:rPr>
      </w:pPr>
      <w:r>
        <w:lastRenderedPageBreak/>
        <w:t>Where the probability term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oMath>
      <w:r w:rsidRPr="002140CB">
        <w:rPr>
          <w:rFonts w:eastAsiaTheme="minorEastAsia"/>
        </w:rPr>
        <w:t>)</w:t>
      </w:r>
      <w:r>
        <w:rPr>
          <w:rFonts w:eastAsiaTheme="minorEastAsia"/>
        </w:rPr>
        <w:t xml:space="preserve"> is separate from the subjective, utility term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r>
          <m:rPr>
            <m:sty m:val="bi"/>
          </m:rPr>
          <w:rPr>
            <w:rFonts w:ascii="Cambria Math" w:eastAsiaTheme="minorEastAsia" w:hAnsi="Cambria Math"/>
          </w:rPr>
          <m:t>)</m:t>
        </m:r>
      </m:oMath>
      <w:r>
        <w:rPr>
          <w:rFonts w:eastAsiaTheme="minorEastAsia"/>
        </w:rPr>
        <w:t xml:space="preserve">. That is, probability is treated </w:t>
      </w:r>
      <w:r>
        <w:rPr>
          <w:rFonts w:eastAsiaTheme="minorEastAsia"/>
          <w:i/>
          <w:iCs/>
        </w:rPr>
        <w:t>objectively</w:t>
      </w:r>
      <w:r>
        <w:rPr>
          <w:rFonts w:eastAsiaTheme="minorEastAsia"/>
        </w:rPr>
        <w:t xml:space="preserve"> whereas other components of value (e.g. magnitude) are treated </w:t>
      </w:r>
      <w:r>
        <w:rPr>
          <w:rFonts w:eastAsiaTheme="minorEastAsia"/>
          <w:i/>
          <w:iCs/>
        </w:rPr>
        <w:t>subjectively</w:t>
      </w:r>
      <w:r>
        <w:rPr>
          <w:rFonts w:eastAsiaTheme="minorEastAsia"/>
        </w:rPr>
        <w:t xml:space="preserve">. This idea was further extended by a later paper by </w:t>
      </w:r>
      <w:r>
        <w:rPr>
          <w:rFonts w:eastAsiaTheme="minorEastAsia"/>
        </w:rPr>
        <w:fldChar w:fldCharType="begin" w:fldLock="1"/>
      </w:r>
      <w:r>
        <w:rPr>
          <w:rFonts w:eastAsiaTheme="minorEastAsia"/>
        </w:rP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Kahneman","plainTextFormattedCitation":"(Tversky &amp; Kahneman, 1981)","previouslyFormattedCitation":"(Tversky &amp; Kahneman, 1981)"},"properties":{"noteIndex":0},"schema":"https://github.com/citation-style-language/schema/raw/master/csl-citation.json"}</w:instrText>
      </w:r>
      <w:r>
        <w:rPr>
          <w:rFonts w:eastAsiaTheme="minorEastAsia"/>
        </w:rPr>
        <w:fldChar w:fldCharType="separate"/>
      </w:r>
      <w:r w:rsidRPr="000A1732">
        <w:rPr>
          <w:rFonts w:eastAsiaTheme="minorEastAsia"/>
          <w:noProof/>
        </w:rPr>
        <w:t>Tversky &amp; Kahneman</w:t>
      </w:r>
      <w:r>
        <w:rPr>
          <w:rFonts w:eastAsiaTheme="minorEastAsia"/>
        </w:rPr>
        <w:fldChar w:fldCharType="end"/>
      </w:r>
      <w:r>
        <w:rPr>
          <w:rFonts w:eastAsiaTheme="minorEastAsia"/>
        </w:rPr>
        <w:t xml:space="preserve"> in which subjects were asked to choose between three responses to a hypothetical deadly, novel disease</w:t>
      </w:r>
      <w:r>
        <w:rPr>
          <w:rStyle w:val="FootnoteReference"/>
          <w:rFonts w:eastAsiaTheme="minorEastAsia"/>
        </w:rPr>
        <w:footnoteReference w:id="12"/>
      </w:r>
      <w:r>
        <w:rPr>
          <w:rFonts w:eastAsiaTheme="minorEastAsia"/>
        </w:rPr>
        <w:t>:</w:t>
      </w:r>
    </w:p>
    <w:p w14:paraId="3E8852AC" w14:textId="77777777" w:rsidR="000618AF" w:rsidRDefault="000618AF" w:rsidP="000618AF">
      <w:pPr>
        <w:rPr>
          <w:i/>
          <w:iCs/>
        </w:rPr>
      </w:pPr>
      <w:r w:rsidRPr="00A4441F">
        <w:rPr>
          <w:i/>
          <w:iCs/>
        </w:rPr>
        <w:t>Imagine that the U.S. is preparing for the outbreak of an unusual Asian disease, which is expected to kill 600 people. Two alternative programs to combat the disease have been proposed. Assume that the exact scientific estimate of the consequences of the programs are as follows:</w:t>
      </w:r>
    </w:p>
    <w:p w14:paraId="0ED8696D" w14:textId="77777777" w:rsidR="000618AF" w:rsidRDefault="000618AF" w:rsidP="000618AF">
      <w:pPr>
        <w:rPr>
          <w:i/>
          <w:iCs/>
        </w:rPr>
      </w:pPr>
      <w:r w:rsidRPr="00A4441F">
        <w:rPr>
          <w:i/>
          <w:iCs/>
        </w:rPr>
        <w:t>Choice 1:</w:t>
      </w:r>
    </w:p>
    <w:p w14:paraId="1F514561" w14:textId="77777777" w:rsidR="000618AF" w:rsidRDefault="000618AF" w:rsidP="000618AF">
      <w:pPr>
        <w:ind w:left="720"/>
        <w:rPr>
          <w:i/>
          <w:iCs/>
        </w:rPr>
      </w:pPr>
      <w:r w:rsidRPr="00A4441F">
        <w:rPr>
          <w:i/>
          <w:iCs/>
        </w:rPr>
        <w:br/>
        <w:t>If Program A is adopted, 200 people will be saved. If Program B is adopted, there is 1/3 probability that 600 people will be saved, and 2/3 probability that no people will be saved.</w:t>
      </w:r>
      <w:r>
        <w:rPr>
          <w:i/>
          <w:iCs/>
        </w:rPr>
        <w:t xml:space="preserve"> </w:t>
      </w:r>
      <w:r w:rsidRPr="00A4441F">
        <w:rPr>
          <w:i/>
          <w:iCs/>
        </w:rPr>
        <w:t>Which of the two programs would you favor?</w:t>
      </w:r>
    </w:p>
    <w:p w14:paraId="0BDF585B" w14:textId="77777777" w:rsidR="000618AF" w:rsidRDefault="000618AF" w:rsidP="000618AF">
      <w:pPr>
        <w:rPr>
          <w:i/>
          <w:iCs/>
        </w:rPr>
      </w:pPr>
      <w:r>
        <w:rPr>
          <w:i/>
          <w:iCs/>
        </w:rPr>
        <w:t>Choice 2:</w:t>
      </w:r>
    </w:p>
    <w:p w14:paraId="124D64CB" w14:textId="77777777" w:rsidR="000618AF" w:rsidRDefault="000618AF" w:rsidP="000618AF">
      <w:pPr>
        <w:ind w:left="720"/>
        <w:rPr>
          <w:i/>
          <w:iCs/>
        </w:rPr>
      </w:pPr>
      <w:r w:rsidRPr="00A4441F">
        <w:rPr>
          <w:i/>
          <w:iCs/>
        </w:rPr>
        <w:t>If Program C is adopted 400 people will die. If Program D is adopted there is 1/3 probability that nobody will die, and 2/3 probability that 600 people will die. Which of the two programs would you favor?</w:t>
      </w:r>
    </w:p>
    <w:p w14:paraId="3E206908" w14:textId="77777777" w:rsidR="000618AF" w:rsidRDefault="000618AF" w:rsidP="000618AF">
      <w:r>
        <w:t xml:space="preserve">(taken directly from </w:t>
      </w:r>
      <w:r>
        <w:fldChar w:fldCharType="begin" w:fldLock="1"/>
      </w:r>
      <w: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 1981)","plainTextFormattedCitation":"(Tversky &amp; Kahneman, 1981)","previouslyFormattedCitation":"(Tversky &amp; Kahneman, 1981)"},"properties":{"noteIndex":0},"schema":"https://github.com/citation-style-language/schema/raw/master/csl-citation.json"}</w:instrText>
      </w:r>
      <w:r>
        <w:fldChar w:fldCharType="separate"/>
      </w:r>
      <w:r w:rsidRPr="00A4441F">
        <w:rPr>
          <w:noProof/>
        </w:rPr>
        <w:t>Tversky &amp; Kahneman, 1981)</w:t>
      </w:r>
      <w:r>
        <w:fldChar w:fldCharType="end"/>
      </w:r>
    </w:p>
    <w:p w14:paraId="7C6A34F7" w14:textId="77777777" w:rsidR="000618AF" w:rsidRDefault="000618AF" w:rsidP="000618AF">
      <w:r>
        <w:t xml:space="preserve">For any choice, the expected number of deaths is equal. Either 400 people will certainly die (A and C), or 400 people will be expected to die (B and D). Participants are choosing between a sure thing and a risky choice with equivalent values. We would assume subjects would show consistent risk preferences between the 2 choices: </w:t>
      </w:r>
      <w:r>
        <w:rPr>
          <w:i/>
          <w:iCs/>
        </w:rPr>
        <w:t>either</w:t>
      </w:r>
      <w:r>
        <w:t xml:space="preserve"> they go for the risky option in both choice </w:t>
      </w:r>
      <w:r>
        <w:rPr>
          <w:i/>
          <w:iCs/>
        </w:rPr>
        <w:t>or</w:t>
      </w:r>
      <w:r>
        <w:t xml:space="preserve"> the ‘safe’ option. However, the framing of the choice as either losses or gains (</w:t>
      </w:r>
      <w:r w:rsidRPr="00F7019B">
        <w:rPr>
          <w:i/>
          <w:iCs/>
        </w:rPr>
        <w:t>‘200 people will be saved’</w:t>
      </w:r>
      <w:r>
        <w:t xml:space="preserve"> vs. </w:t>
      </w:r>
      <w:r w:rsidRPr="00F7019B">
        <w:rPr>
          <w:i/>
          <w:iCs/>
        </w:rPr>
        <w:t>‘400 people will die’</w:t>
      </w:r>
      <w:r>
        <w:t xml:space="preserve">), has a distinct impact upon participants choices; they are risk averse and choose option A in choice 1, but are risk-seeking and choose option D in choice 2. </w:t>
      </w:r>
    </w:p>
    <w:p w14:paraId="117ED880" w14:textId="77777777" w:rsidR="000618AF" w:rsidRPr="006C5F99" w:rsidRDefault="000618AF" w:rsidP="000618AF">
      <w:r>
        <w:t xml:space="preserve">These violations of Von Neumann/Morgernstern utility theory were codified by Kahneman and Tversky into a descriptive model of decision making known as ‘Prospect theory’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E6A83">
        <w:rPr>
          <w:noProof/>
        </w:rPr>
        <w:t>(Kahneman &amp; Tversky, 1979)</w:t>
      </w:r>
      <w:r>
        <w:fldChar w:fldCharType="end"/>
      </w:r>
      <w:r>
        <w:t xml:space="preserve">. The key insight made was that probability should be treated subjectively, that is </w:t>
      </w:r>
    </w:p>
    <w:p w14:paraId="4A446836" w14:textId="77777777" w:rsidR="000618AF" w:rsidRPr="00DA405F" w:rsidRDefault="004540CE" w:rsidP="000618AF">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xml:space="preserve">= </m:t>
          </m:r>
          <m:sSub>
            <m:sSubPr>
              <m:ctrlPr>
                <w:rPr>
                  <w:rFonts w:ascii="Cambria Math" w:hAnsi="Cambria Math" w:cs="Times New Roman"/>
                  <w:i/>
                  <w:color w:val="222222"/>
                </w:rPr>
              </m:ctrlPr>
            </m:sSubPr>
            <m:e>
              <m:r>
                <w:rPr>
                  <w:rFonts w:ascii="Cambria Math" w:hAnsi="Cambria Math" w:cs="Times New Roman"/>
                  <w:color w:val="222222"/>
                </w:rPr>
                <m:t>ω</m:t>
              </m:r>
            </m:e>
            <m:sub>
              <m:r>
                <w:rPr>
                  <w:rFonts w:ascii="Cambria Math" w:hAnsi="Cambria Math" w:cs="Times New Roman"/>
                  <w:color w:val="222222"/>
                </w:rPr>
                <m:t>i</m:t>
              </m:r>
            </m:sub>
          </m:sSub>
          <m:r>
            <w:rPr>
              <w:rFonts w:ascii="Cambria Math" w:hAnsi="Cambria Math" w:cs="Times New Roman"/>
              <w:color w:val="222222"/>
            </w:rPr>
            <m:t>(p(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3D5EC4EC" w14:textId="77777777" w:rsidR="000618AF" w:rsidRDefault="000618AF" w:rsidP="000618AF">
      <w:pPr>
        <w:rPr>
          <w:rFonts w:eastAsiaTheme="minorEastAsia"/>
          <w:b/>
          <w:bCs/>
        </w:rPr>
      </w:pPr>
      <w:r>
        <w:t xml:space="preserve">Where </w:t>
      </w:r>
      <m:oMath>
        <m:r>
          <m:rPr>
            <m:sty m:val="bi"/>
          </m:rPr>
          <w:rPr>
            <w:rFonts w:ascii="Cambria Math" w:hAnsi="Cambria Math"/>
          </w:rPr>
          <m:t>ω</m:t>
        </m:r>
      </m:oMath>
      <w:r>
        <w:rPr>
          <w:rFonts w:eastAsiaTheme="minorEastAsia"/>
          <w:b/>
          <w:bCs/>
        </w:rPr>
        <w:t xml:space="preserve"> </w:t>
      </w:r>
      <w:r>
        <w:rPr>
          <w:rFonts w:eastAsiaTheme="minorEastAsia"/>
        </w:rPr>
        <w:t xml:space="preserve">is some distortion a subject </w:t>
      </w:r>
      <m:oMath>
        <m:r>
          <m:rPr>
            <m:sty m:val="bi"/>
          </m:rPr>
          <w:rPr>
            <w:rFonts w:ascii="Cambria Math" w:eastAsiaTheme="minorEastAsia" w:hAnsi="Cambria Math"/>
          </w:rPr>
          <m:t>i</m:t>
        </m:r>
      </m:oMath>
      <w:r>
        <w:rPr>
          <w:rFonts w:eastAsiaTheme="minorEastAsia"/>
          <w:b/>
          <w:bCs/>
        </w:rPr>
        <w:t xml:space="preserve"> </w:t>
      </w:r>
      <w:r>
        <w:rPr>
          <w:rFonts w:eastAsiaTheme="minorEastAsia"/>
        </w:rPr>
        <w:t xml:space="preserve">places upon the probability of outcome </w:t>
      </w:r>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oMath>
      <w:r w:rsidRPr="00262C0A">
        <w:rPr>
          <w:rFonts w:eastAsiaTheme="minorEastAsia"/>
        </w:rPr>
        <w:t>.</w:t>
      </w:r>
      <w:r>
        <w:rPr>
          <w:rFonts w:eastAsiaTheme="minorEastAsia"/>
          <w:b/>
          <w:bCs/>
        </w:rPr>
        <w:t xml:space="preserve"> </w:t>
      </w:r>
      <w:r>
        <w:rPr>
          <w:rFonts w:eastAsiaTheme="minorEastAsia"/>
        </w:rPr>
        <w:t xml:space="preserve">This leads to a further two appreciations of how an individual’s utility function is shaped. Firstly, that this </w:t>
      </w:r>
      <m:oMath>
        <m:r>
          <m:rPr>
            <m:sty m:val="bi"/>
          </m:rPr>
          <w:rPr>
            <w:rFonts w:ascii="Cambria Math" w:eastAsiaTheme="minorEastAsia" w:hAnsi="Cambria Math"/>
          </w:rPr>
          <m:t>ω</m:t>
        </m:r>
      </m:oMath>
      <w:r>
        <w:rPr>
          <w:rFonts w:eastAsiaTheme="minorEastAsia"/>
          <w:b/>
          <w:bCs/>
        </w:rPr>
        <w:t xml:space="preserve"> </w:t>
      </w:r>
      <w:r>
        <w:rPr>
          <w:rFonts w:eastAsiaTheme="minorEastAsia"/>
        </w:rPr>
        <w:t xml:space="preserve">parameter creates as S-shaped distortion where people overweight low probabilities and underweight high probabilities (figure 2a). Secondly, the idea that </w:t>
      </w:r>
      <w:r>
        <w:rPr>
          <w:rFonts w:eastAsiaTheme="minorEastAsia"/>
          <w:i/>
          <w:iCs/>
        </w:rPr>
        <w:t>“losses hurt more than gains”</w:t>
      </w:r>
      <w:r>
        <w:rPr>
          <w:rFonts w:eastAsiaTheme="minorEastAsia"/>
        </w:rPr>
        <w:t xml:space="preserve">, i.e. if an organism loses something of value, to return to net zero utility for the time period, they must gain something of greater value than that which was lost. This is formally described as ‘loss aversion’ and depends on the framing (see the above experiment using a potential novel disease) of any transaction and gives rise to the ‘endowment effect’ discussed in chapter 2. This ‘kink’ in the utility function is shown in figure 2b. </w:t>
      </w:r>
    </w:p>
    <w:p w14:paraId="77B55B63" w14:textId="77777777" w:rsidR="000618AF" w:rsidRPr="001060CD" w:rsidRDefault="000618AF" w:rsidP="000618AF">
      <w:r>
        <w:t xml:space="preserve">While newer models have arisen to account for some failings of Prospect theory (and especially to incorporate ‘heuristics’ into descriptive models of economic decision-making; </w:t>
      </w:r>
      <w:r>
        <w:fldChar w:fldCharType="begin" w:fldLock="1"/>
      </w:r>
      <w:r>
        <w:instrText>ADDIN CSL_CITATION {"citationItems":[{"id":"ITEM-1","itemData":{"DOI":"10.15358/0340-1650-2006-6-331","ISSN":"03401650","author":[{"dropping-particle":"","family":"Tversky","given":"Amos","non-dropping-particle":"","parse-names":false,"suffix":""},{"dropping-particle":"","family":"Kahneman","given":"Daniel","non-dropping-particle":"","parse-names":false,"suffix":""}],"container-title":"WiSt - Wirtschaftswissenschaftliches Studium","id":"ITEM-1","issued":{"date-parts":[["1992"]]},"page":"297-323","title":"Advances in Prospect Theory: Cumulative Representation of Uncertainty","type":"article-journal","volume":"5"},"uris":["http://www.mendeley.com/documents/?uuid=ad29ee5d-ea37-4343-b128-ee934dd0405e"]}],"mendeley":{"formattedCitation":"(Tversky &amp; Kahneman, 1992)","manualFormatting":"Tversky &amp; Kahneman, 1992)","plainTextFormattedCitation":"(Tversky &amp; Kahneman, 1992)","previouslyFormattedCitation":"(Tversky &amp; Kahneman, 1992)"},"properties":{"noteIndex":0},"schema":"https://github.com/citation-style-language/schema/raw/master/csl-citation.json"}</w:instrText>
      </w:r>
      <w:r>
        <w:fldChar w:fldCharType="separate"/>
      </w:r>
      <w:r w:rsidRPr="00684096">
        <w:rPr>
          <w:noProof/>
        </w:rPr>
        <w:t>Tversky &amp; Kahneman, 1992)</w:t>
      </w:r>
      <w:r>
        <w:fldChar w:fldCharType="end"/>
      </w:r>
      <w:r>
        <w:t xml:space="preserve">, the theory still represents a step forward in combining insights from psychology and ‘experimental’ economics into the previously much more theoretical economic framework. Though undoubtedly not </w:t>
      </w:r>
      <w:r>
        <w:lastRenderedPageBreak/>
        <w:t>perfect</w:t>
      </w:r>
      <w:r>
        <w:rPr>
          <w:rStyle w:val="FootnoteReference"/>
        </w:rPr>
        <w:footnoteReference w:id="13"/>
      </w:r>
      <w:r>
        <w:t xml:space="preserve">, has proved its worth in empirical studies of humans </w:t>
      </w:r>
      <w:r>
        <w:fldChar w:fldCharType="begin" w:fldLock="1"/>
      </w:r>
      <w:r>
        <w:instrText>ADDIN CSL_CITATION {"citationItems":[{"id":"ITEM-1","itemData":{"DOI":"10.1007/s11166-014-9183-2","ISSN":"15730476","abstract":"Markowitz (Journal of Political Economy 60:151-158, 1952) identified a fourfold pattern of risk preferences in outcome magnitude: When outcomes are large, people are risk averse in gains and risk seeking in losses, but risk preferences reverse when the outcomes are small, with people exhibiting risk seeking in gains and risk aversion in losses. This fourfold pattern was not addressed by either version of prospect theory (Kahneman and Tversky Econometrica 47:363-391, 1979; Tversky and Kahneman Journal of Risk and Uncertainty 5:297-323, 1992). We show how prospect theory can accommodate the pattern by combining an overweighting of low probabilities with a decreasingly elastic value function. We then examine the performance of prospect theory with two decreasingly elastic value functions: Prospect theory performs better, both quantitatively and qualitatively, with a normalized logarithmic value function than with a normalized exponential value function. We discuss several issues, and speculate about why Tversky and Kahneman did not address Markowitz's fourfold pattern. © 2014 Springer Science+Business Media New York.","author":[{"dropping-particle":"","family":"Scholten","given":"Marc","non-dropping-particle":"","parse-names":false,"suffix":""},{"dropping-particle":"","family":"Read","given":"Daniel","non-dropping-particle":"","parse-names":false,"suffix":""}],"container-title":"Journal of Risk and Uncertainty","id":"ITEM-1","issue":"1","issued":{"date-parts":[["2014"]]},"page":"67-83","title":"Prospect theory and the \"forgotten\" fourfold pattern of risk preferences","type":"article-journal","volume":"48"},"uris":["http://www.mendeley.com/documents/?uuid=6b0476bb-ebdf-4ec1-84b3-5a3ebec473cf"]},{"id":"ITEM-2","itemData":{"DOI":"10.1007/s11166-008-9039-8","ISBN":"1116600890398","ISSN":"08955646","abstract":"This paper provides an efficient method to measure utility under prospect theory. Our method minimizes both the number of elicitations required to measure utility and the cognitive burden for subjects, being based on the elicitation of certainty equivalents for two-outcome prospects. We applied our method in an experiment and were able to replicate the main findings on prospect theory, suggesting that our method measures what it is intended to. Our data confirmed empirically that risk seeking and concave utility can coincide under prospect theory. Utility did not depend on the probability used in the elicitation, which offers support for the validity of prospect theory. © 2008 Springer Science+Business Media, LLC.","author":[{"dropping-particle":"","family":"Abdellaoui","given":"Mohammed","non-dropping-particle":"","parse-names":false,"suffix":""},{"dropping-particle":"","family":"Bleichrodt","given":"Han","non-dropping-particle":"","parse-names":false,"suffix":""},{"dropping-particle":"","family":"L'Haridon","given":"Olivier","non-dropping-particle":"","parse-names":false,"suffix":""}],"container-title":"Journal of Risk and Uncertainty","id":"ITEM-2","issue":"3","issued":{"date-parts":[["2008"]]},"page":"245-266","title":"A tractable method to measure utility and loss aversion under prospect theory","type":"article-journal","volume":"36"},"uris":["http://www.mendeley.com/documents/?uuid=de9a99a0-bdad-40ea-88e0-96daafeaf6c0"]}],"mendeley":{"formattedCitation":"(Abdellaoui et al., 2008; Scholten &amp; Read, 2014)","plainTextFormattedCitation":"(Abdellaoui et al., 2008; Scholten &amp; Read, 2014)","previouslyFormattedCitation":"(Abdellaoui et al., 2008; Scholten &amp; Read, 2014)"},"properties":{"noteIndex":0},"schema":"https://github.com/citation-style-language/schema/raw/master/csl-citation.json"}</w:instrText>
      </w:r>
      <w:r>
        <w:fldChar w:fldCharType="separate"/>
      </w:r>
      <w:r w:rsidRPr="00F70591">
        <w:rPr>
          <w:noProof/>
        </w:rPr>
        <w:t>(Abdellaoui et al., 2008; Scholten &amp; Read, 2014)</w:t>
      </w:r>
      <w:r>
        <w:fldChar w:fldCharType="end"/>
      </w:r>
      <w:r>
        <w:t xml:space="preserve"> and macaques </w:t>
      </w:r>
      <w:r>
        <w:fldChar w:fldCharType="begin" w:fldLock="1"/>
      </w:r>
      <w:r>
        <w:instrText>ADDIN CSL_CITATION {"citationItems":[{"id":"ITEM-1","itemData":{"DOI":"10.1523/JNEUROSCI.3653-14.2015","ISSN":"15292401","PMID":"25698750","abstract":"Economic choices are largely determined by two principal elements, reward value (utility) and probability. Although nonlinear utility functions have been acknowledged for centuries, nonlinear probability weighting (probability distortion) was only recently recognized as a ubiquitous aspect of real-world choice behavior. Even when outcome probabilities are known and acknowledged, human decision makers often overweight low probability outcomes and underweight high probability outcomes. Whereas recent studies measured utility functions and their corresponding neural correlates in monkeys, it is not known whether monkeys distort probability in a manner similar to humans. Therefore, we investigated economic choices in macaque monkeys for evidence of probability distortion. We trained two monkeys to predict reward from probabilistic gambles with constant outcome values (0.5 ml or nothing). The probability of winning was conveyed using explicit visual cues (sector stimuli). Choices between the gambles revealed that the monkeys used the explicit probability information to make meaningful decisions. Using these cues, we measured probability distortion from choices between the gambles and safe rewards. Parametric modeling of the choices revealed classic probability weighting functions with inverted-S shape. Therefore, the animals overweighted low probability rewards and underweighted high probability rewards. Empirical investigation of the behavior verified that the choices were best explained by a combination of nonlinear value and nonlinear probability distortion. Together, these results suggest that probability distortion may reflect evolutionarily preserved neuronal processing.","author":[{"dropping-particle":"","family":"Stauffer","given":"William R.","non-dropping-particle":"","parse-names":false,"suffix":""},{"dropping-particle":"","family":"Lak","given":"Armin","non-dropping-particle":"","parse-names":false,"suffix":""},{"dropping-particle":"","family":"Bossaerts","given":"Peter","non-dropping-particle":"","parse-names":false,"suffix":""},{"dropping-particle":"","family":"Schultz","given":"Wolfram","non-dropping-particle":"","parse-names":false,"suffix":""}],"container-title":"Journal of Neuroscience","id":"ITEM-1","issue":"7","issued":{"date-parts":[["2015"]]},"page":"3146-3154","title":"Economic choices reveal probability distortion in macaque monkeys","type":"article-journal","volume":"35"},"uris":["http://www.mendeley.com/documents/?uuid=2b2c9eb5-7e21-407c-951d-7b4e86adae38"]}],"mendeley":{"formattedCitation":"(Stauffer et al., 2015)","plainTextFormattedCitation":"(Stauffer et al., 2015)","previouslyFormattedCitation":"(Stauffer et al., 2015)"},"properties":{"noteIndex":0},"schema":"https://github.com/citation-style-language/schema/raw/master/csl-citation.json"}</w:instrText>
      </w:r>
      <w:r>
        <w:fldChar w:fldCharType="separate"/>
      </w:r>
      <w:r w:rsidRPr="00F70591">
        <w:rPr>
          <w:noProof/>
        </w:rPr>
        <w:t>(Stauffer et al., 2015)</w:t>
      </w:r>
      <w:r>
        <w:fldChar w:fldCharType="end"/>
      </w:r>
      <w:r>
        <w:t>. In 2002, Daniel Kahneman</w:t>
      </w:r>
      <w:r>
        <w:rPr>
          <w:rStyle w:val="FootnoteReference"/>
        </w:rPr>
        <w:footnoteReference w:id="14"/>
      </w:r>
      <w:r>
        <w:t xml:space="preserve"> won the Nobel Prize in economics for </w:t>
      </w:r>
      <w:r w:rsidRPr="001060CD">
        <w:rPr>
          <w:i/>
          <w:iCs/>
        </w:rPr>
        <w:t>"for having integrated insights from psychological research into economic science, especially concerning human judgment and decision-making under uncertainty</w:t>
      </w:r>
      <w:r>
        <w:rPr>
          <w:i/>
          <w:iCs/>
        </w:rPr>
        <w:t>”</w:t>
      </w:r>
      <w:r>
        <w:t>.</w:t>
      </w:r>
    </w:p>
    <w:p w14:paraId="037FD403" w14:textId="77777777" w:rsidR="000618AF" w:rsidRDefault="000618AF" w:rsidP="000618AF">
      <w:pPr>
        <w:rPr>
          <w:i/>
          <w:iCs/>
        </w:rPr>
      </w:pPr>
      <w:r>
        <w:rPr>
          <w:i/>
          <w:iCs/>
        </w:rPr>
        <w:t>Stochastic Choice and Random Utility</w:t>
      </w:r>
    </w:p>
    <w:p w14:paraId="59F5320F" w14:textId="77777777" w:rsidR="000618AF" w:rsidRDefault="000618AF" w:rsidP="000618AF">
      <w:r>
        <w:t>Within this thesis we present a task which allows us to study the cardinal utility of a good to a monkey on individual trials (chapter 2). We compare this task to the discrete-choice tasks that have traditionally been used in this field. In such ‘binary choice’</w:t>
      </w:r>
      <w:r>
        <w:rPr>
          <w:rStyle w:val="FootnoteReference"/>
        </w:rPr>
        <w:footnoteReference w:id="15"/>
      </w:r>
      <w:r>
        <w:t xml:space="preserve"> tasks, subjects choose been options A and B, with the implication being that the good with the higher utility will be chosen.</w:t>
      </w:r>
    </w:p>
    <w:p w14:paraId="2E8E416B" w14:textId="77777777" w:rsidR="000618AF" w:rsidRDefault="000618AF" w:rsidP="000618AF">
      <w:r>
        <w:t xml:space="preserve">For a hyper-rational decision-maker, we might expect that these choices are black and white- after all, the participant should </w:t>
      </w:r>
      <w:r>
        <w:rPr>
          <w:i/>
          <w:iCs/>
        </w:rPr>
        <w:t>always</w:t>
      </w:r>
      <w:r>
        <w:t xml:space="preserve"> choose the better option! However, when studying the choices made by both humans </w:t>
      </w:r>
      <w:r>
        <w:fldChar w:fldCharType="begin" w:fldLock="1"/>
      </w:r>
      <w: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fldChar w:fldCharType="separate"/>
      </w:r>
      <w:r w:rsidRPr="00C02269">
        <w:rPr>
          <w:noProof/>
        </w:rPr>
        <w:t>(Mosteller &amp; Nogee, 1951)</w:t>
      </w:r>
      <w:r>
        <w:fldChar w:fldCharType="end"/>
      </w:r>
      <w:r>
        <w:t xml:space="preserve"> and monkeys </w:t>
      </w:r>
      <w:r>
        <w:fldChar w:fldCharType="begin" w:fldLock="1"/>
      </w:r>
      <w:r>
        <w:instrText>ADDIN CSL_CITATION {"citationItems":[{"id":"ITEM-1","itemData":{"DOI":"10.2139/ssrn.3542282","author":[{"dropping-particle":"","family":"Ferrari-Toniolo","given":"Simone","non-dropping-particle":"","parse-names":false,"suffix":""},{"dropping-particle":"","family":"Bujold","given":"Philipe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Journal","id":"ITEM-1","issued":{"date-parts":[["2020"]]},"title":"Compliance with the Continuity Axiom of Expected Utility Theory Supports Utility Maximization in Monkeys","type":"article-journal"},"uris":["http://www.mendeley.com/documents/?uuid=bef3edc0-3828-4b9c-8751-467a67638cc1"]},{"id":"ITEM-2","itemData":{"DOI":"10.1073/pnas.1612010114","ISSN":"10916490","PMID":"28202727","abstract":"Revealed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America","id":"ITEM-2","issue":"10","issued":{"date-parts":[["2017"]]},"page":"E1766-E1775","title":"Monkeys choose as if maximizing utility compatible with basic principles of revealed preference theory","type":"article-journal","volume":"114"},"uris":["http://www.mendeley.com/documents/?uuid=1ec360f8-ba95-4c24-8d94-e1678eae51a5"]}],"mendeley":{"formattedCitation":"(Ferrari-Toniolo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5F1834">
        <w:rPr>
          <w:noProof/>
        </w:rPr>
        <w:t>(Ferrari-Toniolo et al., 2020; Pastor-Bernier et al., 2017)</w:t>
      </w:r>
      <w:r>
        <w:fldChar w:fldCharType="end"/>
      </w:r>
      <w:r>
        <w:t xml:space="preserve">, many choices instead show a </w:t>
      </w:r>
      <w:r>
        <w:rPr>
          <w:i/>
          <w:iCs/>
        </w:rPr>
        <w:t>curve</w:t>
      </w:r>
      <w:r>
        <w:t xml:space="preserve"> or preferences (see figure 2.1 for a simulated example or figure 2.7 for a figure redrawn from Mosteller and Nogee, 1951). In the introduction to this thesis we touch upon the differences between ‘perceptual’ decisions (e.g. sensory discrimination tasks) and ‘economic’ decisions. The indifference curves in figures 2.1 and 2.7 bear a striking resemblance to the psychometric curves found in the perceptual literature </w:t>
      </w:r>
      <w:r>
        <w:fldChar w:fldCharType="begin" w:fldLock="1"/>
      </w:r>
      <w:r>
        <w:instrText>ADDIN CSL_CITATION {"citationItems":[{"id":"ITEM-1","itemData":{"abstract":"The psychometric function, relating the subject’s response to the physical stimulus, is fundamental to psychophysics.This paper examines various psychometric function topics, many inspired by this special symposiumissue of Perception&amp; Psychophysics: What are the relativemerits of objective yes/no versus forced choice tasks (including threshold variance)?What are the relativemerits of adaptive versus constant stimulimethods?What are the relativemerits of likelihood versus up–down staircaseadaptivemethods? Is 2AFC free of substantial bias? Is there no efficient adaptive method for objective yes/no tasks? Should adaptive methods aimfor 90% correct? Can adding more responses to forced choice and objective yes/no tasks reduce the threshold variance?What is the best way to dealwith lapses?How is theWeibull function intimately related to the d¢ function? What causes bias in the likelihood goodness-of-fit? What causes bias in slope estimates from adaptive methods? How good are nonparametric methods for estimating psychometric function parameters?Of what value is the psychometric function slope? How are various psychometric functions relatedto each other? The resolution of many of these issues is surprising.","author":[{"dropping-particle":"","family":"Klein","given":"Stanley A","non-dropping-particle":"","parse-names":false,"suffix":""}],"container-title":"Perception &amp; Psychophysics","id":"ITEM-1","issue":"8","issued":{"date-parts":[["2001"]]},"page":"1421-1455","title":"Measuring, estimating, and understanding the psychometric function: A commentary","type":"article-journal","volume":"63"},"uris":["http://www.mendeley.com/documents/?uuid=cca663d3-0f8a-4093-bb1c-d81650601aea"]},{"id":"ITEM-2","itemData":{"DOI":"10.1257/jel.44.3.631","ISSN":"00220515","abstract":"Most economists define rationality in terms of consistency principles. These principles place \"bounds\" on rationality - bounds that range from perfect consistency to weak stochastic transitivity. Several decades of research on preferential choice has demonstrated how and when people violate these bounds. Many of these violations are interconnected and reflect systematic behavioral principles. We discuss the robustness of the violations and review the theories that are able to predict them. We further discuss the adaptive functions of the violations. From this perspective, choices do more than reveal preferences; they also reflect subtle, yet often quite reasonable, dependencies on the environment.","author":[{"dropping-particle":"","family":"Rieskamp","given":"Jörg","non-dropping-particle":"","parse-names":false,"suffix":""},{"dropping-particle":"","family":"Busemeyer","given":"Jerome R.","non-dropping-particle":"","parse-names":false,"suffix":""},{"dropping-particle":"","family":"Mellers","given":"Barbara A.","non-dropping-particle":"","parse-names":false,"suffix":""}],"container-title":"Journal of Economic Literature","id":"ITEM-2","issue":"3","issued":{"date-parts":[["2006"]]},"page":"631-661","title":"Extending the bounds of rationality: Evidence and theories of preferential choice","type":"article-journal","volume":"44"},"uris":["http://www.mendeley.com/documents/?uuid=a57c9a2b-b7c0-4f60-b0ab-ce941e61cfc0"]}],"mendeley":{"formattedCitation":"(Klein, 2001; Rieskamp et al., 2006)","plainTextFormattedCitation":"(Klein, 2001; Rieskamp et al., 2006)","previouslyFormattedCitation":"(Klein, 2001; Rieskamp et al., 2006)"},"properties":{"noteIndex":0},"schema":"https://github.com/citation-style-language/schema/raw/master/csl-citation.json"}</w:instrText>
      </w:r>
      <w:r>
        <w:fldChar w:fldCharType="separate"/>
      </w:r>
      <w:r w:rsidRPr="0053500B">
        <w:rPr>
          <w:noProof/>
        </w:rPr>
        <w:t>(Klein, 2001; Rieskamp et al., 2006)</w:t>
      </w:r>
      <w:r>
        <w:fldChar w:fldCharType="end"/>
      </w:r>
      <w:r>
        <w:t>; instead of always choosing an offer with higher utility, subjects make ‘stochastic’ (or ‘discrete’) choices.</w:t>
      </w:r>
    </w:p>
    <w:p w14:paraId="227062CA" w14:textId="77777777" w:rsidR="000618AF" w:rsidRDefault="000618AF" w:rsidP="000618AF">
      <w:r>
        <w:t xml:space="preserve">There are two reconciliatory theories of these empirical observations of choice reversal. Fixed utility theories assume that the utilities present in a choice are fixed and subjects choose options in proportion to the value of the offered choices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laws","type":"article-journal","volume":"66"},"uris":["http://www.mendeley.com/documents/?uuid=7e055116-4f78-4be4-a6a6-2e8ad0dda6f0"]},{"id":"ITEM-2","itemData":{"DOI":"10.1016/0022-2496(72)90011-9","ISSN":"10960880","abstract":"Choice is analyzed as a probabilistic process of successive eliminations. Within this general framework, the present paper characterizes a choice model interpretable as a process of elimination by aspects. It is shown that this model resolves the major difficulties associated with the assumption of independence from irrelevant alternatives, that it generalizes the choice models of Luce (1959) and Restle (1961), and that it is a random utility model. Testable consequences of this model are derived and some of its ramifications are explored. © 1972.","author":[{"dropping-particle":"","family":"Tversky","given":"Amos","non-dropping-particle":"","parse-names":false,"suffix":""}],"container-title":"Journal of Mathematical Psychology","id":"ITEM-2","issue":"4","issued":{"date-parts":[["1972"]]},"page":"341-367","title":"Choice by elimination","type":"article-journal","volume":"9"},"uris":["http://www.mendeley.com/documents/?uuid=0f7cdecb-0e1e-433c-a95c-6b24ff051ad4"]}],"mendeley":{"formattedCitation":"(Luce, 1959; Tversky, 1972)","plainTextFormattedCitation":"(Luce, 1959; Tversky, 1972)","previouslyFormattedCitation":"(Luce, 1959; Tversky, 1972)"},"properties":{"noteIndex":0},"schema":"https://github.com/citation-style-language/schema/raw/master/csl-citation.json"}</w:instrText>
      </w:r>
      <w:r>
        <w:fldChar w:fldCharType="separate"/>
      </w:r>
      <w:r w:rsidRPr="00D6638E">
        <w:rPr>
          <w:noProof/>
        </w:rPr>
        <w:t>(Luce, 1959; Tversky, 1972)</w:t>
      </w:r>
      <w:r>
        <w:fldChar w:fldCharType="end"/>
      </w:r>
      <w:r>
        <w:t>.</w:t>
      </w:r>
    </w:p>
    <w:p w14:paraId="4C8AACB5" w14:textId="77777777" w:rsidR="000618AF" w:rsidRDefault="000618AF" w:rsidP="000618AF">
      <w:pPr>
        <w:pStyle w:val="Caption"/>
        <w:keepNext/>
      </w:pPr>
      <w:r>
        <w:t>Equation A1.</w:t>
      </w:r>
      <w:r w:rsidR="004540CE">
        <w:fldChar w:fldCharType="begin"/>
      </w:r>
      <w:r w:rsidR="004540CE">
        <w:instrText xml:space="preserve"> SEQ Equation \* ARABIC </w:instrText>
      </w:r>
      <w:r w:rsidR="004540CE">
        <w:fldChar w:fldCharType="separate"/>
      </w:r>
      <w:r>
        <w:rPr>
          <w:noProof/>
        </w:rPr>
        <w:t>2</w:t>
      </w:r>
      <w:r w:rsidR="004540CE">
        <w:rPr>
          <w:noProof/>
        </w:rPr>
        <w:fldChar w:fldCharType="end"/>
      </w:r>
    </w:p>
    <w:p w14:paraId="7F1086F9" w14:textId="77777777" w:rsidR="000618AF" w:rsidRPr="008C55F2" w:rsidRDefault="000618AF" w:rsidP="000618AF">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nary>
            </m:den>
          </m:f>
        </m:oMath>
      </m:oMathPara>
    </w:p>
    <w:p w14:paraId="3816FBE3" w14:textId="77777777" w:rsidR="000618AF" w:rsidRDefault="000618AF" w:rsidP="000618AF">
      <w:r>
        <w:t xml:space="preserve">The probability of a subject </w:t>
      </w:r>
      <m:oMath>
        <m:r>
          <m:rPr>
            <m:sty m:val="bi"/>
          </m:rPr>
          <w:rPr>
            <w:rFonts w:ascii="Cambria Math" w:hAnsi="Cambria Math"/>
          </w:rPr>
          <m:t>i</m:t>
        </m:r>
      </m:oMath>
      <w:r>
        <w:rPr>
          <w:rFonts w:eastAsiaTheme="minorEastAsia"/>
        </w:rPr>
        <w:t xml:space="preserve"> choosing an offer </w:t>
      </w:r>
      <m:oMath>
        <m:r>
          <m:rPr>
            <m:sty m:val="bi"/>
          </m:rPr>
          <w:rPr>
            <w:rFonts w:ascii="Cambria Math" w:eastAsiaTheme="minorEastAsia" w:hAnsi="Cambria Math"/>
          </w:rPr>
          <m:t>x</m:t>
        </m:r>
      </m:oMath>
      <w:r>
        <w:rPr>
          <w:rFonts w:eastAsiaTheme="minorEastAsia"/>
        </w:rPr>
        <w:t xml:space="preserve"> is equal to the utility of that choice to the subject, divided by the sum of the utilities of all other offers. </w:t>
      </w:r>
    </w:p>
    <w:p w14:paraId="64CA1000" w14:textId="77777777" w:rsidR="000618AF" w:rsidRPr="008C55F2" w:rsidRDefault="000618AF" w:rsidP="000618AF">
      <w:pPr>
        <w:rPr>
          <w:vertAlign w:val="subscript"/>
        </w:rPr>
      </w:pPr>
      <w:r>
        <w:t xml:space="preserve">In contrast to fixed utility theories, random utility theories assume that the utility placed on a choice by a subject is sampled from a distribution at each evaluation and is inherently noisy </w:t>
      </w:r>
      <w:r>
        <w:fldChar w:fldCharType="begin" w:fldLock="1"/>
      </w:r>
      <w:r>
        <w:instrText>ADDIN CSL_CITATION {"citationItems":[{"id":"ITEM-1","itemData":{"author":[{"dropping-particle":"","family":"Becker, Gordon M. DeGroot, Morris H. Marschak","given":"Jacob","non-dropping-particle":"","parse-names":false,"suffix":""}],"container-title":"Behavioural Science","id":"ITEM-1","issue":"1","issued":{"date-parts":[["1963"]]},"page":"41-55","title":"Stochastic Models of Choice Behavior","type":"article-journal","volume":"8"},"uris":["http://www.mendeley.com/documents/?uuid=c118d454-e3a0-40e2-84f3-dfeee27bbfcb"]},{"id":"ITEM-2","itemData":{"DOI":"10.1007/978-94-010-9276-0_9","author":[{"dropping-particle":"","family":"Marschak","given":"Jacob","non-dropping-particle":"","parse-names":false,"suffix":""}],"container-title":"Economic Information, Decision, and Prediction","id":"ITEM-2","issued":{"date-parts":[["1960"]]},"page":"218-239","title":"\"Binary-Choice Constraints and Random Utility Indicators\" in Economic Information, Decision, and Prediction","type":"article-journal"},"uris":["http://www.mendeley.com/documents/?uuid=ace5da34-c038-4256-bd40-7f90fbcf4778"]},{"id":"ITEM-3","itemData":{"ISBN":"0-262-13159-5","author":[{"dropping-particle":"","family":"McFadden","given":"Daniel","non-dropping-particle":"","parse-names":false,"suffix":""}],"container-title":"Structural Analysis of Discrete Data with Econometric Applications","id":"ITEM-3","issued":{"date-parts":[["1982"]]},"page":"198-272","title":"\"Econometric Models of Probabilistic Choice.\" In Structural Analysis of Discrete Data with Economic Application","type":"article"},"uris":["http://www.mendeley.com/documents/?uuid=b02acebc-0c58-49a3-ad50-b96d39da4af3"]}],"mendeley":{"formattedCitation":"(Becker, Gordon M. DeGroot, Morris H. Marschak, 1963; Marschak, 1960; McFadden, 1982)","plainTextFormattedCitation":"(Becker, Gordon M. DeGroot, Morris H. Marschak, 1963; Marschak, 1960; McFadden, 1982)","previouslyFormattedCitation":"(Becker, Gordon M. DeGroot, Morris H. Marschak, 1963; Marschak, 1960; McFadden, 1982)"},"properties":{"noteIndex":0},"schema":"https://github.com/citation-style-language/schema/raw/master/csl-citation.json"}</w:instrText>
      </w:r>
      <w:r>
        <w:fldChar w:fldCharType="separate"/>
      </w:r>
      <w:r w:rsidRPr="00511A4A">
        <w:rPr>
          <w:noProof/>
        </w:rPr>
        <w:t>(Becker, Gordon M. DeGroot, Morris H. Marschak, 1963; Marschak, 1960; McFadden, 1982)</w:t>
      </w:r>
      <w:r>
        <w:fldChar w:fldCharType="end"/>
      </w:r>
      <w:r>
        <w:t>. 1 millilitre of orange juice might have greater mean utility to a monkey than 1 millilitre of blackcurrant juice and over infinite trials might be chosen more often. However, if both utility distributions have significant variance, both options might be chosen with a similar rate over a countable number of choice actions. Daniel McFadden showed that the Luce equation (</w:t>
      </w:r>
      <w:r w:rsidRPr="004D086E">
        <w:t>equation A1.2</w:t>
      </w:r>
      <w:r w:rsidRPr="008C55F2">
        <w:t>)</w:t>
      </w:r>
      <w:r>
        <w:t xml:space="preserve"> could be reinterpreted in terms of logistic regression. Namely that the choice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oMath>
      <w:r>
        <w:rPr>
          <w:rFonts w:eastAsiaTheme="minorEastAsia"/>
          <w:b/>
          <w:bCs/>
        </w:rPr>
        <w:t xml:space="preserve"> </w:t>
      </w:r>
      <w:r>
        <w:rPr>
          <w:rFonts w:eastAsiaTheme="minorEastAsia"/>
        </w:rPr>
        <w:t xml:space="preserve">can be estimated using a multinomial logit model  </w:t>
      </w:r>
      <w:r>
        <w:rPr>
          <w:rFonts w:eastAsiaTheme="minorEastAsia"/>
        </w:rPr>
        <w:fldChar w:fldCharType="begin" w:fldLock="1"/>
      </w:r>
      <w:r>
        <w:rPr>
          <w:rFonts w:eastAsiaTheme="minorEastAsia"/>
        </w:rPr>
        <w:instrText>ADDIN CSL_CITATION {"citationItems":[{"id":"ITEM-1","itemData":{"DOI":"10.1002/1099-1255(200009/10)15:5&lt;447::aid-jae570&gt;3.0.co;2-1","ISSN":"08837252","abstract":"This paper considers mixed, or random coefficients, multinomial logit (MMNL) models for discrete response,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author":[{"dropping-particle":"","family":"McFadden","given":"Daniel","non-dropping-particle":"","parse-names":false,"suffix":""},{"dropping-particle":"","family":"Train","given":"Kenneth","non-dropping-particle":"","parse-names":false,"suffix":""}],"container-title":"Journal of Applied Econometrics","id":"ITEM-1","issue":"5","issued":{"date-parts":[["2000"]]},"page":"447-470","title":"Mixed MNL models for discrete response","type":"article-journal","volume":"15"},"uris":["http://www.mendeley.com/documents/?uuid=d5ce1d3f-a1b2-4265-9bb6-232376f5825e"]}],"mendeley":{"formattedCitation":"(McFadden &amp; Train, 2000)","plainTextFormattedCitation":"(McFadden &amp; Train, 2000)","previouslyFormattedCitation":"(McFadden &amp; Train, 2000)"},"properties":{"noteIndex":0},"schema":"https://github.com/citation-style-language/schema/raw/master/csl-citation.json"}</w:instrText>
      </w:r>
      <w:r>
        <w:rPr>
          <w:rFonts w:eastAsiaTheme="minorEastAsia"/>
        </w:rPr>
        <w:fldChar w:fldCharType="separate"/>
      </w:r>
      <w:r w:rsidRPr="00FD2142">
        <w:rPr>
          <w:rFonts w:eastAsiaTheme="minorEastAsia"/>
          <w:noProof/>
        </w:rPr>
        <w:t>(McFadden &amp; Train, 2000)</w:t>
      </w:r>
      <w:r>
        <w:rPr>
          <w:rFonts w:eastAsiaTheme="minorEastAsia"/>
        </w:rPr>
        <w:fldChar w:fldCharType="end"/>
      </w:r>
    </w:p>
    <w:p w14:paraId="36D4B65A" w14:textId="77777777" w:rsidR="000618AF" w:rsidRDefault="000618AF" w:rsidP="000618AF">
      <w:pPr>
        <w:pStyle w:val="Caption"/>
        <w:keepNext/>
      </w:pPr>
      <w:r>
        <w:t>Equation A1.</w:t>
      </w:r>
      <w:r w:rsidR="004540CE">
        <w:fldChar w:fldCharType="begin"/>
      </w:r>
      <w:r w:rsidR="004540CE">
        <w:instrText xml:space="preserve"> SEQ Equation \* ARABIC </w:instrText>
      </w:r>
      <w:r w:rsidR="004540CE">
        <w:fldChar w:fldCharType="separate"/>
      </w:r>
      <w:r>
        <w:rPr>
          <w:noProof/>
        </w:rPr>
        <w:t>3</w:t>
      </w:r>
      <w:r w:rsidR="004540CE">
        <w:rPr>
          <w:noProof/>
        </w:rPr>
        <w:fldChar w:fldCharType="end"/>
      </w:r>
    </w:p>
    <w:p w14:paraId="1964792F" w14:textId="77777777" w:rsidR="000618AF" w:rsidRPr="008C55F2" w:rsidRDefault="000618AF" w:rsidP="000618AF">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sup>
              </m:sSup>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up>
                  </m:sSup>
                </m:e>
              </m:nary>
            </m:den>
          </m:f>
        </m:oMath>
      </m:oMathPara>
    </w:p>
    <w:p w14:paraId="3E89B56C" w14:textId="3486BEEF" w:rsidR="000618AF" w:rsidRDefault="000618AF" w:rsidP="000618AF">
      <w:r>
        <w:lastRenderedPageBreak/>
        <w:t xml:space="preserve">The slope of this model is proportion to the noise in a subjects choices; a rectangular step function shows hyper-rational choices of always the offer with the most utility, with the curve flattening as a subject’s choices become noisier. Daniel McFadden won the 2000 Nobel Prize in economics for these contributions to discrete choice modelling and we use this model in chapter 3 to estimate the utility of binary choices, in line with previous studies from the lab </w:t>
      </w:r>
      <w:r>
        <w:fldChar w:fldCharType="begin" w:fldLock="1"/>
      </w:r>
      <w:r w:rsidR="00C87A17">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500A81">
        <w:rPr>
          <w:noProof/>
        </w:rPr>
        <w:t>(Ferrari-Toniolo et al., 2020; Pastor-Bernier et al., 2017)</w:t>
      </w:r>
      <w:r>
        <w:fldChar w:fldCharType="end"/>
      </w:r>
      <w:r>
        <w:t xml:space="preserve">. </w:t>
      </w:r>
    </w:p>
    <w:p w14:paraId="4401D6A9" w14:textId="77777777" w:rsidR="000618AF" w:rsidRPr="00B0672A" w:rsidRDefault="000618AF" w:rsidP="000618AF">
      <w:r>
        <w:t>Figure 3 shows the random utility model in graphical form where choices red, blue, green, and purple sit along a concave utility function (panel 1). We model the noise in each choice as a Gaussian (here with equal variance (noise) per choice which may or may not be the case in the real world), where the proportion of choices corresponds to the proportion of samples where each has a higher utility plus noise (panel 3). The choice between the red and blue offers (representing 2 or 3 units of an offered good) sits on a steeper section of the utility function and so, for the same amount of noise in each choice, has a greater discrepancy in observed choices than for the green and purple (7 and 8 units) goods.</w:t>
      </w:r>
    </w:p>
    <w:p w14:paraId="1594F6DA" w14:textId="77777777" w:rsidR="000618AF" w:rsidRDefault="000618AF" w:rsidP="000618AF">
      <w:pPr>
        <w:rPr>
          <w:i/>
          <w:iCs/>
        </w:rPr>
      </w:pPr>
      <w:r>
        <w:rPr>
          <w:i/>
          <w:iCs/>
        </w:rPr>
        <w:t>Modern Auction Theory – From Wives to Wireless</w:t>
      </w:r>
    </w:p>
    <w:p w14:paraId="0ECEBA6D" w14:textId="77777777" w:rsidR="000618AF" w:rsidRDefault="000618AF" w:rsidP="000618AF">
      <w:r>
        <w:t xml:space="preserve">This project uses a relatively simple auction design in which a monkey makes bids which are compared to a randomly drawn computer bid. We discuss a history and analysis of the BDM auction paradigm in chapter 2 of this thesis (Becker paper, milgrom paper). While this is not a pure economics thesis, we consider it important to situate our work somewhat within the more general field of auction theory. Neuroeconomics as a discipline is in its infancy </w:t>
      </w:r>
      <w:r>
        <w:fldChar w:fldCharType="begin" w:fldLock="1"/>
      </w:r>
      <w:r>
        <w:instrText>ADDIN CSL_CITATION {"citationItems":[{"id":"ITEM-1","itemData":{"author":[{"dropping-particle":"","family":"Camerer","given":"Colin F.","non-dropping-particle":"","parse-names":false,"suffix":""},{"dropping-particle":"","family":"Loewenstein","given":"George","non-dropping-particle":"","parse-names":false,"suffix":""},{"dropping-particle":"","family":"Prelec","given":"Drazen","non-dropping-particle":"","parse-names":false,"suffix":""}],"container-title":"Journal of Economic Literature","id":"ITEM-1","issue":"1","issued":{"date-parts":[["2005"]]},"page":"9-64","title":"Neuroeconomics: How Neuroscience Can Inform Economics","type":"article-journal","volume":"43"},"uris":["http://www.mendeley.com/documents/?uuid=dba286f1-892c-4703-ace6-b604e8b83939"]}],"mendeley":{"formattedCitation":"(Camerer et al., 2005)","plainTextFormattedCitation":"(Camerer et al., 2005)","previouslyFormattedCitation":"(Camerer et al., 2005)"},"properties":{"noteIndex":0},"schema":"https://github.com/citation-style-language/schema/raw/master/csl-citation.json"}</w:instrText>
      </w:r>
      <w:r>
        <w:fldChar w:fldCharType="separate"/>
      </w:r>
      <w:r w:rsidRPr="001762A6">
        <w:rPr>
          <w:noProof/>
        </w:rPr>
        <w:t>(Camerer et al., 2005)</w:t>
      </w:r>
      <w:r>
        <w:fldChar w:fldCharType="end"/>
      </w:r>
      <w:r>
        <w:t xml:space="preserve"> and we would expect that some day, possibly even soon, an understanding of the economics literature will be an important asset to any neuroscientist who goes in search of value signals in the brain. Here we give a whirlwind tour starting with the history of auctions and progressing onto modern auction theory.</w:t>
      </w:r>
    </w:p>
    <w:p w14:paraId="2BD2A80A" w14:textId="77777777" w:rsidR="000618AF" w:rsidRDefault="000618AF" w:rsidP="000618AF">
      <w:pPr>
        <w:rPr>
          <w:i/>
          <w:iCs/>
        </w:rPr>
      </w:pPr>
      <w:r>
        <w:t xml:space="preserve">The somewhat chequered history of auctions is generally agreed to have begun with Herodotus' description of the sale of Babylonian wives in his </w:t>
      </w:r>
      <w:r>
        <w:rPr>
          <w:i/>
          <w:iCs/>
        </w:rPr>
        <w:t>Histories</w:t>
      </w:r>
      <w:r>
        <w:t xml:space="preserve"> published circa. 500 </w:t>
      </w:r>
      <w:r>
        <w:fldChar w:fldCharType="begin" w:fldLock="1"/>
      </w:r>
      <w:r>
        <w:instrText>ADDIN CSL_CITATION {"citationItems":[{"id":"ITEM-1","itemData":{"author":[{"dropping-particle":"","family":"Rawlinson","given":"George","non-dropping-particle":"","parse-names":false,"suffix":""}],"id":"ITEM-1","issued":{"date-parts":[["1885"]]},"title":"The History of Herodotus, Volume 1","type":"article-journal"},"uris":["http://www.mendeley.com/documents/?uuid=074c846c-4f43-4f7f-bdb3-b14b57e0ff64"]}],"mendeley":{"formattedCitation":"(Rawlinson, 1885)","plainTextFormattedCitation":"(Rawlinson, 1885)","previouslyFormattedCitation":"(Rawlinson, 1885)"},"properties":{"noteIndex":0},"schema":"https://github.com/citation-style-language/schema/raw/master/csl-citation.json"}</w:instrText>
      </w:r>
      <w:r>
        <w:fldChar w:fldCharType="separate"/>
      </w:r>
      <w:r w:rsidRPr="001762A6">
        <w:rPr>
          <w:noProof/>
        </w:rPr>
        <w:t>(Rawlinson, 1885)</w:t>
      </w:r>
      <w:r>
        <w:fldChar w:fldCharType="end"/>
      </w:r>
      <w:r>
        <w:t>.</w:t>
      </w:r>
    </w:p>
    <w:p w14:paraId="4B854333" w14:textId="77777777" w:rsidR="000618AF" w:rsidRDefault="000618AF" w:rsidP="000618AF">
      <w:r>
        <w:rPr>
          <w:i/>
          <w:iCs/>
        </w:rPr>
        <w:t>"All the girls of marriageable age were assembled together in one place, and a crowd of men would form a circle around them while and auctioneer had the women stand up one by one and sold them, beginning with the most beautiful. When this young woman was sold for a large amount of gold, he would then put up for sale the second most beautiful... All the wealthier Babylonian men of marriage-able age would try to outbid each other for the prettiest girls. The more humble among them did not seek beauty in the women they bid for, because the homelier ones came with a monetary reward as an incentive for someone to marry them... And when the auctioneer finished selling the most beautiful of the young women, he had the most unattractive stand up, or a crippled girl, if there was any among them, and these would be offered for sale with the announcement that they would go to whoever would accept the smallest amount of gold and marry them... The gold for these arrangements came from the sale of the beautiful girls, and thus the attractive provided the dowries to help marry of the unattractive and crippled."</w:t>
      </w:r>
      <w:r>
        <w:rPr>
          <w:i/>
          <w:iCs/>
        </w:rPr>
        <w:br/>
      </w:r>
      <w:r>
        <w:t xml:space="preserve"> </w:t>
      </w:r>
    </w:p>
    <w:p w14:paraId="526FE4E0" w14:textId="77777777" w:rsidR="000618AF" w:rsidRDefault="000618AF" w:rsidP="000618AF">
      <w:r>
        <w:t xml:space="preserve">Each potential suitor is assumed to have utility for both a beautiful wife and the potential monetary compensation offered. The rich outbid each other to maximise their utility for the </w:t>
      </w:r>
      <w:r>
        <w:rPr>
          <w:i/>
          <w:iCs/>
        </w:rPr>
        <w:t>'prettiest girls'</w:t>
      </w:r>
      <w:r>
        <w:t xml:space="preserve"> and the poorer men to maximise the monetary incentive for marrying a more </w:t>
      </w:r>
      <w:r w:rsidRPr="00D85D16">
        <w:t>'humble'</w:t>
      </w:r>
      <w:r>
        <w:t xml:space="preserve"> bride</w:t>
      </w:r>
      <w:r>
        <w:rPr>
          <w:rStyle w:val="FootnoteReference"/>
        </w:rPr>
        <w:footnoteReference w:id="16"/>
      </w:r>
      <w:r>
        <w:t>.</w:t>
      </w:r>
    </w:p>
    <w:p w14:paraId="29AC4E0D" w14:textId="77777777" w:rsidR="000618AF" w:rsidRDefault="000618AF" w:rsidP="000618AF">
      <w:r>
        <w:lastRenderedPageBreak/>
        <w:t>Perhaps a more famous early example of auctions is also it's most disastrous. In 193AD the Praetorian guard murdered the Roman emperor Pertinax</w:t>
      </w:r>
      <w:r>
        <w:rPr>
          <w:rStyle w:val="FootnoteReference"/>
        </w:rPr>
        <w:footnoteReference w:id="17"/>
      </w:r>
      <w:r>
        <w:t xml:space="preserve"> and auctioned off the chance to succeed him. Pertinax's father-in-law Sulpicianus offer of 5000drachmas was outbid by Didius Julianus who offered 6000drachmas </w:t>
      </w:r>
      <w:r>
        <w:fldChar w:fldCharType="begin" w:fldLock="1"/>
      </w:r>
      <w:r>
        <w:instrText>ADDIN CSL_CITATION {"citationItems":[{"id":"ITEM-1","itemData":{"author":[{"dropping-particle":"","family":"Gibbon","given":"Edward","non-dropping-particle":"","parse-names":false,"suffix":""}],"id":"ITEM-1","issued":{"date-parts":[["1776"]]},"title":"The Decline and Fall of the Roman Empire, Volume 1","type":"article-journal"},"uris":["http://www.mendeley.com/documents/?uuid=3aab5dc5-b561-44e6-b06a-8d32e4963573"]}],"mendeley":{"formattedCitation":"(Gibbon, 1776)","plainTextFormattedCitation":"(Gibbon, 1776)","previouslyFormattedCitation":"(Gibbon, 1776)"},"properties":{"noteIndex":0},"schema":"https://github.com/citation-style-language/schema/raw/master/csl-citation.json"}</w:instrText>
      </w:r>
      <w:r>
        <w:fldChar w:fldCharType="separate"/>
      </w:r>
      <w:r w:rsidRPr="00D85D16">
        <w:rPr>
          <w:noProof/>
        </w:rPr>
        <w:t>(Gibbon, 1776)</w:t>
      </w:r>
      <w:r>
        <w:fldChar w:fldCharType="end"/>
      </w:r>
      <w:r>
        <w:t xml:space="preserve">. While auctions are an efficient mechanism to discover an individual’s utility for an offer, they are a poor apparatus to aggregate many people's preferences; the purchase rather than earning of the title made Julianus an unpopular emperor who was executed by the same guards less than 3 months later </w:t>
      </w:r>
      <w:r>
        <w:fldChar w:fldCharType="begin" w:fldLock="1"/>
      </w:r>
      <w:r>
        <w:instrText>ADDIN CSL_CITATION {"citationItems":[{"id":"ITEM-1","itemData":{"author":[{"dropping-particle":"","family":"Dio","given":"Cassius","non-dropping-particle":"","parse-names":false,"suffix":""}],"id":"ITEM-1","issued":{"date-parts":[["0"]]},"title":"Historia Augusta, Didius Julianus","type":"article-journal"},"uris":["http://www.mendeley.com/documents/?uuid=7417fc23-3ce9-4f51-91df-c54a69f88270"]}],"mendeley":{"formattedCitation":"(Dio, n.d.)","plainTextFormattedCitation":"(Dio, n.d.)","previouslyFormattedCitation":"(Dio, n.d.)"},"properties":{"noteIndex":0},"schema":"https://github.com/citation-style-language/schema/raw/master/csl-citation.json"}</w:instrText>
      </w:r>
      <w:r>
        <w:fldChar w:fldCharType="separate"/>
      </w:r>
      <w:r w:rsidRPr="00D85D16">
        <w:rPr>
          <w:noProof/>
        </w:rPr>
        <w:t>(Dio, n.d.)</w:t>
      </w:r>
      <w:r>
        <w:fldChar w:fldCharType="end"/>
      </w:r>
      <w:r>
        <w:t>.</w:t>
      </w:r>
    </w:p>
    <w:p w14:paraId="523B190C" w14:textId="77777777" w:rsidR="000618AF" w:rsidRDefault="000618AF" w:rsidP="000618AF">
      <w:r>
        <w:t xml:space="preserve">The Romans had greater success staging auctions for more common goods in order to trade and raise money, most commonly to pay off debts to creditors </w:t>
      </w:r>
      <w:r>
        <w:fldChar w:fldCharType="begin" w:fldLock="1"/>
      </w:r>
      <w:r>
        <w:instrText>ADDIN CSL_CITATION {"citationItems":[{"id":"ITEM-1","itemData":{"DOI":"10.2143/as.38.0.2033274","ISSN":"0066-1619","author":[{"dropping-particle":"","family":"Morcillo","given":"Marta Garcia","non-dropping-particle":"","parse-names":false,"suffix":""}],"container-title":"Ancient Society","id":"ITEM-1","issued":{"date-parts":[["2008"]]},"page":"153-181","title":"Staging Power and Authority at Roman Auctions","type":"article-journal","volume":"38"},"uris":["http://www.mendeley.com/documents/?uuid=dd2625eb-2c5d-4bf8-b882-63462fcddb67"]}],"mendeley":{"formattedCitation":"(Morcillo, 2008)","plainTextFormattedCitation":"(Morcillo, 2008)","previouslyFormattedCitation":"(Morcillo, 2008)"},"properties":{"noteIndex":0},"schema":"https://github.com/citation-style-language/schema/raw/master/csl-citation.json"}</w:instrText>
      </w:r>
      <w:r>
        <w:fldChar w:fldCharType="separate"/>
      </w:r>
      <w:r w:rsidRPr="00D85D16">
        <w:rPr>
          <w:noProof/>
        </w:rPr>
        <w:t>(Morcillo, 2008)</w:t>
      </w:r>
      <w:r>
        <w:fldChar w:fldCharType="end"/>
      </w:r>
      <w:r>
        <w:t>.  For the last few centuries, particular industries especially for rare items (such as diamonds), fresh items (such as fish and fresh flowers) and durable items (such as used cars) have, and continue to sell their goods in auctions, however, it is only with the advent of the modern world that the use of auctions has exploded.</w:t>
      </w:r>
    </w:p>
    <w:p w14:paraId="403CB069" w14:textId="77777777" w:rsidR="000618AF" w:rsidRDefault="000618AF" w:rsidP="000618AF">
      <w:r>
        <w:t xml:space="preserve">The United States introduced auctions for treasury bills in 1929 </w:t>
      </w:r>
      <w:r>
        <w:fldChar w:fldCharType="begin" w:fldLock="1"/>
      </w:r>
      <w:r>
        <w:instrText>ADDIN CSL_CITATION {"citationItems":[{"id":"ITEM-1","itemData":{"abstract":"In the 1920s, there were several flaws in the structure of U.S. Treasury financing operations. The flaws were attributable to the war-time practice of selling securities in fixed-price subscription offerings and the newer practice of limiting Treasury debt sales to quarterly dates. In 1929, the Treasury introduced a new financial instrument to mitigate these flaws. Treasury bills were auctioned rather than offered for sale at a fixed price and were sold on an as-needed basis instead of on a quarterly schedule. By introducing a new class of securities, the Treasury was able to address the defects in the existing primary market structure even as it continued to maintain that structure.","author":[{"dropping-particle":"","family":"Garbade","given":"Kenneth D","non-dropping-particle":"","parse-names":false,"suffix":""}],"container-title":"Economic Policy Review","id":"ITEM-1","issue":"1","issued":{"date-parts":[["2008"]]},"page":"31-47","title":"Why the U.S. Treasury Began Auctioning Treasury Bills in 1929","type":"article-journal","volume":"14"},"uris":["http://www.mendeley.com/documents/?uuid=94336f5a-a493-4a03-b84b-90b96d7b1e9e"]}],"mendeley":{"formattedCitation":"(Garbade, 2008)","plainTextFormattedCitation":"(Garbade, 2008)","previouslyFormattedCitation":"(Garbade, 2008)"},"properties":{"noteIndex":0},"schema":"https://github.com/citation-style-language/schema/raw/master/csl-citation.json"}</w:instrText>
      </w:r>
      <w:r>
        <w:fldChar w:fldCharType="separate"/>
      </w:r>
      <w:r w:rsidRPr="00D85D16">
        <w:rPr>
          <w:noProof/>
        </w:rPr>
        <w:t>(Garbade, 2008)</w:t>
      </w:r>
      <w:r>
        <w:fldChar w:fldCharType="end"/>
      </w:r>
      <w:r>
        <w:t>, a mechanism of government financing that has since been taken up by many countries</w:t>
      </w:r>
      <w:r>
        <w:rPr>
          <w:rStyle w:val="FootnoteReference"/>
        </w:rPr>
        <w:footnoteReference w:id="18"/>
      </w:r>
      <w:r>
        <w:t xml:space="preserve"> and is now worth tens of trillions of dollars worldwide. In addition, certain natural monopolies where the opportunity to exploit a resource can only be sold to one bidder have proven amenable to auctions. For instance, when selling the rights to extract oil from a potential field, the utilities of petroleum companies will vary by their estimate of the magnitude of that oil reserve, and any regulator is incentivised to find the highest estimate among any set of bidders. </w:t>
      </w:r>
    </w:p>
    <w:p w14:paraId="734877D2" w14:textId="77777777" w:rsidR="000618AF" w:rsidRDefault="000618AF" w:rsidP="000618AF">
      <w:r>
        <w:t xml:space="preserve">With the rise of telecommunications, frequency spectra became a crucial and inherently limited natural monopoly and by the new millennium auctions of spectra raised tens to hundreds of billions of euros per country </w:t>
      </w:r>
      <w:r>
        <w:fldChar w:fldCharType="begin" w:fldLock="1"/>
      </w:r>
      <w:r>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fldChar w:fldCharType="separate"/>
      </w:r>
      <w:r w:rsidRPr="00BE4DC1">
        <w:rPr>
          <w:noProof/>
        </w:rPr>
        <w:t>(Klemperer, 2002)</w:t>
      </w:r>
      <w:r>
        <w:fldChar w:fldCharType="end"/>
      </w:r>
      <w:r>
        <w:t xml:space="preserve">. The internet allowed monopolisitic startups the opportunity to auction limited advertising space </w:t>
      </w:r>
      <w:r>
        <w:fldChar w:fldCharType="begin" w:fldLock="1"/>
      </w:r>
      <w:r>
        <w:instrText>ADDIN CSL_CITATION {"citationItems":[{"id":"ITEM-1","itemData":{"author":[{"dropping-particle":"","family":"Google","given":"","non-dropping-particle":"","parse-names":false,"suffix":""}],"id":"ITEM-1","issued":{"date-parts":[["2017"]]},"title":"About the ad auction - AdSense Help","type":"article"},"uris":["http://www.mendeley.com/documents/?uuid=a070d310-293c-4b7c-818b-59a6ab11fa8b"]}],"mendeley":{"formattedCitation":"(Google, 2017)","plainTextFormattedCitation":"(Google, 2017)","previouslyFormattedCitation":"(Google, 2017)"},"properties":{"noteIndex":0},"schema":"https://github.com/citation-style-language/schema/raw/master/csl-citation.json"}</w:instrText>
      </w:r>
      <w:r>
        <w:fldChar w:fldCharType="separate"/>
      </w:r>
      <w:r w:rsidRPr="00BE4DC1">
        <w:rPr>
          <w:noProof/>
        </w:rPr>
        <w:t>(Google, 2017)</w:t>
      </w:r>
      <w:r>
        <w:fldChar w:fldCharType="end"/>
      </w:r>
      <w:r>
        <w:t xml:space="preserve"> as well as connecting traders with an near infinite supply of potential buyers on platforms such as eBay.</w:t>
      </w:r>
    </w:p>
    <w:p w14:paraId="3E299EA9" w14:textId="77777777" w:rsidR="000618AF" w:rsidRDefault="000618AF" w:rsidP="000618AF">
      <w:r>
        <w:t xml:space="preserve">It's therefore not surprising that auction theory has proved a fertile ground for applied economic thought over the last half a century providing insights that have raised billions of units of currency for governments around the world, and many prestigious prizes for economists. The modern analysis of auctions is traditionally traced back to John Forbes Nash's 1950 dissertation on non-cooperative games </w:t>
      </w:r>
      <w:r>
        <w:fldChar w:fldCharType="begin" w:fldLock="1"/>
      </w:r>
      <w:r>
        <w:instrText>ADDIN CSL_CITATION {"citationItems":[{"id":"ITEM-1","itemData":{"author":[{"dropping-particle":"","family":"Nash","given":"John Forbes","non-dropping-particle":"","parse-names":false,"suffix":""}],"container-title":"Annals of Mathematics","id":"ITEM-1","issue":"2","issued":{"date-parts":[["1951"]]},"page":"286-295","title":"Non-Cooperative Games","type":"article-journal","volume":"54"},"uris":["http://www.mendeley.com/documents/?uuid=74efbd72-faf3-4cc7-b258-fb27cded90fa"]}],"mendeley":{"formattedCitation":"(Nash, 1951)","plainTextFormattedCitation":"(Nash, 1951)","previouslyFormattedCitation":"(Nash, 1951)"},"properties":{"noteIndex":0},"schema":"https://github.com/citation-style-language/schema/raw/master/csl-citation.json"}</w:instrText>
      </w:r>
      <w:r>
        <w:fldChar w:fldCharType="separate"/>
      </w:r>
      <w:r w:rsidRPr="00D56467">
        <w:rPr>
          <w:noProof/>
        </w:rPr>
        <w:t>(Nash, 1951)</w:t>
      </w:r>
      <w:r>
        <w:fldChar w:fldCharType="end"/>
      </w:r>
      <w:r>
        <w:t xml:space="preserve">. Extending the work of von Neumann and Morgenstern beyond zero-sum games </w:t>
      </w:r>
      <w:r>
        <w:fldChar w:fldCharType="begin" w:fldLock="1"/>
      </w:r>
      <w:r>
        <w:instrText>ADDIN CSL_CITATION {"citationItems":[{"id":"ITEM-1","itemData":{"author":[{"dropping-particle":"","family":"Neumann, J Morgenstern","given":"O","non-dropping-particle":"von","parse-names":false,"suffix":""}],"container-title":"Princeton University Press","id":"ITEM-1","issued":{"date-parts":[["1944"]]},"title":"Theory of games and economic behavior","type":"article-journal"},"uris":["http://www.mendeley.com/documents/?uuid=73de79b1-cc48-4452-bfa0-a5a0573774da"]}],"mendeley":{"formattedCitation":"(von Neumann, J Morgenstern, 1944)","plainTextFormattedCitation":"(von Neumann, J Morgenstern, 1944)","previouslyFormattedCitation":"(von Neumann, J Morgenstern, 1944)"},"properties":{"noteIndex":0},"schema":"https://github.com/citation-style-language/schema/raw/master/csl-citation.json"}</w:instrText>
      </w:r>
      <w:r>
        <w:fldChar w:fldCharType="separate"/>
      </w:r>
      <w:r w:rsidRPr="006E0A3D">
        <w:rPr>
          <w:noProof/>
        </w:rPr>
        <w:t>(von Neumann, J Morgenstern, 1944)</w:t>
      </w:r>
      <w:r>
        <w:fldChar w:fldCharType="end"/>
      </w:r>
      <w:r>
        <w:t>, Nash introduced the concept of a 'Nash equilibrium', an optimal strategy for any player given full knowledge of every other player's strategy, which must exist for any finite game (that is, any game with a bounded set of strategies such as the limited bidding budget in our BDM task).</w:t>
      </w:r>
    </w:p>
    <w:p w14:paraId="5DB89E79" w14:textId="77777777" w:rsidR="000618AF" w:rsidRDefault="000618AF" w:rsidP="000618AF">
      <w:r>
        <w:t xml:space="preserve">Nash shared the 1994 Nobel prize in economics that he won for his work on non-cooperative games with John Harsanyi for the latter's work on 'Bayesian games', when players have incomplete information about the game being played </w:t>
      </w:r>
      <w:r>
        <w:fldChar w:fldCharType="begin" w:fldLock="1"/>
      </w:r>
      <w:r>
        <w:instrText>ADDIN CSL_CITATION {"citationItems":[{"id":"ITEM-1","itemData":{"DOI":"10.1287/mnsc.1040.0270","ISSN":"00251909","abstract":"The paper develops a new theory for the analysis of games with incomplete information where the players are uncertain about some important parameters of the game situation, such as the payoff functions, the strategies available to various players, the information other players have about the game, etc. However, each player has a subjective probability distribution over the alternative possibilities. In most of the paper it is assumed that these probability distributions entertained by the different players are mutually \"consistent,\" in the sense that they can be regarded as conditional probability distributions derived from a certain \"basic probability distribution\" over the parameters unknown to the various players. But later the theory is extended also to cases where the different players' subjective probability distributions fail to satisfy this consistency assumption. In cases where the consistency assumption holds, the original game can be replaced by a game where nature first conducts a lottery in accordance with the basic probability distribution, and the outcome of this lottery will decide which particular subgame will be played, i.e., what the actual values of the relevant parameters will be in the game. Yet, each player will receive only partial information about the outcome of the lottery, and about the values of these parameters. However, every player will know the \"basic probability distribution\" governing the lottery. Thus, technically, the resulting game will be a game with complete information. It is called the Bayes-equivalent of the original game. Part I of the paper describes the basic model and discusses various intuitive interpretations for the latter. Part II shows that the Nash equilibrium points of the Bayes-equivalent game yield \"Bayesian equilibrium points\" for the original game. Finally, Part III considers the main properties of the \"basic probability distribution.\".","author":[{"dropping-particle":"","family":"Harsanyi","given":"John C.","non-dropping-particle":"","parse-names":false,"suffix":""}],"container-title":"Management Science","id":"ITEM-1","issue":"5","issued":{"date-parts":[["1967"]]},"page":"159–189","title":"Games with Incomplete Information Played by \"Bayesian\" Players, I-III. Part I. The Basic Model","type":"article-journal","volume":"14"},"uris":["http://www.mendeley.com/documents/?uuid=c552288c-0195-409f-98ae-05589d518704"]},{"id":"ITEM-2","itemData":{"author":[{"dropping-particle":"","family":"Harsanyi","given":"John C.","non-dropping-particle":"","parse-names":false,"suffix":""}],"container-title":"Management Science","id":"ITEM-2","issue":"5","issued":{"date-parts":[["1968"]]},"page":"320-334","title":"Games with Incomplete Information Played by \"Bayesian\" Players, I-III. Part II. Bayesian Equilibrium Points","type":"article-journal","volume":"14"},"uris":["http://www.mendeley.com/documents/?uuid=d90869ab-0e38-4abf-a39e-4837fb0d0817"]},{"id":"ITEM-3","itemData":{"author":[{"dropping-particle":"","family":"Harsanyi","given":"John C.","non-dropping-particle":"","parse-names":false,"suffix":""}],"container-title":"Management Science","id":"ITEM-3","issue":"7","issued":{"date-parts":[["1968"]]},"page":"486-502","title":"Games with Incomplete Information Played by \"Bayesian\" Players, I-III. Part III. The Basic Probability Distribution of the Game","type":"article-journal","volume":"14"},"uris":["http://www.mendeley.com/documents/?uuid=25de3f0f-ab49-4610-9201-35df37384726"]}],"mendeley":{"formattedCitation":"(Harsanyi, 1967, 1968a, 1968b)","plainTextFormattedCitation":"(Harsanyi, 1967, 1968a, 1968b)","previouslyFormattedCitation":"(Harsanyi, 1967, 1968a, 1968b)"},"properties":{"noteIndex":0},"schema":"https://github.com/citation-style-language/schema/raw/master/csl-citation.json"}</w:instrText>
      </w:r>
      <w:r>
        <w:fldChar w:fldCharType="separate"/>
      </w:r>
      <w:r w:rsidRPr="00123F2F">
        <w:rPr>
          <w:noProof/>
        </w:rPr>
        <w:t>(Harsanyi, 1967, 1968a, 1968b)</w:t>
      </w:r>
      <w:r>
        <w:fldChar w:fldCharType="end"/>
      </w:r>
      <w:r>
        <w:t>. For example, if a PhD student knows that their examiners are diligent the Nash equilibrium should land on the student putting a fair bit of work even into the appendix of their thesis to produce a comprehensive piece of work to be examined upon. However, any student has incomplete information about their thesis committee and does not know if their examiners will be diligent or lazy (and not read the appendices), or perhaps just not interested in auction theory. In auctions, a bidder only has complete knowledge of their own value and range of bids for any offered good, and so any analysis of auctions must take place within the Bayes-Nash framework.</w:t>
      </w:r>
    </w:p>
    <w:p w14:paraId="0EA46313" w14:textId="77777777" w:rsidR="000618AF" w:rsidRDefault="000618AF" w:rsidP="000618AF">
      <w:r>
        <w:lastRenderedPageBreak/>
        <w:t xml:space="preserve">The extension of game theory to incomplete information settings becomes crucial when considering the phenomena that has come to be known as “the winner's curse”. In 1971, Capen, Clapp, and Campbell published their reports that oil giants bidding for the rights to extract from offshore locations under a first-price auction mechanism were making less profit from these sites than expected </w:t>
      </w:r>
      <w:r>
        <w:fldChar w:fldCharType="begin" w:fldLock="1"/>
      </w:r>
      <w:r>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82249C">
        <w:rPr>
          <w:noProof/>
        </w:rPr>
        <w:t>(Capen, E. C. Clapp, 1973)</w:t>
      </w:r>
      <w:r>
        <w:fldChar w:fldCharType="end"/>
      </w:r>
      <w:r>
        <w:t xml:space="preserve">. All else being equal, by definition, the company which won the rights to drill an oil field had the greatest expected value of the oil located within that field. That is, after all, why they submitted the highest bid and won the auction for those rights. For any bidders lacking introspection, the greatest bid for a given good will tend to be the greatest </w:t>
      </w:r>
      <w:r>
        <w:rPr>
          <w:i/>
          <w:iCs/>
        </w:rPr>
        <w:t>overestimation</w:t>
      </w:r>
      <w:r>
        <w:t xml:space="preserve"> in that goods worth, with the overestimation of value correlated with the numbers of bidders in the auction</w:t>
      </w:r>
      <w:r>
        <w:rPr>
          <w:rStyle w:val="FootnoteReference"/>
        </w:rPr>
        <w:footnoteReference w:id="19"/>
      </w:r>
      <w:r>
        <w:t>.</w:t>
      </w:r>
    </w:p>
    <w:p w14:paraId="53797E95" w14:textId="77777777" w:rsidR="000618AF" w:rsidRDefault="000618AF" w:rsidP="000618AF">
      <w:r>
        <w:t xml:space="preserve">Robert Wilson solved the amount each bidder should optimally reduce their bid in such auctions by an analysis of auctions within the Bayesian games framework </w:t>
      </w:r>
      <w:r>
        <w:fldChar w:fldCharType="begin" w:fldLock="1"/>
      </w:r>
      <w:r>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fldChar w:fldCharType="separate"/>
      </w:r>
      <w:r w:rsidRPr="002111BA">
        <w:rPr>
          <w:noProof/>
        </w:rPr>
        <w:t>(Wilson, 1967)</w:t>
      </w:r>
      <w:r>
        <w:fldChar w:fldCharType="end"/>
      </w:r>
      <w:r>
        <w:t xml:space="preserve">. This work was expanded upon by Wilson and his former student Paul Milgrom in two seminal papers </w:t>
      </w:r>
      <w:r>
        <w:fldChar w:fldCharType="begin" w:fldLock="1"/>
      </w:r>
      <w: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J.","non-dropping-particle":"","parse-names":false,"suffix":""}],"container-title":"Econometrica","id":"ITEM-1","issue":"5","issued":{"date-parts":[["1982"]]},"page":"1089-1122","title":"A Theory of Auctions and Competitive Bidding","type":"article-journal","volume":"50"},"uris":["http://www.mendeley.com/documents/?uuid=8903396c-902b-4159-bd65-b9839cd2de96"]}],"mendeley":{"formattedCitation":"(Milgrom &amp; Weber, 1982)","plainTextFormattedCitation":"(Milgrom &amp; Weber, 1982)","previouslyFormattedCitation":"(Milgrom &amp; Weber, 1982)"},"properties":{"noteIndex":0},"schema":"https://github.com/citation-style-language/schema/raw/master/csl-citation.json"}</w:instrText>
      </w:r>
      <w:r>
        <w:fldChar w:fldCharType="separate"/>
      </w:r>
      <w:r w:rsidRPr="005843C6">
        <w:rPr>
          <w:noProof/>
        </w:rPr>
        <w:t>(Milgrom &amp; Weber, 1982)</w:t>
      </w:r>
      <w:r>
        <w:fldChar w:fldCharType="end"/>
      </w:r>
      <w:r>
        <w:t xml:space="preserve"> with two key results for auction theory. Firstly, that it is possible to rank the expected income from an auction on a good based on the type of auction that is used. For instance, the English (the traditional mechanism used at auction houses where bids are open and gradually increase) auction and sealed second-price auctions (i.e. Vickrey auctions; the BDM mechanism but against conscious opponents) are functionally equivalent, but the open nature of the English auction mechanism reveals greater information about bidders valuation of goods. Therefore, any ignorant bidder can gather more information about the value of the auctioned good mitigating the winner's curse and leading bidders to bid more aggressively. English auctions typically raise more revenue than sealed second-price auctions, and both of these raise more than Dutch (descending price) auctions</w:t>
      </w:r>
      <w:r>
        <w:rPr>
          <w:rStyle w:val="FootnoteReference"/>
        </w:rPr>
        <w:footnoteReference w:id="20"/>
      </w:r>
      <w:r>
        <w:t>.</w:t>
      </w:r>
    </w:p>
    <w:p w14:paraId="76F9FA2F" w14:textId="77777777" w:rsidR="000618AF" w:rsidRDefault="000618AF" w:rsidP="000618AF">
      <w:r>
        <w:t>This feeds into the second main finding that it is in the interest of sellers to reveal as much information of their valuation of a good as possible. For instance, when selling a used car, auctioneers should provide proof that the car can run safely so that bidders can be more sure they will not fall victim to the winner's curse and will be incentivised to bid higher. Milgrom and Wilson termed these findings the 'linkage principle'.</w:t>
      </w:r>
    </w:p>
    <w:p w14:paraId="6EFFD807" w14:textId="77777777" w:rsidR="000618AF" w:rsidRDefault="000618AF" w:rsidP="000618AF">
      <w:r>
        <w:t xml:space="preserve">Wilson and Milgrom's theoretical work in turn led to greater empiricism in auction theory. Throughout the 1950s and 1960s Vernon Smith had carried out experimental auctions on classes of economics students </w:t>
      </w:r>
      <w:r>
        <w:fldChar w:fldCharType="begin" w:fldLock="1"/>
      </w:r>
      <w:r>
        <w:instrText>ADDIN CSL_CITATION {"citationItems":[{"id":"ITEM-1","itemData":{"author":[{"dropping-particle":"","family":"Smith","given":"Vernon L.","non-dropping-particle":"","parse-names":false,"suffix":""}],"container-title":"Cambridge University Press","id":"ITEM-1","issued":{"date-parts":[["1991"]]},"title":"Papers in Experimental Economics","type":"article-journal"},"uris":["http://www.mendeley.com/documents/?uuid=6ce82701-bf07-4df0-88d0-5f756aec8796"]}],"mendeley":{"formattedCitation":"(Smith, 1991)","plainTextFormattedCitation":"(Smith, 1991)","previouslyFormattedCitation":"(Smith, 1991)"},"properties":{"noteIndex":0},"schema":"https://github.com/citation-style-language/schema/raw/master/csl-citation.json"}</w:instrText>
      </w:r>
      <w:r>
        <w:fldChar w:fldCharType="separate"/>
      </w:r>
      <w:r w:rsidRPr="002F0F88">
        <w:rPr>
          <w:noProof/>
        </w:rPr>
        <w:t>(Smith, 1991)</w:t>
      </w:r>
      <w:r>
        <w:fldChar w:fldCharType="end"/>
      </w:r>
      <w:r>
        <w:t xml:space="preserve">. These experiments grew more sophisticated and two papers published in 1980 and 1982 found similar empirical violations to revenue equivalence for  'identical' auctions to Milgrom's theoretical papers </w:t>
      </w:r>
      <w:r>
        <w:fldChar w:fldCharType="begin" w:fldLock="1"/>
      </w:r>
      <w:r>
        <w:instrText>ADDIN CSL_CITATION {"citationItems":[{"id":"ITEM-1","itemData":{"author":[{"dropping-particle":"","family":"Cox","given":"James C.","non-dropping-particle":"","parse-names":false,"suffix":""},{"dropping-particle":"","family":"Robertson","given":"Bruce","non-dropping-particle":"","parse-names":false,"suffix":""},{"dropping-particle":"","family":"Smith","given":"Vernon L.","non-dropping-particle":"","parse-names":false,"suffix":""}],"container-title":"Research in Experimental Economics","id":"ITEM-1","issued":{"date-parts":[["1982"]]},"page":"1-43","title":"Theory and Behaviour of Single Object Auctions","type":"article-journal","volume":"2"},"uris":["http://www.mendeley.com/documents/?uuid=435128b5-cdcc-4e7b-90f8-274153737f1a"]},{"id":"ITEM-2","itemData":{"author":[{"dropping-particle":"","family":"Coppinger","given":"Vicki M.","non-dropping-particle":"","parse-names":false,"suffix":""},{"dropping-particle":"","family":"Smith","given":"Vernon L.","non-dropping-particle":"","parse-names":false,"suffix":""},{"dropping-particle":"","family":"Titus","given":"Jon A.","non-dropping-particle":"","parse-names":false,"suffix":""}],"container-title":"Economic Inquiry","id":"ITEM-2","issue":"1","issued":{"date-parts":[["1980"]]},"page":"1-22","title":"Incentives and Behaviour in English, Dutch, and Sealed-Bid Auctions","type":"article-journal","volume":"18"},"uris":["http://www.mendeley.com/documents/?uuid=3bebaf84-0427-4443-a094-6621d4367e8c"]}],"mendeley":{"formattedCitation":"(Coppinger et al., 1980; Cox et al., 1982)","plainTextFormattedCitation":"(Coppinger et al., 1980; Cox et al., 1982)","previouslyFormattedCitation":"(Coppinger et al., 1980; Cox et al., 1982)"},"properties":{"noteIndex":0},"schema":"https://github.com/citation-style-language/schema/raw/master/csl-citation.json"}</w:instrText>
      </w:r>
      <w:r>
        <w:fldChar w:fldCharType="separate"/>
      </w:r>
      <w:r w:rsidRPr="00C101E7">
        <w:rPr>
          <w:noProof/>
        </w:rPr>
        <w:t>(Coppinger et al., 1980; Cox et al., 1982)</w:t>
      </w:r>
      <w:r>
        <w:fldChar w:fldCharType="end"/>
      </w:r>
      <w:r>
        <w:t xml:space="preserve">. Vernon Smith shared the Nobel prize in economics for his work on experimental auctions with Kahneman in 2002. In 1986, Kagel and Levin also carried out experimental work into the winner's curse, confirming both the real-world behavioural findings of Capen, Clapp, and Campbell, and the theory laid out by Milgrom </w:t>
      </w:r>
      <w:r>
        <w:fldChar w:fldCharType="begin" w:fldLock="1"/>
      </w:r>
      <w:r>
        <w:instrText>ADDIN CSL_CITATION {"citationItems":[{"id":"ITEM-1","itemData":{"author":[{"dropping-particle":"","family":"Kagel","given":"By John H","non-dropping-particle":"","parse-names":false,"suffix":""},{"dropping-particle":"","family":"Levin","given":"D a N","non-dropping-particle":"","parse-names":false,"suffix":""}],"container-title":"American Economic Review","id":"ITEM-1","issue":"5","issued":{"date-parts":[["1986"]]},"page":"894-920","title":"The Winner's Curse and Public Information in Common Value Auctions","type":"article-journal","volume":"76"},"uris":["http://www.mendeley.com/documents/?uuid=c4909108-8f53-4276-9928-86089b82f7e4"]}],"mendeley":{"formattedCitation":"(Kagel &amp; Levin, 1986)","plainTextFormattedCitation":"(Kagel &amp; Levin, 1986)","previouslyFormattedCitation":"(Kagel &amp; Levin, 1986)"},"properties":{"noteIndex":0},"schema":"https://github.com/citation-style-language/schema/raw/master/csl-citation.json"}</w:instrText>
      </w:r>
      <w:r>
        <w:fldChar w:fldCharType="separate"/>
      </w:r>
      <w:r w:rsidRPr="00DC4E54">
        <w:rPr>
          <w:noProof/>
        </w:rPr>
        <w:t>(Kagel &amp; Levin, 1986)</w:t>
      </w:r>
      <w:r>
        <w:fldChar w:fldCharType="end"/>
      </w:r>
      <w:r>
        <w:t xml:space="preserve">. </w:t>
      </w:r>
    </w:p>
    <w:p w14:paraId="680F8797" w14:textId="77777777" w:rsidR="000618AF" w:rsidRDefault="000618AF" w:rsidP="000618AF">
      <w:r>
        <w:t>These theoretical and experimental results are interesting by themselves, but perhaps the single area where auction theory has distinguished itself over the last thirty years is in its successful application to real-world auctions. Mobile phone spectrum is inherently limited by the range of frequencies usable, and thus, is extremely valuable to telecommunications companies. Prior to 1993, the United States allocated spectrum via lottery and belief in free market mechanisms to encourage spectrum trading, leading to inefficiencies</w:t>
      </w:r>
      <w:r>
        <w:rPr>
          <w:rStyle w:val="FootnoteReference"/>
        </w:rPr>
        <w:footnoteReference w:id="21"/>
      </w:r>
      <w:r>
        <w:t xml:space="preserve"> and zero revenue for the federal government.  Among others, Milgrom and Wilson were </w:t>
      </w:r>
      <w:r>
        <w:lastRenderedPageBreak/>
        <w:t xml:space="preserve">invited to design auctions for the selling of spectrum in 1994 settling on the Simultaneous Multiple-Round Auction (SMRA) mechanism </w:t>
      </w:r>
      <w:r>
        <w:fldChar w:fldCharType="begin" w:fldLock="1"/>
      </w:r>
      <w:r>
        <w:instrText>ADDIN CSL_CITATION {"citationItems":[{"id":"ITEM-1","itemData":{"DOI":"10.1257/jep.8.3.145","ISSN":"0895-3309","abstract":"The design of the FCC spectrum-license auction is a case study in the application of economic theory. Auction theory helped address policy questions such as: Should an open auction or a sealed-bid auction be used? Should the licenses be auctioned sequentially or simultaneously? Should the government allow bids for combinations of licenses, or should it accept only single-license bids? How should the auction be structured to promote the interests of minority-owned and other designated firms? Should the government impose royalties or reserve prices? How much should the bidders be informed about their competition?","author":[{"dropping-particle":"","family":"McMillan","given":"John","non-dropping-particle":"","parse-names":false,"suffix":""}],"container-title":"Journal of Economic Perspectives","id":"ITEM-1","issue":"3","issued":{"date-parts":[["1994"]]},"page":"145-162","title":"Selling Spectrum Rights","type":"article-journal","volume":"8"},"uris":["http://www.mendeley.com/documents/?uuid=1ef0b7bd-e5f8-4b5a-a3f1-95764bffb8ee"]}],"mendeley":{"formattedCitation":"(McMillan, 1994)","plainTextFormattedCitation":"(McMillan, 1994)","previouslyFormattedCitation":"(McMillan, 1994)"},"properties":{"noteIndex":0},"schema":"https://github.com/citation-style-language/schema/raw/master/csl-citation.json"}</w:instrText>
      </w:r>
      <w:r>
        <w:fldChar w:fldCharType="separate"/>
      </w:r>
      <w:r w:rsidRPr="00146DA9">
        <w:rPr>
          <w:noProof/>
        </w:rPr>
        <w:t>(McMillan, 1994)</w:t>
      </w:r>
      <w:r>
        <w:fldChar w:fldCharType="end"/>
      </w:r>
      <w:r>
        <w:t>. Similar spectrum auctions since then have raised over $60billion in revenue for the government and the efficient sorting of the natural monopoly has allowed wireless communication technology to flourish. Milgrom and Wilson were awarded the 2020 Nobel prize in economics for both their theoretical treatment of auctions and this successful application of the theory.</w:t>
      </w:r>
    </w:p>
    <w:p w14:paraId="36D1A038" w14:textId="77777777" w:rsidR="000618AF" w:rsidRDefault="000618AF" w:rsidP="000618AF">
      <w:r>
        <w:t xml:space="preserve">In the United Kingdom, similar auctions have also been used to great success. In 2000, Britain sold third generation spectrum licenses, raising £22.5billion in a single auction, described as the 'biggest auction ever' </w:t>
      </w:r>
      <w:r>
        <w:fldChar w:fldCharType="begin" w:fldLock="1"/>
      </w:r>
      <w:r>
        <w:instrText>ADDIN CSL_CITATION {"citationItems":[{"id":"ITEM-1","itemData":{"DOI":"10.2139/ssrn.297879","ISSN":"0013-0133","abstract":"This paper reviews the part played by economists in organizing the British third-generation mobile-phone licence auction that concluded on 27 April 2000. It raised 22.5 billion pounds ($34 billion or 2.5% of GNP) and was widely described at the time as the biggest auction ever. We discuss the merits of auctions versus \"beauty contests\", the aims of the auction, the problems we faced, the auction designs we considered, and the mistakes that were made.","author":[{"dropping-particle":"","family":"Binmore","given":"Kenneth","non-dropping-particle":"","parse-names":false,"suffix":""},{"dropping-particle":"","family":"Klemperer","given":"Paul","non-dropping-particle":"","parse-names":false,"suffix":""}],"container-title":"The Economic Journal","id":"ITEM-1","issue":"478","issued":{"date-parts":[["2002"]]},"page":"74-96","title":"The Biggest Auction Ever: The Sale of the British 3G Telecom Licences","type":"article-journal","volume":"112"},"uris":["http://www.mendeley.com/documents/?uuid=6d6880dc-e25d-45c0-98fc-d9bbc5b53efe"]}],"mendeley":{"formattedCitation":"(Binmore &amp; Klemperer, 2002)","plainTextFormattedCitation":"(Binmore &amp; Klemperer, 2002)","previouslyFormattedCitation":"(Binmore &amp; Klemperer, 2002)"},"properties":{"noteIndex":0},"schema":"https://github.com/citation-style-language/schema/raw/master/csl-citation.json"}</w:instrText>
      </w:r>
      <w:r>
        <w:fldChar w:fldCharType="separate"/>
      </w:r>
      <w:r w:rsidRPr="00146DA9">
        <w:rPr>
          <w:noProof/>
        </w:rPr>
        <w:t>(Binmore &amp; Klemperer, 2002)</w:t>
      </w:r>
      <w:r>
        <w:fldChar w:fldCharType="end"/>
      </w:r>
      <w:r>
        <w:t xml:space="preserve">. Not all spectrum licenses have been such a success, with many European auctions at around the same time failing to raise anywhere near that amount </w:t>
      </w:r>
      <w:r>
        <w:fldChar w:fldCharType="begin" w:fldLock="1"/>
      </w:r>
      <w:r>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fldChar w:fldCharType="separate"/>
      </w:r>
      <w:r w:rsidRPr="00601955">
        <w:rPr>
          <w:noProof/>
        </w:rPr>
        <w:t>(Klemperer, 2002)</w:t>
      </w:r>
      <w:r>
        <w:fldChar w:fldCharType="end"/>
      </w:r>
      <w:r>
        <w:t xml:space="preserve">, highlighting the crucial role of continual research into auction theory and behaviour to allocate scare resources. </w:t>
      </w:r>
    </w:p>
    <w:p w14:paraId="22FC618F" w14:textId="77777777" w:rsidR="000618AF" w:rsidRDefault="000618AF" w:rsidP="000618AF">
      <w:r>
        <w:t xml:space="preserve">As Binmore and Klemperer note in their introduction, </w:t>
      </w:r>
      <w:r>
        <w:rPr>
          <w:i/>
          <w:iCs/>
        </w:rPr>
        <w:t>“Twenty-two and a half billion is a great deal of money to raise for selling air, but that is what the British government raised in an auction for five telecom licences“</w:t>
      </w:r>
      <w:r>
        <w:t xml:space="preserve">. This quote neatly summarises the power of gradual advancements in microeconomic theory over the past century. We have progressed from the failures of the Praetorian guard and Johann Wolfgang von Goethe, to the mathematical study of games ,and finally to governments worldwide </w:t>
      </w:r>
      <w:r>
        <w:rPr>
          <w:i/>
          <w:iCs/>
        </w:rPr>
        <w:t xml:space="preserve">“putting auction theory to work” </w:t>
      </w:r>
      <w:r>
        <w:rPr>
          <w:i/>
          <w:iCs/>
        </w:rPr>
        <w:fldChar w:fldCharType="begin" w:fldLock="1"/>
      </w:r>
      <w:r>
        <w:rPr>
          <w:i/>
          <w:iCs/>
        </w:rPr>
        <w:instrText>ADDIN CSL_CITATION {"citationItems":[{"id":"ITEM-1","itemData":{"DOI":"10.1017/CBO9780511813825","ISBN":"9780511813825","abstract":"Providing a comprehensive introduction to modern auction theory and its important new applications, this book is written by a leading economic theorist whose suggestions guided the creation of the new spectrum auction designs. Aimed at graduate students and professionals in economics, the volume provides the most up-to-date analysis of traditional theories of \"optimal auctions\" as well as newer theories of multi-unit auctions and package auctions, and shows by example how these theories are used. It explores the limitations of prominent older designs, such as the Vickrey auction design, and evaluates the practical responses to those limitations. Paul Milgrom is the Leonard and Shirley Ely Professor of Humanities and Sciences and Professor of Economics, Stanford University. He is the author of more than sixty articles and co-author of the influential textbook, Economics, Organization and Management (Prentice Hall, 1992). Professor Milgrom is a pioneer in the economic theory of auctions and co-designer of the simultaneous, multiple round auction that the FCC adopted for selling radio spectrum licenses.","author":[{"dropping-particle":"","family":"Milgrom","given":"Paul R.","non-dropping-particle":"","parse-names":false,"suffix":""}],"container-title":"Cambridge University Press","id":"ITEM-1","issued":{"date-parts":[["2003"]]},"page":"1-368","title":"Putting Auction Theory to Work","type":"article-journal"},"uris":["http://www.mendeley.com/documents/?uuid=e211f68a-03ad-4c54-bf2d-384257616b5b"]}],"mendeley":{"formattedCitation":"(Milgrom, 2003)","plainTextFormattedCitation":"(Milgrom, 2003)","previouslyFormattedCitation":"(Milgrom, 2003)"},"properties":{"noteIndex":0},"schema":"https://github.com/citation-style-language/schema/raw/master/csl-citation.json"}</w:instrText>
      </w:r>
      <w:r>
        <w:rPr>
          <w:i/>
          <w:iCs/>
        </w:rPr>
        <w:fldChar w:fldCharType="separate"/>
      </w:r>
      <w:r w:rsidRPr="005843C6">
        <w:rPr>
          <w:iCs/>
          <w:noProof/>
        </w:rPr>
        <w:t>(Milgrom, 2003)</w:t>
      </w:r>
      <w:r>
        <w:rPr>
          <w:i/>
          <w:iCs/>
        </w:rPr>
        <w:fldChar w:fldCharType="end"/>
      </w:r>
      <w:r w:rsidRPr="00183712">
        <w:rPr>
          <w:i/>
          <w:iCs/>
        </w:rPr>
        <w:t>.</w:t>
      </w:r>
      <w:r>
        <w:br w:type="page"/>
      </w:r>
    </w:p>
    <w:p w14:paraId="47375CED" w14:textId="77777777" w:rsidR="000618AF" w:rsidRDefault="000618AF" w:rsidP="000618AF">
      <w:pPr>
        <w:rPr>
          <w:i/>
          <w:iCs/>
        </w:rPr>
      </w:pPr>
      <w:r>
        <w:rPr>
          <w:i/>
          <w:iCs/>
          <w:noProof/>
        </w:rPr>
        <w:lastRenderedPageBreak/>
        <mc:AlternateContent>
          <mc:Choice Requires="wpg">
            <w:drawing>
              <wp:anchor distT="0" distB="0" distL="114300" distR="114300" simplePos="0" relativeHeight="251667456" behindDoc="0" locked="0" layoutInCell="1" allowOverlap="1" wp14:anchorId="081FC86A" wp14:editId="4658306C">
                <wp:simplePos x="0" y="0"/>
                <wp:positionH relativeFrom="column">
                  <wp:posOffset>0</wp:posOffset>
                </wp:positionH>
                <wp:positionV relativeFrom="paragraph">
                  <wp:posOffset>0</wp:posOffset>
                </wp:positionV>
                <wp:extent cx="5761990" cy="4364124"/>
                <wp:effectExtent l="0" t="0" r="0" b="17780"/>
                <wp:wrapNone/>
                <wp:docPr id="1" name="Group 1"/>
                <wp:cNvGraphicFramePr/>
                <a:graphic xmlns:a="http://schemas.openxmlformats.org/drawingml/2006/main">
                  <a:graphicData uri="http://schemas.microsoft.com/office/word/2010/wordprocessingGroup">
                    <wpg:wgp>
                      <wpg:cNvGrpSpPr/>
                      <wpg:grpSpPr>
                        <a:xfrm>
                          <a:off x="0" y="0"/>
                          <a:ext cx="5761990" cy="4364124"/>
                          <a:chOff x="0" y="0"/>
                          <a:chExt cx="5761990" cy="4364124"/>
                        </a:xfrm>
                      </wpg:grpSpPr>
                      <wps:wsp>
                        <wps:cNvPr id="5" name="Text Box 2"/>
                        <wps:cNvSpPr txBox="1">
                          <a:spLocks noChangeArrowheads="1"/>
                        </wps:cNvSpPr>
                        <wps:spPr bwMode="auto">
                          <a:xfrm>
                            <a:off x="0" y="2542309"/>
                            <a:ext cx="5562600" cy="1821815"/>
                          </a:xfrm>
                          <a:prstGeom prst="rect">
                            <a:avLst/>
                          </a:prstGeom>
                          <a:solidFill>
                            <a:srgbClr val="FFFFFF"/>
                          </a:solidFill>
                          <a:ln w="9525">
                            <a:solidFill>
                              <a:srgbClr val="000000"/>
                            </a:solidFill>
                            <a:miter lim="800000"/>
                            <a:headEnd/>
                            <a:tailEnd/>
                          </a:ln>
                        </wps:spPr>
                        <wps:txbx>
                          <w:txbxContent>
                            <w:p w14:paraId="172F5A6E" w14:textId="77777777" w:rsidR="00270682" w:rsidRPr="006D2D3C" w:rsidRDefault="00270682" w:rsidP="000618AF">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82% of 72 subjects choose gamble 1B and gamble 2A. However, in b) it can be shown that gamble 1 and gamble 2 should have the same relative desirability of options. Gamble 1 is derived from gamble with the addition of a 0.66 chance of $2,400 added to each option (orange). Thus, the switching behaviour between options A and B originally found by Allais, and also Kahneman &amp; Tversky, represents a violation of the independence axiom.</w:t>
                              </w:r>
                            </w:p>
                          </w:txbxContent>
                        </wps:txbx>
                        <wps:bodyPr rot="0" vert="horz" wrap="square" lIns="91440" tIns="45720" rIns="91440" bIns="45720" anchor="t" anchorCtr="0">
                          <a:noAutofit/>
                        </wps:bodyPr>
                      </wps:wsp>
                      <pic:pic xmlns:pic="http://schemas.openxmlformats.org/drawingml/2006/picture">
                        <pic:nvPicPr>
                          <pic:cNvPr id="6" name="Picture 6" descr="Table&#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61990" cy="2526030"/>
                          </a:xfrm>
                          <a:prstGeom prst="rect">
                            <a:avLst/>
                          </a:prstGeom>
                        </pic:spPr>
                      </pic:pic>
                    </wpg:wgp>
                  </a:graphicData>
                </a:graphic>
              </wp:anchor>
            </w:drawing>
          </mc:Choice>
          <mc:Fallback>
            <w:pict>
              <v:group w14:anchorId="081FC86A" id="Group 1" o:spid="_x0000_s1028" style="position:absolute;margin-left:0;margin-top:0;width:453.7pt;height:343.65pt;z-index:251667456" coordsize="57619,43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">
                <v:shape id="_x0000_s1029" type="#_x0000_t202" style="position:absolute;top:25423;width:55626;height:18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172F5A6E" w14:textId="77777777" w:rsidR="00270682" w:rsidRPr="006D2D3C" w:rsidRDefault="00270682" w:rsidP="000618AF">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82% of 72 subjects choose gamble 1B and gamble 2A. However, in b) it can be shown that gamble 1 and gamble 2 should have the same relative desirability of options. Gamble 1 is derived from gamble with the addition of a 0.66 chance of $2,400 added to each option (orange). Thus, the switching behaviour between options A and B originally found by Allais, and also Kahneman &amp; Tversky, represents a violation of the independence axiom.</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0" type="#_x0000_t75" alt="Table&#10;&#10;Description automatically generated" style="position:absolute;width:57619;height:25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">
                  <v:imagedata r:id="rId11" o:title="Table&#10;&#10;Description automatically generated"/>
                </v:shape>
              </v:group>
            </w:pict>
          </mc:Fallback>
        </mc:AlternateContent>
      </w:r>
    </w:p>
    <w:p w14:paraId="31F4CFDB" w14:textId="77777777" w:rsidR="000618AF" w:rsidRDefault="000618AF" w:rsidP="000618AF">
      <w:pPr>
        <w:rPr>
          <w:i/>
          <w:iCs/>
        </w:rPr>
      </w:pPr>
    </w:p>
    <w:p w14:paraId="17D6E3A5" w14:textId="77777777" w:rsidR="000618AF" w:rsidRDefault="000618AF" w:rsidP="000618AF">
      <w:pPr>
        <w:tabs>
          <w:tab w:val="left" w:pos="2016"/>
        </w:tabs>
      </w:pPr>
      <w:r>
        <w:tab/>
      </w:r>
    </w:p>
    <w:p w14:paraId="29E7F7AD" w14:textId="77777777" w:rsidR="000618AF" w:rsidRPr="00F81D52" w:rsidRDefault="000618AF" w:rsidP="000618AF"/>
    <w:p w14:paraId="43156D4E" w14:textId="77777777" w:rsidR="000618AF" w:rsidRPr="00F81D52" w:rsidRDefault="000618AF" w:rsidP="000618AF"/>
    <w:p w14:paraId="280F31CA" w14:textId="77777777" w:rsidR="000618AF" w:rsidRPr="00F81D52" w:rsidRDefault="000618AF" w:rsidP="000618AF"/>
    <w:p w14:paraId="69F5CDCC" w14:textId="77777777" w:rsidR="000618AF" w:rsidRPr="00F81D52" w:rsidRDefault="000618AF" w:rsidP="000618AF"/>
    <w:p w14:paraId="15E50CE3" w14:textId="77777777" w:rsidR="000618AF" w:rsidRPr="00F81D52" w:rsidRDefault="000618AF" w:rsidP="000618AF"/>
    <w:p w14:paraId="0F2C2B06" w14:textId="77777777" w:rsidR="000618AF" w:rsidRPr="00F81D52" w:rsidRDefault="000618AF" w:rsidP="000618AF"/>
    <w:p w14:paraId="2C7B2E64" w14:textId="77777777" w:rsidR="000618AF" w:rsidRPr="00F81D52" w:rsidRDefault="000618AF" w:rsidP="000618AF"/>
    <w:p w14:paraId="0CAF886D" w14:textId="77777777" w:rsidR="000618AF" w:rsidRPr="00F81D52" w:rsidRDefault="000618AF" w:rsidP="000618AF"/>
    <w:p w14:paraId="451165C2" w14:textId="77777777" w:rsidR="000618AF" w:rsidRPr="00F81D52" w:rsidRDefault="000618AF" w:rsidP="000618AF"/>
    <w:p w14:paraId="4779AB1A" w14:textId="77777777" w:rsidR="000618AF" w:rsidRPr="00F81D52" w:rsidRDefault="000618AF" w:rsidP="000618AF"/>
    <w:p w14:paraId="21A5E64E" w14:textId="77777777" w:rsidR="000618AF" w:rsidRPr="00F81D52" w:rsidRDefault="000618AF" w:rsidP="000618AF"/>
    <w:p w14:paraId="7480FA5A" w14:textId="77777777" w:rsidR="000618AF" w:rsidRPr="00F81D52" w:rsidRDefault="000618AF" w:rsidP="000618AF"/>
    <w:p w14:paraId="13113B7F" w14:textId="77777777" w:rsidR="000618AF" w:rsidRPr="00F81D52" w:rsidRDefault="000618AF" w:rsidP="000618AF"/>
    <w:p w14:paraId="172420BA" w14:textId="77777777" w:rsidR="000618AF" w:rsidRPr="00F81D52" w:rsidRDefault="000618AF" w:rsidP="000618AF"/>
    <w:p w14:paraId="60082BC7" w14:textId="77777777" w:rsidR="000618AF" w:rsidRPr="00F81D52" w:rsidRDefault="000618AF" w:rsidP="000618AF"/>
    <w:p w14:paraId="34845194" w14:textId="77777777" w:rsidR="000618AF" w:rsidRPr="00F81D52" w:rsidRDefault="000618AF" w:rsidP="000618AF"/>
    <w:p w14:paraId="533A5DE7" w14:textId="77777777" w:rsidR="000618AF" w:rsidRDefault="000618AF" w:rsidP="000618AF"/>
    <w:p w14:paraId="0131372C" w14:textId="77777777" w:rsidR="000618AF" w:rsidRDefault="000618AF" w:rsidP="000618AF"/>
    <w:p w14:paraId="581E34B3" w14:textId="77777777" w:rsidR="000618AF" w:rsidRDefault="000618AF" w:rsidP="000618AF">
      <w:r>
        <w:br w:type="page"/>
      </w:r>
    </w:p>
    <w:p w14:paraId="19D8AD31" w14:textId="77777777" w:rsidR="000618AF" w:rsidRDefault="000618AF" w:rsidP="000618AF">
      <w:pPr>
        <w:ind w:firstLine="720"/>
      </w:pPr>
      <w:r>
        <w:rPr>
          <w:noProof/>
        </w:rPr>
        <w:lastRenderedPageBreak/>
        <mc:AlternateContent>
          <mc:Choice Requires="wps">
            <w:drawing>
              <wp:anchor distT="0" distB="0" distL="114300" distR="114300" simplePos="0" relativeHeight="251668480" behindDoc="0" locked="0" layoutInCell="1" allowOverlap="1" wp14:anchorId="404675A1" wp14:editId="6A1B6585">
                <wp:simplePos x="0" y="0"/>
                <wp:positionH relativeFrom="margin">
                  <wp:align>left</wp:align>
                </wp:positionH>
                <wp:positionV relativeFrom="paragraph">
                  <wp:posOffset>2936875</wp:posOffset>
                </wp:positionV>
                <wp:extent cx="5996940" cy="1058334"/>
                <wp:effectExtent l="0" t="0" r="22860" b="2794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6940" cy="1058334"/>
                        </a:xfrm>
                        <a:prstGeom prst="rect">
                          <a:avLst/>
                        </a:prstGeom>
                        <a:solidFill>
                          <a:srgbClr val="FFFFFF"/>
                        </a:solidFill>
                        <a:ln w="9525">
                          <a:solidFill>
                            <a:srgbClr val="000000"/>
                          </a:solidFill>
                          <a:miter lim="800000"/>
                          <a:headEnd/>
                          <a:tailEnd/>
                        </a:ln>
                      </wps:spPr>
                      <wps:txbx>
                        <w:txbxContent>
                          <w:p w14:paraId="1B84BE04" w14:textId="77777777" w:rsidR="00270682" w:rsidRPr="00A325A6" w:rsidRDefault="00270682" w:rsidP="000618AF">
                            <w:r>
                              <w:rPr>
                                <w:b/>
                                <w:bCs/>
                              </w:rPr>
                              <w:t xml:space="preserve">Figure 2a-b) Prospect theory incorporates evidence that probabilities are experienced subjectively by individuals. </w:t>
                            </w:r>
                            <w:r>
                              <w:t xml:space="preserve">In a) the S-shaped curve of the probability distortion is shown. Low probabilities are subjectively overweighted (and seem to occur more often than they actually do) whereas objectively high probabilities are underweighted. In b) the ‘kink’ of the utility curve is shown where the convex function for losses is steeper than the concave curve for gains. I.e. </w:t>
                            </w:r>
                            <w:r>
                              <w:rPr>
                                <w:i/>
                                <w:iCs/>
                              </w:rPr>
                              <w:t>“losses hurt more than gains”</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675A1" id="_x0000_s1031" type="#_x0000_t202" style="position:absolute;left:0;text-align:left;margin-left:0;margin-top:231.25pt;width:472.2pt;height:83.3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">
                <v:textbox>
                  <w:txbxContent>
                    <w:p w14:paraId="1B84BE04" w14:textId="77777777" w:rsidR="00270682" w:rsidRPr="00A325A6" w:rsidRDefault="00270682" w:rsidP="000618AF">
                      <w:r>
                        <w:rPr>
                          <w:b/>
                          <w:bCs/>
                        </w:rPr>
                        <w:t xml:space="preserve">Figure 2a-b) Prospect theory incorporates evidence that probabilities are experienced subjectively by individuals. </w:t>
                      </w:r>
                      <w:r>
                        <w:t xml:space="preserve">In a) the S-shaped curve of the probability distortion is shown. Low probabilities are subjectively overweighted (and seem to occur more often than they actually do) whereas objectively high probabilities are underweighted. In b) the ‘kink’ of the utility curve is shown where the convex function for losses is steeper than the concave curve for gains. I.e. </w:t>
                      </w:r>
                      <w:r>
                        <w:rPr>
                          <w:i/>
                          <w:iCs/>
                        </w:rPr>
                        <w:t>“losses hurt more than gains”</w:t>
                      </w:r>
                      <w:r>
                        <w:t>.</w:t>
                      </w:r>
                    </w:p>
                  </w:txbxContent>
                </v:textbox>
                <w10:wrap anchorx="margin"/>
              </v:shape>
            </w:pict>
          </mc:Fallback>
        </mc:AlternateContent>
      </w:r>
      <w:r>
        <w:rPr>
          <w:noProof/>
        </w:rPr>
        <w:drawing>
          <wp:anchor distT="0" distB="0" distL="114300" distR="114300" simplePos="0" relativeHeight="251669504" behindDoc="1" locked="0" layoutInCell="1" allowOverlap="1" wp14:anchorId="38129CD2" wp14:editId="3D1707A5">
            <wp:simplePos x="0" y="0"/>
            <wp:positionH relativeFrom="margin">
              <wp:align>left</wp:align>
            </wp:positionH>
            <wp:positionV relativeFrom="paragraph">
              <wp:posOffset>423</wp:posOffset>
            </wp:positionV>
            <wp:extent cx="5977255" cy="2921000"/>
            <wp:effectExtent l="0" t="0" r="4445" b="0"/>
            <wp:wrapTight wrapText="bothSides">
              <wp:wrapPolygon edited="0">
                <wp:start x="0" y="0"/>
                <wp:lineTo x="0" y="21412"/>
                <wp:lineTo x="21547" y="21412"/>
                <wp:lineTo x="21547" y="0"/>
                <wp:lineTo x="0" y="0"/>
              </wp:wrapPolygon>
            </wp:wrapTight>
            <wp:docPr id="9" name="Picture 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85472" cy="2925398"/>
                    </a:xfrm>
                    <a:prstGeom prst="rect">
                      <a:avLst/>
                    </a:prstGeom>
                  </pic:spPr>
                </pic:pic>
              </a:graphicData>
            </a:graphic>
            <wp14:sizeRelH relativeFrom="margin">
              <wp14:pctWidth>0</wp14:pctWidth>
            </wp14:sizeRelH>
            <wp14:sizeRelV relativeFrom="margin">
              <wp14:pctHeight>0</wp14:pctHeight>
            </wp14:sizeRelV>
          </wp:anchor>
        </w:drawing>
      </w:r>
    </w:p>
    <w:p w14:paraId="287900E7" w14:textId="77777777" w:rsidR="000618AF" w:rsidRPr="00797E42" w:rsidRDefault="000618AF" w:rsidP="000618AF"/>
    <w:p w14:paraId="45245810" w14:textId="77777777" w:rsidR="000618AF" w:rsidRPr="00797E42" w:rsidRDefault="000618AF" w:rsidP="000618AF"/>
    <w:p w14:paraId="1E5335DB" w14:textId="77777777" w:rsidR="000618AF" w:rsidRPr="00797E42" w:rsidRDefault="000618AF" w:rsidP="000618AF"/>
    <w:p w14:paraId="7945D671" w14:textId="77777777" w:rsidR="000618AF" w:rsidRPr="00797E42" w:rsidRDefault="000618AF" w:rsidP="000618AF"/>
    <w:p w14:paraId="07409C9F" w14:textId="77777777" w:rsidR="000618AF" w:rsidRPr="00797E42" w:rsidRDefault="000618AF" w:rsidP="000618AF"/>
    <w:p w14:paraId="54C54512" w14:textId="77777777" w:rsidR="000618AF" w:rsidRPr="00797E42" w:rsidRDefault="000618AF" w:rsidP="000618AF"/>
    <w:p w14:paraId="2EF79E0E" w14:textId="77777777" w:rsidR="000618AF" w:rsidRPr="00797E42" w:rsidRDefault="000618AF" w:rsidP="000618AF"/>
    <w:p w14:paraId="6C7742BE" w14:textId="77777777" w:rsidR="000618AF" w:rsidRPr="00797E42" w:rsidRDefault="000618AF" w:rsidP="000618AF"/>
    <w:p w14:paraId="3648740D" w14:textId="77777777" w:rsidR="000618AF" w:rsidRPr="00797E42" w:rsidRDefault="000618AF" w:rsidP="000618AF"/>
    <w:p w14:paraId="1498E879" w14:textId="77777777" w:rsidR="000618AF" w:rsidRPr="00797E42" w:rsidRDefault="000618AF" w:rsidP="000618AF"/>
    <w:p w14:paraId="491B23F4" w14:textId="77777777" w:rsidR="000618AF" w:rsidRPr="00797E42" w:rsidRDefault="000618AF" w:rsidP="000618AF"/>
    <w:p w14:paraId="313F11BF" w14:textId="77777777" w:rsidR="000618AF" w:rsidRDefault="000618AF" w:rsidP="000618AF"/>
    <w:p w14:paraId="5B989883" w14:textId="77777777" w:rsidR="000618AF" w:rsidRPr="00797E42" w:rsidRDefault="000618AF" w:rsidP="000618AF">
      <w:pPr>
        <w:tabs>
          <w:tab w:val="left" w:pos="3888"/>
        </w:tabs>
      </w:pPr>
      <w:r>
        <w:rPr>
          <w:noProof/>
        </w:rPr>
        <w:lastRenderedPageBreak/>
        <mc:AlternateContent>
          <mc:Choice Requires="wps">
            <w:drawing>
              <wp:anchor distT="0" distB="0" distL="114300" distR="114300" simplePos="0" relativeHeight="251670528" behindDoc="0" locked="0" layoutInCell="1" allowOverlap="1" wp14:anchorId="378D193D" wp14:editId="3B0DF9E6">
                <wp:simplePos x="0" y="0"/>
                <wp:positionH relativeFrom="margin">
                  <wp:align>left</wp:align>
                </wp:positionH>
                <wp:positionV relativeFrom="paragraph">
                  <wp:posOffset>3962400</wp:posOffset>
                </wp:positionV>
                <wp:extent cx="5996940" cy="2148840"/>
                <wp:effectExtent l="0" t="0" r="22860" b="2286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6940" cy="2148840"/>
                        </a:xfrm>
                        <a:prstGeom prst="rect">
                          <a:avLst/>
                        </a:prstGeom>
                        <a:solidFill>
                          <a:srgbClr val="FFFFFF"/>
                        </a:solidFill>
                        <a:ln w="9525">
                          <a:solidFill>
                            <a:srgbClr val="000000"/>
                          </a:solidFill>
                          <a:miter lim="800000"/>
                          <a:headEnd/>
                          <a:tailEnd/>
                        </a:ln>
                      </wps:spPr>
                      <wps:txbx>
                        <w:txbxContent>
                          <w:p w14:paraId="456A8A88" w14:textId="77777777" w:rsidR="00270682" w:rsidRPr="00041F34" w:rsidRDefault="00270682" w:rsidP="000618AF">
                            <w:r>
                              <w:rPr>
                                <w:b/>
                                <w:bCs/>
                              </w:rPr>
                              <w:t xml:space="preserve">Figure 3) Random Utility Models assume that the organisms sampling of the utility of an offered choice incorporates and error term. </w:t>
                            </w:r>
                            <w:r>
                              <w:t xml:space="preserve">For given choices (e.g.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Pr>
                                <w:rFonts w:eastAsiaTheme="minorEastAsia"/>
                                <w:i/>
                                <w:iCs/>
                              </w:rPr>
                              <w:t>plus</w:t>
                            </w:r>
                            <w:r>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is chosen. The fraction of choices the organism would be expected to make is then shown. For a given error term, the choices are expected to be made in proportion to their 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Pr="00DB3A21">
                              <w:rPr>
                                <w:rFonts w:eastAsiaTheme="minorEastAsia"/>
                              </w:rPr>
                              <w:t>.</w:t>
                            </w:r>
                            <w:r>
                              <w:rPr>
                                <w:rFonts w:eastAsiaTheme="minorEastAsia"/>
                              </w:rPr>
                              <w:t xml:space="preserve"> Data here is simulated and for illustrative purposes 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8D193D" id="Text Box 8" o:spid="_x0000_s1032" type="#_x0000_t202" style="position:absolute;margin-left:0;margin-top:312pt;width:472.2pt;height:169.2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">
                <v:textbox>
                  <w:txbxContent>
                    <w:p w14:paraId="456A8A88" w14:textId="77777777" w:rsidR="00270682" w:rsidRPr="00041F34" w:rsidRDefault="00270682" w:rsidP="000618AF">
                      <w:r>
                        <w:rPr>
                          <w:b/>
                          <w:bCs/>
                        </w:rPr>
                        <w:t xml:space="preserve">Figure 3) Random Utility Models assume that the organisms sampling of the utility of an offered choice incorporates and error term. </w:t>
                      </w:r>
                      <w:r>
                        <w:t xml:space="preserve">For given choices (e.g.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Pr>
                          <w:rFonts w:eastAsiaTheme="minorEastAsia"/>
                          <w:i/>
                          <w:iCs/>
                        </w:rPr>
                        <w:t>plus</w:t>
                      </w:r>
                      <w:r>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is chosen. The fraction of choices the organism would be expected to make is then shown. For a given error term, the choices are expected to be made in proportion to their 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Pr="00DB3A21">
                        <w:rPr>
                          <w:rFonts w:eastAsiaTheme="minorEastAsia"/>
                        </w:rPr>
                        <w:t>.</w:t>
                      </w:r>
                      <w:r>
                        <w:rPr>
                          <w:rFonts w:eastAsiaTheme="minorEastAsia"/>
                        </w:rPr>
                        <w:t xml:space="preserve"> Data here is simulated and for illustrative purposes only.</w:t>
                      </w:r>
                    </w:p>
                  </w:txbxContent>
                </v:textbox>
                <w10:wrap anchorx="margin"/>
              </v:shape>
            </w:pict>
          </mc:Fallback>
        </mc:AlternateContent>
      </w:r>
      <w:r>
        <w:tab/>
      </w:r>
      <w:r>
        <w:rPr>
          <w:noProof/>
        </w:rPr>
        <w:drawing>
          <wp:inline distT="0" distB="0" distL="0" distR="0" wp14:anchorId="2238C400" wp14:editId="76C3E680">
            <wp:extent cx="5978180" cy="3724275"/>
            <wp:effectExtent l="0" t="0" r="381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9237" cy="3724934"/>
                    </a:xfrm>
                    <a:prstGeom prst="rect">
                      <a:avLst/>
                    </a:prstGeom>
                  </pic:spPr>
                </pic:pic>
              </a:graphicData>
            </a:graphic>
          </wp:inline>
        </w:drawing>
      </w:r>
    </w:p>
    <w:p w14:paraId="280A7992" w14:textId="0CC4A692" w:rsidR="000479A2" w:rsidRDefault="000479A2" w:rsidP="00D95935">
      <w:pPr>
        <w:rPr>
          <w:rFonts w:ascii="Times New Roman" w:hAnsi="Times New Roman" w:cs="Times New Roman"/>
          <w:color w:val="FF0000"/>
          <w:sz w:val="24"/>
          <w:szCs w:val="24"/>
        </w:rPr>
      </w:pPr>
    </w:p>
    <w:p w14:paraId="6F36E4AF" w14:textId="27F00FE0" w:rsidR="000618AF" w:rsidRPr="000618AF" w:rsidRDefault="000618AF" w:rsidP="000618AF">
      <w:pPr>
        <w:rPr>
          <w:rFonts w:ascii="Times New Roman" w:hAnsi="Times New Roman" w:cs="Times New Roman"/>
          <w:sz w:val="24"/>
          <w:szCs w:val="24"/>
        </w:rPr>
      </w:pPr>
    </w:p>
    <w:p w14:paraId="3F9DD96B" w14:textId="25AABDEE" w:rsidR="000618AF" w:rsidRPr="000618AF" w:rsidRDefault="000618AF" w:rsidP="000618AF">
      <w:pPr>
        <w:rPr>
          <w:rFonts w:ascii="Times New Roman" w:hAnsi="Times New Roman" w:cs="Times New Roman"/>
          <w:sz w:val="24"/>
          <w:szCs w:val="24"/>
        </w:rPr>
      </w:pPr>
    </w:p>
    <w:p w14:paraId="2245280F" w14:textId="521E7DB2" w:rsidR="000618AF" w:rsidRPr="000618AF" w:rsidRDefault="000618AF" w:rsidP="000618AF">
      <w:pPr>
        <w:rPr>
          <w:rFonts w:ascii="Times New Roman" w:hAnsi="Times New Roman" w:cs="Times New Roman"/>
          <w:sz w:val="24"/>
          <w:szCs w:val="24"/>
        </w:rPr>
      </w:pPr>
    </w:p>
    <w:p w14:paraId="76C902FB" w14:textId="188457EA" w:rsidR="000618AF" w:rsidRPr="000618AF" w:rsidRDefault="000618AF" w:rsidP="000618AF">
      <w:pPr>
        <w:rPr>
          <w:rFonts w:ascii="Times New Roman" w:hAnsi="Times New Roman" w:cs="Times New Roman"/>
          <w:sz w:val="24"/>
          <w:szCs w:val="24"/>
        </w:rPr>
      </w:pPr>
    </w:p>
    <w:p w14:paraId="282D61E2" w14:textId="7010E594" w:rsidR="000618AF" w:rsidRPr="000618AF" w:rsidRDefault="000618AF" w:rsidP="000618AF">
      <w:pPr>
        <w:rPr>
          <w:rFonts w:ascii="Times New Roman" w:hAnsi="Times New Roman" w:cs="Times New Roman"/>
          <w:sz w:val="24"/>
          <w:szCs w:val="24"/>
        </w:rPr>
      </w:pPr>
    </w:p>
    <w:p w14:paraId="53444DBC" w14:textId="7E66FF95" w:rsidR="000618AF" w:rsidRPr="000618AF" w:rsidRDefault="000618AF" w:rsidP="000618AF">
      <w:pPr>
        <w:rPr>
          <w:rFonts w:ascii="Times New Roman" w:hAnsi="Times New Roman" w:cs="Times New Roman"/>
          <w:sz w:val="24"/>
          <w:szCs w:val="24"/>
        </w:rPr>
      </w:pPr>
    </w:p>
    <w:p w14:paraId="5067F29C" w14:textId="3ED331B3" w:rsidR="000618AF" w:rsidRPr="000618AF" w:rsidRDefault="000618AF" w:rsidP="000618AF">
      <w:pPr>
        <w:rPr>
          <w:rFonts w:ascii="Times New Roman" w:hAnsi="Times New Roman" w:cs="Times New Roman"/>
          <w:sz w:val="24"/>
          <w:szCs w:val="24"/>
        </w:rPr>
      </w:pPr>
    </w:p>
    <w:p w14:paraId="47267080" w14:textId="28B6BB7D" w:rsidR="000618AF" w:rsidRDefault="000618AF" w:rsidP="000618AF">
      <w:pPr>
        <w:rPr>
          <w:rFonts w:ascii="Times New Roman" w:hAnsi="Times New Roman" w:cs="Times New Roman"/>
          <w:color w:val="FF0000"/>
          <w:sz w:val="24"/>
          <w:szCs w:val="24"/>
        </w:rPr>
      </w:pPr>
    </w:p>
    <w:p w14:paraId="05436DD9" w14:textId="06D9E398" w:rsidR="000618AF" w:rsidRDefault="000618AF" w:rsidP="000618AF">
      <w:pPr>
        <w:rPr>
          <w:rFonts w:ascii="Times New Roman" w:hAnsi="Times New Roman" w:cs="Times New Roman"/>
          <w:color w:val="FF0000"/>
          <w:sz w:val="24"/>
          <w:szCs w:val="24"/>
        </w:rPr>
      </w:pPr>
    </w:p>
    <w:p w14:paraId="6FFCF5D0" w14:textId="6D28EE34" w:rsidR="000618AF" w:rsidRDefault="000618AF" w:rsidP="000618AF">
      <w:pPr>
        <w:tabs>
          <w:tab w:val="left" w:pos="3456"/>
        </w:tabs>
        <w:rPr>
          <w:rFonts w:ascii="Times New Roman" w:hAnsi="Times New Roman" w:cs="Times New Roman"/>
          <w:sz w:val="24"/>
          <w:szCs w:val="24"/>
        </w:rPr>
      </w:pPr>
      <w:r>
        <w:rPr>
          <w:rFonts w:ascii="Times New Roman" w:hAnsi="Times New Roman" w:cs="Times New Roman"/>
          <w:sz w:val="24"/>
          <w:szCs w:val="24"/>
        </w:rPr>
        <w:tab/>
      </w:r>
    </w:p>
    <w:p w14:paraId="56472A50" w14:textId="77777777" w:rsidR="000618AF" w:rsidRDefault="000618AF">
      <w:pPr>
        <w:rPr>
          <w:rFonts w:ascii="Times New Roman" w:hAnsi="Times New Roman" w:cs="Times New Roman"/>
          <w:sz w:val="24"/>
          <w:szCs w:val="24"/>
        </w:rPr>
      </w:pPr>
      <w:r>
        <w:rPr>
          <w:rFonts w:ascii="Times New Roman" w:hAnsi="Times New Roman" w:cs="Times New Roman"/>
          <w:sz w:val="24"/>
          <w:szCs w:val="24"/>
        </w:rPr>
        <w:br w:type="page"/>
      </w:r>
    </w:p>
    <w:p w14:paraId="7EF9D48E" w14:textId="77777777" w:rsidR="000618AF" w:rsidRPr="00E072B4" w:rsidRDefault="000618AF" w:rsidP="000618AF">
      <w:pPr>
        <w:rPr>
          <w:b/>
          <w:bCs/>
        </w:rPr>
      </w:pPr>
      <w:r w:rsidRPr="00E072B4">
        <w:rPr>
          <w:b/>
          <w:bCs/>
        </w:rPr>
        <w:lastRenderedPageBreak/>
        <w:t>Appendix 1.3 – The Wider Primate Reward Circuit</w:t>
      </w:r>
    </w:p>
    <w:p w14:paraId="515C4232" w14:textId="77777777" w:rsidR="000618AF" w:rsidRDefault="000618AF" w:rsidP="000618AF">
      <w:r>
        <w:t>In the introduction to this thesis we provide a brief history of the development of the idea that a representation of utility can be found in the dopaminergic neurons of the midbrain. We focus solely on this subcircuit (and restrict the supporting evidence to rodents, primates, and human studies</w:t>
      </w:r>
      <w:r>
        <w:rPr>
          <w:rStyle w:val="FootnoteReference"/>
        </w:rPr>
        <w:footnoteReference w:id="22"/>
      </w:r>
      <w:r>
        <w:t>) in the introduction for the sake of brevity, and because the neuronal data presented in chapter 4 of this thesis is recorded from these projections. However, economic decisions are universal and complex; it would be outrageous to suggest that such a small population of neurons represent the whole of the neuronal reward circuit. In this appendix we consider other brain regions of interest to researchers searching for neuronal correlates of reward, focusing on the cortical-basal ganglia circuit.</w:t>
      </w:r>
    </w:p>
    <w:p w14:paraId="5B6466AF" w14:textId="77777777" w:rsidR="000618AF" w:rsidRDefault="000618AF" w:rsidP="000618AF">
      <w:pPr>
        <w:rPr>
          <w:i/>
          <w:iCs/>
        </w:rPr>
      </w:pPr>
      <w:r>
        <w:rPr>
          <w:i/>
          <w:iCs/>
        </w:rPr>
        <w:t>The Prefrontal Cortices and Reward</w:t>
      </w:r>
    </w:p>
    <w:p w14:paraId="35C41E58" w14:textId="77777777" w:rsidR="000618AF" w:rsidRDefault="000618AF" w:rsidP="000618AF">
      <w:r>
        <w:t xml:space="preserve">During the early 1990s, Edmund Rolls showed that single neurons in the orbitofrontal cortex (OFC) of macaques responded to flavour </w:t>
      </w:r>
      <w:r>
        <w:fldChar w:fldCharType="begin" w:fldLock="1"/>
      </w:r>
      <w:r>
        <w:instrText>ADDIN CSL_CITATION {"citationItems":[{"id":"ITEM-1","itemData":{"ISSN":"00223077","PMID":"2341869","author":[{"dropping-particle":"","family":"Rolls","given":"E. T.","non-dropping-particle":"","parse-names":false,"suffix":""},{"dropping-particle":"","family":"Yaxley","given":"S.","non-dropping-particle":"","parse-names":false,"suffix":""},{"dropping-particle":"","family":"Sienkiewicz","given":"Z. J.","non-dropping-particle":"","parse-names":false,"suffix":""}],"container-title":"Journal of Neurophysiology","id":"ITEM-1","issue":"4","issued":{"date-parts":[["1990"]]},"page":"1055-1066","title":"Gustatory Responses of Single Neurons in the Caudolateral Orbitofrontal Cortex of the Macaque Monkey","type":"article-journal","volume":"64"},"uris":["http://www.mendeley.com/documents/?uuid=ea375d5c-49c8-4265-9b4d-5f26c887b9b6"]}],"mendeley":{"formattedCitation":"(Rolls et al., 1990)","plainTextFormattedCitation":"(Rolls et al., 1990)","previouslyFormattedCitation":"(Rolls et al., 1990)"},"properties":{"noteIndex":0},"schema":"https://github.com/citation-style-language/schema/raw/master/csl-citation.json"}</w:instrText>
      </w:r>
      <w:r>
        <w:fldChar w:fldCharType="separate"/>
      </w:r>
      <w:r w:rsidRPr="00121017">
        <w:rPr>
          <w:noProof/>
        </w:rPr>
        <w:t>(Rolls et al., 1990)</w:t>
      </w:r>
      <w:r>
        <w:fldChar w:fldCharType="end"/>
      </w:r>
      <w:r>
        <w:t xml:space="preserve"> and that, crucially for reward encoding, these responses depended on the satiation of the animal in question </w:t>
      </w:r>
      <w:r>
        <w:fldChar w:fldCharType="begin" w:fldLock="1"/>
      </w:r>
      <w:r>
        <w:instrText>ADDIN CSL_CITATION {"citationItems":[{"id":"ITEM-1","itemData":{"ISSN":"00223077","PMID":"2258734","author":[{"dropping-particle":"","family":"Rolls","given":"E. T.","non-dropping-particle":"","parse-names":false,"suffix":""},{"dropping-particle":"","family":"Sienkiewicz","given":"Z. J.","non-dropping-particle":"","parse-names":false,"suffix":""},{"dropping-particle":"","family":"Yaxley","given":"S.","non-dropping-particle":"","parse-names":false,"suffix":""}],"container-title":"European Journal of Neuroscience","id":"ITEM-1","issue":"1","issued":{"date-parts":[["1989"]]},"page":"53-60","title":"Hunger Modulates the Responses to Gustatory Stimuli of Single Neurons in the CaudoIateraI Orbitofrontal Cortex of the Macaque Monkey","type":"article-journal","volume":"1"},"uris":["http://www.mendeley.com/documents/?uuid=d2e9542c-1e7a-427f-acb8-96eb9c87dc9f"]}],"mendeley":{"formattedCitation":"(Rolls et al., 1989)","plainTextFormattedCitation":"(Rolls et al., 1989)","previouslyFormattedCitation":"(Rolls et al., 1989)"},"properties":{"noteIndex":0},"schema":"https://github.com/citation-style-language/schema/raw/master/csl-citation.json"}</w:instrText>
      </w:r>
      <w:r>
        <w:fldChar w:fldCharType="separate"/>
      </w:r>
      <w:r w:rsidRPr="00121017">
        <w:rPr>
          <w:noProof/>
        </w:rPr>
        <w:t>(Rolls et al., 1989)</w:t>
      </w:r>
      <w:r>
        <w:fldChar w:fldCharType="end"/>
      </w:r>
      <w:r>
        <w:t xml:space="preserve">. </w:t>
      </w:r>
      <w:r>
        <w:fldChar w:fldCharType="begin" w:fldLock="1"/>
      </w:r>
      <w: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brain","type":"article-journal","volume":"85"},"uris":["http://www.mendeley.com/documents/?uuid=2b3763f5-50ee-4d57-bece-41ce8b11e19b"]}],"mendeley":{"formattedCitation":"(O’Doherty et al., 2001)","manualFormatting":"O’Doherty et al., 2001","plainTextFormattedCitation":"(O’Doherty et al., 2001)","previouslyFormattedCitation":"(O’Doherty et al., 2001)"},"properties":{"noteIndex":0},"schema":"https://github.com/citation-style-language/schema/raw/master/csl-citation.json"}</w:instrText>
      </w:r>
      <w:r>
        <w:fldChar w:fldCharType="separate"/>
      </w:r>
      <w:r w:rsidRPr="00F82247">
        <w:rPr>
          <w:noProof/>
        </w:rPr>
        <w:t>O’Doherty et al., 2001</w:t>
      </w:r>
      <w:r>
        <w:fldChar w:fldCharType="end"/>
      </w:r>
      <w:r>
        <w:t xml:space="preserve"> replicated this finding in human studies using functional magnetic resonance imaging (fMRI), showing separate regions on the orbitofrontal cortex in humans showed blood-oxygen-level-dependent (BOLD) activity mediated by pleasant and aversive taste stimuli which was expanded upon by </w:t>
      </w:r>
      <w:r>
        <w:fldChar w:fldCharType="begin" w:fldLock="1"/>
      </w:r>
      <w:r>
        <w:instrText>ADDIN CSL_CITATION {"citationItems":[{"id":"ITEM-1","itemData":{"DOI":"10.1038/nn1001","ISSN":"10976256","PMID":"12536208","abstract":"Affective experience has been described in terms of two primary dimensions: intensity and valence. In the human brain, it is intrinsically difficult to dissociate the neural coding of these affective dimensions for visual and auditory stimuli, but such dissociation is more readily achieved in olfaction, where intensity and valence can be manipulated independently. Using event-related functional magnetic resonance imaging (fMRI), we found amygdala activation to be associated with intensity, and not valence, of odors. Activity in regions of orbitofrontal cortex, in contrast, were associated with valence independent of intensity. These findings show that distinct olfactory regions subserve the analysis of the degree and quality of olfactory stimulation, suggesting that the affective representations of intensity and valence draw upon dissociable neural substrates.","author":[{"dropping-particle":"","family":"Anderson","given":"A. K.","non-dropping-particle":"","parse-names":false,"suffix":""},{"dropping-particle":"","family":"Christoff","given":"K.","non-dropping-particle":"","parse-names":false,"suffix":""},{"dropping-particle":"","family":"Stappen","given":"I.","non-dropping-particle":"","parse-names":false,"suffix":""},{"dropping-particle":"","family":"Panitz","given":"D.","non-dropping-particle":"","parse-names":false,"suffix":""},{"dropping-particle":"","family":"Ghahremani","given":"D. G.","non-dropping-particle":"","parse-names":false,"suffix":""},{"dropping-particle":"","family":"Glover","given":"G.","non-dropping-particle":"","parse-names":false,"suffix":""},{"dropping-particle":"","family":"Gabrieli","given":"J. D.E.","non-dropping-particle":"","parse-names":false,"suffix":""},{"dropping-particle":"","family":"Sobel","given":"N.","non-dropping-particle":"","parse-names":false,"suffix":""}],"container-title":"Nature Neuroscience","id":"ITEM-1","issue":"2","issued":{"date-parts":[["2003"]]},"page":"196-202","title":"Dissociated neural representations of intensity and valence in human olfaction","type":"article-journal","volume":"6"},"uris":["http://www.mendeley.com/documents/?uuid=9c8b41bc-1d7b-4813-8ec7-9004b3458e7c"]}],"mendeley":{"formattedCitation":"(Anderson et al., 2003)","manualFormatting":"Anderson et al., 2003","plainTextFormattedCitation":"(Anderson et al., 2003)","previouslyFormattedCitation":"(Anderson et al., 2003)"},"properties":{"noteIndex":0},"schema":"https://github.com/citation-style-language/schema/raw/master/csl-citation.json"}</w:instrText>
      </w:r>
      <w:r>
        <w:fldChar w:fldCharType="separate"/>
      </w:r>
      <w:r w:rsidRPr="00F82247">
        <w:rPr>
          <w:noProof/>
        </w:rPr>
        <w:t>Anderson et al., 2003</w:t>
      </w:r>
      <w:r>
        <w:fldChar w:fldCharType="end"/>
      </w:r>
      <w:r>
        <w:t xml:space="preserve"> who showed that the OFC fMRI activity was associated with an increase in the valence, but not the intensity, of an odour stimulus.</w:t>
      </w:r>
    </w:p>
    <w:p w14:paraId="3FCCD67B" w14:textId="77777777" w:rsidR="000618AF" w:rsidRDefault="000618AF" w:rsidP="000618AF">
      <w:r>
        <w:t xml:space="preserve">In two later fMRI studies of humans performing monetary tasks, Brian Knutson showed that the medial prefrontal cortex (mPFC) shows an </w:t>
      </w:r>
      <w:r>
        <w:rPr>
          <w:i/>
          <w:iCs/>
        </w:rPr>
        <w:t xml:space="preserve">increase </w:t>
      </w:r>
      <w:r>
        <w:t xml:space="preserve">in BOLD signal upon the receipt of an award, but a </w:t>
      </w:r>
      <w:r>
        <w:rPr>
          <w:i/>
          <w:iCs/>
        </w:rPr>
        <w:t>decrease</w:t>
      </w:r>
      <w:r>
        <w:t xml:space="preserve"> upon an expected monetary reward that is withheld </w:t>
      </w:r>
      <w:r>
        <w:fldChar w:fldCharType="begin" w:fldLock="1"/>
      </w:r>
      <w:r>
        <w:instrText>ADDIN CSL_CITATION {"citationItems":[{"id":"ITEM-1","itemData":{"DOI":"10.1016/S1053-8119(02)00057-5","ISSN":"10538119","PMID":"12595181","abstract":"The function of the mesial prefrontal cortex (MPFC: including Brodman areas 10/12/32) remains an enigma. Current theories suggest a role in representing internal information, including emotional introspection, autonomic control, and a \"default state\" of semantic processing. Recent evidence also suggests that parts of this region may also play a role in processing reward outcomes. In this study, we investigated the possibility that a region of the MPFC would be preferentially recruited by monetary reward outcomes using a parametric monetary incentive delay (MID) task. Twelve healthy volunteers participated in functional magnetic resonance scans while playing the MID task. Group analyses indicated that while the ventral striatum was recruited by anticipation of monetary reward, a region of the MPFC instead responded to rewarding monetary outcomes. Specifically, volume-of-interest analyses indicated that when volunteers received $5.00 after anticipating a $5.00 win, MPFC activity increased, whereas when volunteers did not receive $5.00 after anticipating a $5.00 win, MPFC activity decreased, relative to outcomes with no incentive value. These findings suggest that in the context of processing monetary rewards, a region of the MPFC preferentially tracks rewarding outcomes. © 2003 Elsevier Science (USA). All rights reserved.","author":[{"dropping-particle":"","family":"Knutson","given":"Brian","non-dropping-particle":"","parse-names":false,"suffix":""},{"dropping-particle":"","family":"Fong","given":"Grace W.","non-dropping-particle":"","parse-names":false,"suffix":""},{"dropping-particle":"","family":"Bennett","given":"Shannon M.","non-dropping-particle":"","parse-names":false,"suffix":""},{"dropping-particle":"","family":"Adams","given":"Charles M.","non-dropping-particle":"","parse-names":false,"suffix":""},{"dropping-particle":"","family":"Hommer","given":"Daniel","non-dropping-particle":"","parse-names":false,"suffix":""}],"container-title":"NeuroImage","id":"ITEM-1","issue":"2","issued":{"date-parts":[["2003"]]},"page":"263-272","title":"A region of mesial prefrontal cortex tracks monetarily rewarding outcomes: Characterization with rapid event-related fMRI","type":"article-journal","volume":"18"},"uris":["http://www.mendeley.com/documents/?uuid=9e288e99-710f-4742-8026-f2239f5ab15d"]},{"id":"ITEM-2","itemData":{"DOI":"10.1523/JNEUROSCI.0642-05.2005","ISSN":"02706474","PMID":"15888656","abstract":"Anticipated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Neuroscience","id":"ITEM-2","issue":"19","issued":{"date-parts":[["2005"]]},"page":"4806-4812","title":"Distributed neural representation of expected value","type":"article-journal","volume":"25"},"uris":["http://www.mendeley.com/documents/?uuid=88d98039-93e1-4455-8b4b-68351c3297ad"]}],"mendeley":{"formattedCitation":"(Knutson et al., 2003, 2005)","plainTextFormattedCitation":"(Knutson et al., 2003, 2005)","previouslyFormattedCitation":"(Knutson et al., 2003, 2005)"},"properties":{"noteIndex":0},"schema":"https://github.com/citation-style-language/schema/raw/master/csl-citation.json"}</w:instrText>
      </w:r>
      <w:r>
        <w:fldChar w:fldCharType="separate"/>
      </w:r>
      <w:r w:rsidRPr="0008725F">
        <w:rPr>
          <w:noProof/>
        </w:rPr>
        <w:t>(Knutson et al., 2003, 2005)</w:t>
      </w:r>
      <w:r>
        <w:fldChar w:fldCharType="end"/>
      </w:r>
      <w:r>
        <w:t xml:space="preserve">. Moreover, the BOLD signal incorporated both the magnitude and probability of the monetary rewards, and thus seemed to be computing the expected value on an economic stimulus (see equation 1.1; </w:t>
      </w:r>
      <w:r>
        <w:fldChar w:fldCharType="begin" w:fldLock="1"/>
      </w:r>
      <w:r>
        <w:instrText>ADDIN CSL_CITATION {"citationItems":[{"id":"ITEM-1","itemData":{"DOI":"10.1523/JNEUROSCI.0642-05.2005","ISSN":"02706474","PMID":"15888656","abstract":"Anticipated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Neuroscience","id":"ITEM-1","issue":"19","issued":{"date-parts":[["2005"]]},"page":"4806-4812","title":"Distributed neural representation of expected value","type":"article-journal","volume":"25"},"uris":["http://www.mendeley.com/documents/?uuid=88d98039-93e1-4455-8b4b-68351c3297ad"]}],"mendeley":{"formattedCitation":"(Knutson et al., 2005)","manualFormatting":"Knutson et al., 2005)","plainTextFormattedCitation":"(Knutson et al., 2005)","previouslyFormattedCitation":"(Knutson et al., 2005)"},"properties":{"noteIndex":0},"schema":"https://github.com/citation-style-language/schema/raw/master/csl-citation.json"}</w:instrText>
      </w:r>
      <w:r>
        <w:fldChar w:fldCharType="separate"/>
      </w:r>
      <w:r w:rsidRPr="0008725F">
        <w:rPr>
          <w:noProof/>
        </w:rPr>
        <w:t>Knutson et al., 2005)</w:t>
      </w:r>
      <w:r>
        <w:fldChar w:fldCharType="end"/>
      </w:r>
      <w:r>
        <w:t>. That single cells in these prefrontal cortices</w:t>
      </w:r>
      <w:r>
        <w:rPr>
          <w:rStyle w:val="FootnoteReference"/>
        </w:rPr>
        <w:footnoteReference w:id="23"/>
      </w:r>
      <w:r>
        <w:t xml:space="preserve"> encode economic value was later shown by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08725F">
        <w:rPr>
          <w:noProof/>
        </w:rPr>
        <w:t>Padoa-Schioppa &amp; Assad, 2006</w:t>
      </w:r>
      <w:r>
        <w:fldChar w:fldCharType="end"/>
      </w:r>
      <w:r>
        <w:t xml:space="preserve"> in a task where macaques made choices between amounts of liquid rewards. This study also dissociated the different activity of different single neurons, showing that some responded to the ‘offer value’ (how much juice or water was offered on a trial), whereas other responded to the ‘chosen value’ (the amount of the chosen liquid that had higher utility and was picked by the animal). This multiplexing of value signal including magnitude, probability and cost was replicated in the macaque prefrontal cortices by </w:t>
      </w:r>
      <w:r>
        <w:fldChar w:fldCharType="begin" w:fldLock="1"/>
      </w:r>
      <w:r>
        <w:instrText>ADDIN CSL_CITATION {"citationItems":[{"id":"ITEM-1","itemData":{"DOI":"10.1162/jocn.2009.21100","ISSN":"0898929X","PMID":"18752411","abstract":"A central question in behavioral science is how we select among choice alternatives to obtain consistently the most beneficial outcomes. Three variables are particularly important when making a decision: the potential payoff, the probability of success, and the cost in terms of time and effort. A key brain region in decision making is the frontal cortex as damage here impairs the ability to make optimal choices across a range of decision types. We simultaneously recorded the activity of multiple single neurons in the frontal cortex while subjects made choices involving the three aforementioned decision variables. This enabled us to contrast the relative contribution of the anterior cingulate cortex (ACC), the orbito-frontal cortex, and the lateral prefrontal cortex to the decision-making process. Neurons in all three areas encoded value relating to choices involving probability, payoff, or cost manipulations. However, the most significant signals were in the ACC, where neurons encoded multiplexed representations of the three different decision variables. This supports the notion that the ACC is an important component of the neural circuitry underlying optimal decision making. © 2008 Massachusetts Institute of Technology.","author":[{"dropping-particle":"","family":"Kennerley","given":"Steven W.","non-dropping-particle":"","parse-names":false,"suffix":""},{"dropping-particle":"","family":"Dahmubed","given":"Aspandiar F.","non-dropping-particle":"","parse-names":false,"suffix":""},{"dropping-particle":"","family":"Lara","given":"Antonio H.","non-dropping-particle":"","parse-names":false,"suffix":""},{"dropping-particle":"","family":"Wallis","given":"Jonathan D.","non-dropping-particle":"","parse-names":false,"suffix":""}],"container-title":"Journal of Cognitive Neuroscience","id":"ITEM-1","issue":"6","issued":{"date-parts":[["2009"]]},"page":"1162-1178","title":"Neurons in the frontal lobe encode the value of multiple decision variables","type":"article-journal","volume":"21"},"uris":["http://www.mendeley.com/documents/?uuid=13c48084-934c-48c6-beb9-c80e7d2794ec"]}],"mendeley":{"formattedCitation":"(Kennerley et al., 2009)","manualFormatting":"Kennerley et al., 2009","plainTextFormattedCitation":"(Kennerley et al., 2009)","previouslyFormattedCitation":"(Kennerley et al., 2009)"},"properties":{"noteIndex":0},"schema":"https://github.com/citation-style-language/schema/raw/master/csl-citation.json"}</w:instrText>
      </w:r>
      <w:r>
        <w:fldChar w:fldCharType="separate"/>
      </w:r>
      <w:r w:rsidRPr="00974A6E">
        <w:rPr>
          <w:noProof/>
        </w:rPr>
        <w:t>Kennerley et al., 2009</w:t>
      </w:r>
      <w:r>
        <w:fldChar w:fldCharType="end"/>
      </w:r>
      <w:r>
        <w:t xml:space="preserve">. </w:t>
      </w:r>
    </w:p>
    <w:p w14:paraId="304D1596" w14:textId="77777777" w:rsidR="000618AF" w:rsidRDefault="000618AF" w:rsidP="000618AF">
      <w:pPr>
        <w:rPr>
          <w:rFonts w:cstheme="minorHAnsi"/>
        </w:rPr>
      </w:pPr>
      <w:r>
        <w:t xml:space="preserve">In a similar task in which macaques had to choose between two pictures representing a magnitude of a juice reward, neuronal ensemble recordings from the OFC could be decoded to show the oscillation of value encoding between the two choice offers with response times on a single trial correlating with the time spent by the ensemble in the ‘unchosen state’ </w:t>
      </w:r>
      <w:r>
        <w:fldChar w:fldCharType="begin" w:fldLock="1"/>
      </w:r>
      <w:r>
        <w:instrText>ADDIN CSL_CITATION {"citationItems":[{"id":"ITEM-1","itemData":{"DOI":"10.1038/nn.4320","ISSN":"15461726","PMID":"27273768","abstract":"When making a subjective choice, the brain must compute a value for each option and compare those values to make a decision. The orbitofrontal cortex (OFC) is critically involved in this process, but the neural mechanisms remain obscure, in part due to limitations in our ability to measure and control the internal deliberations that can alter the dynamics of the decision process. Here we tracked these dynamics by recovering temporally precise neural states from multidimensional data in OFC. During individual choices, OFC alternated between states associated with the value of two available options, with dynamics that predicted whether a subject would decide quickly or vacillate between the two alternatives. Ensembles of value-encoding neurons contributed to these states, with individual neurons shifting activity patterns as the network evaluated each option. Thus, the mechanism of subjective decision-making involves the dynamic activation of OFC states associated with each choice alternative.","author":[{"dropping-particle":"","family":"Rich","given":"Erin L.","non-dropping-particle":"","parse-names":false,"suffix":""},{"dropping-particle":"","family":"Wallis","given":"Jonathan D.","non-dropping-particle":"","parse-names":false,"suffix":""}],"container-title":"Nature Neuroscience","id":"ITEM-1","issue":"7","issued":{"date-parts":[["2016"]]},"page":"973-980","title":"Decoding subjective decisions from orbitofrontal cortex","type":"article-journal","volume":"19"},"uris":["http://www.mendeley.com/documents/?uuid=ebe832cb-9fd4-4221-ae22-eb602512ace1"]}],"mendeley":{"formattedCitation":"(Rich &amp; Wallis, 2016)","plainTextFormattedCitation":"(Rich &amp; Wallis, 2016)","previouslyFormattedCitation":"(Rich &amp; Wallis, 2016)"},"properties":{"noteIndex":0},"schema":"https://github.com/citation-style-language/schema/raw/master/csl-citation.json"}</w:instrText>
      </w:r>
      <w:r>
        <w:fldChar w:fldCharType="separate"/>
      </w:r>
      <w:r w:rsidRPr="00923848">
        <w:rPr>
          <w:noProof/>
        </w:rPr>
        <w:t>(Rich &amp; Wallis, 2016)</w:t>
      </w:r>
      <w:r>
        <w:fldChar w:fldCharType="end"/>
      </w:r>
      <w:r>
        <w:t>. Furthermore, low current (25-50</w:t>
      </w:r>
      <w:r>
        <w:rPr>
          <w:rFonts w:cstheme="minorHAnsi"/>
        </w:rPr>
        <w:t xml:space="preserve">μA0 </w:t>
      </w:r>
      <w:r>
        <w:t>stimulation of macaque OFC cells was sufficient to bias choices in a similar task, whereas high current (</w:t>
      </w:r>
      <w:r>
        <w:rPr>
          <w:rFonts w:cstheme="minorHAnsi"/>
        </w:rPr>
        <w:t>≥</w:t>
      </w:r>
      <w:r>
        <w:t>100</w:t>
      </w:r>
      <w:r>
        <w:rPr>
          <w:rFonts w:cstheme="minorHAnsi"/>
        </w:rPr>
        <w:t xml:space="preserve">μA) did not bias choices but did increase the variability of choices </w:t>
      </w:r>
      <w:r>
        <w:rPr>
          <w:rFonts w:cstheme="minorHAnsi"/>
        </w:rPr>
        <w:fldChar w:fldCharType="begin" w:fldLock="1"/>
      </w:r>
      <w:r>
        <w:rPr>
          <w:rFonts w:cstheme="minorHAnsi"/>
        </w:rPr>
        <w:instrText>ADDIN CSL_CITATION {"citationItems":[{"id":"ITEM-1","itemData":{"DOI":"10.1101/2020.03.10.984021","ISSN":"14764687","abstract":"It has long been hypothesized that economic choices rely on the assignment and comparison of subjective values. Indeed, when agents make decisions, neurons in orbitofrontal cortex encode the values of offered and chosen goods. Moreover, neuronal activity in this area suggests the formation of a decision. However, it is unclear whether these neural processes are causally related to choices. More generally, the evidence linking economic choices to value signals in the brain remains correlational. We address this fundamental issue using electrical stimulation in rhesus monkeys. We show that suitable currents bias choices by increasing the value of individual offers. Furthermore, high-current stimulation disrupts both the computation and the comparison of subjective values. These results demonstrate that values encoded in orbitofrontal cortex are causal to economic choices.","author":[{"dropping-particle":"","family":"Ballesta","given":"Sébastien","non-dropping-particle":"","parse-names":false,"suffix":""},{"dropping-particle":"","family":"Shi","given":"Weikang","non-dropping-particle":"","parse-names":false,"suffix":""},{"dropping-particle":"","family":"Conen","given":"Katherine","non-dropping-particle":"","parse-names":false,"suffix":""},{"dropping-particle":"","family":"Padoa-Schioppa","given":"Camillo","non-dropping-particle":"","parse-names":false,"suffix":""}],"id":"ITEM-1","issue":"February","issued":{"date-parts":[["2020"]]},"title":"Values Encoded in Orbitofrontal Cortex Are Causally Related to Economic Choices","type":"article-journal"},"uris":["http://www.mendeley.com/documents/?uuid=2486454d-a285-4d3c-928c-a45d9b1f0b05"]}],"mendeley":{"formattedCitation":"(Ballesta et al., 2020)","plainTextFormattedCitation":"(Ballesta et al., 2020)","previouslyFormattedCitation":"(Ballesta et al., 2020)"},"properties":{"noteIndex":0},"schema":"https://github.com/citation-style-language/schema/raw/master/csl-citation.json"}</w:instrText>
      </w:r>
      <w:r>
        <w:rPr>
          <w:rFonts w:cstheme="minorHAnsi"/>
        </w:rPr>
        <w:fldChar w:fldCharType="separate"/>
      </w:r>
      <w:r w:rsidRPr="0024733B">
        <w:rPr>
          <w:rFonts w:cstheme="minorHAnsi"/>
          <w:noProof/>
        </w:rPr>
        <w:t>(Ballesta et al., 2020)</w:t>
      </w:r>
      <w:r>
        <w:rPr>
          <w:rFonts w:cstheme="minorHAnsi"/>
        </w:rPr>
        <w:fldChar w:fldCharType="end"/>
      </w:r>
      <w:r>
        <w:rPr>
          <w:rFonts w:cstheme="minorHAnsi"/>
        </w:rPr>
        <w:t>.</w:t>
      </w:r>
    </w:p>
    <w:p w14:paraId="1841DA5C" w14:textId="77777777" w:rsidR="000618AF" w:rsidRPr="00923848" w:rsidRDefault="000618AF" w:rsidP="000618AF">
      <w:r>
        <w:t xml:space="preserve">The rich, heterogeneous responses of frontal lobe neurons to tasks was interesting to us and we strongly considered recording from this region when developing the project due to the increased sophistication of the BDM when compared to traditional choice paradigms. For example, instead of choosing discretely </w:t>
      </w:r>
      <w:r>
        <w:lastRenderedPageBreak/>
        <w:t>between two offers, a monkey must instead choose between continuous values of a bid. As a monkey then makes their choice, they pass through the other choices which must be continually considered and find an optimal stopping value to place their bid at.</w:t>
      </w:r>
    </w:p>
    <w:p w14:paraId="3162BE1C" w14:textId="77777777" w:rsidR="000618AF" w:rsidRDefault="000618AF" w:rsidP="000618AF">
      <w:pPr>
        <w:rPr>
          <w:rFonts w:cstheme="minorHAnsi"/>
          <w:i/>
          <w:iCs/>
        </w:rPr>
      </w:pPr>
      <w:r>
        <w:rPr>
          <w:rFonts w:cstheme="minorHAnsi"/>
          <w:i/>
          <w:iCs/>
        </w:rPr>
        <w:t>The Amygdala and Reward</w:t>
      </w:r>
    </w:p>
    <w:p w14:paraId="342404F9" w14:textId="77777777" w:rsidR="000618AF" w:rsidRPr="00CA542C" w:rsidRDefault="000618AF" w:rsidP="000618AF">
      <w:pPr>
        <w:rPr>
          <w:rFonts w:cstheme="minorHAnsi"/>
        </w:rPr>
      </w:pPr>
      <w:r>
        <w:rPr>
          <w:rFonts w:cstheme="minorHAnsi"/>
        </w:rPr>
        <w:t xml:space="preserve">Many of the pioneering human fMRI studies discussed in the last section also found significant changes in the BOLD signal in the human amygdala during economic value tasks </w:t>
      </w:r>
      <w:r>
        <w:rPr>
          <w:rFonts w:cstheme="minorHAnsi"/>
        </w:rPr>
        <w:fldChar w:fldCharType="begin" w:fldLock="1"/>
      </w:r>
      <w:r>
        <w:rPr>
          <w:rFonts w:cstheme="minorHAnsi"/>
        </w:rP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brain","type":"article-journal","volume":"85"},"uris":["http://www.mendeley.com/documents/?uuid=2b3763f5-50ee-4d57-bece-41ce8b11e19b"]},{"id":"ITEM-2","itemData":{"ISBN":"0896-6273 (Print)\\n0896-6273 (Linking)","ISSN":"0896-6273","PMID":"11395019","abstract":"Neural responses accompanying anticipation and ex- and sign of emotional responses can be manipulated perience ofmonetary gains and lossesweremonitored using visual stimuli easily presented in the functional by functional magnetic resonance imaging. Trials neuroimaging setting. Comparing the neural correlates comprised an initial “prospect” (expectancy) phase, of the evoked emotions to those associated with natural when a set of three monetary amounts was displayed, goal objects and to drugs of abuse could shed light on and a subsequent “outcome” phase, when one of the generality of the anticipatory and evaluative mechathese amounts was awarded. Hemodynamic re- nisms. sponses in the sublenticular extended amygdala There are interesting parallels between the count( SLEA) and orbital gyrus tracked the expected values erfactual comparisons and anticipatory emotional reof the prospects, and responses to the highest value sponses documented in humans by Mellers et al. and set of outcomes increased monotonically with mone- results of electrophysiological studies ofmidbrain dopatary value in the nucleus accumbens, SLEA, and hypo- minergic neurons inmonkeys carried out by Schultz and thalamus. Responses to prospects and outcomes coworkers (Schultz et al., 1992, 1993, 1997; Schultz and were generally, but not always, seen in the same re- Romo, 1990). After themonkey has learned that a stimugions. The overlap of the observed activations with lus predicts the imminent availability of reward, presenthose seen previously in response to tactile stimuli, tation of this stimulus triggers a burst of firing in the gustatory stimuli, and euphoria-inducing drugs is con- dopaminergic neurons. This anticipatory burst is not tied to the preparation of an operant response but rather to sistent with a contribution of common circuitry to the the expectation of a positive outcome. During delivery processing of diverse rewards.","author":[{"dropping-particle":"","family":"Breiter","given":"Hans C.","non-dropping-particle":"","parse-names":false,"suffix":""},{"dropping-particle":"","family":"Aharon","given":"Itzhak","non-dropping-particle":"","parse-names":false,"suffix":""},{"dropping-particle":"","family":"Kahneman","given":"Daniel","non-dropping-particle":"","parse-names":false,"suffix":""},{"dropping-particle":"","family":"Dal","given":"Anders","non-dropping-particle":"","parse-names":false,"suffix":""},{"dropping-particle":"","family":"Shizgal","given":"Peter","non-dropping-particle":"","parse-names":false,"suffix":""}],"container-title":"Neuron","id":"ITEM-2","issue":"May","issued":{"date-parts":[["2001"]]},"page":"619-","title":"Functional Imaging of Neural Resposes to Monetary Gains and Losses","type":"article-journal","volume":"30"},"uris":["http://www.mendeley.com/documents/?uuid=61c8af0e-776d-433a-81fc-6124f9642244"]}],"mendeley":{"formattedCitation":"(Breiter et al., 2001; O’Doherty et al., 2001)","plainTextFormattedCitation":"(Breiter et al., 2001; O’Doherty et al., 2001)","previouslyFormattedCitation":"(Breiter et al., 2001; O’Doherty et al., 2001)"},"properties":{"noteIndex":0},"schema":"https://github.com/citation-style-language/schema/raw/master/csl-citation.json"}</w:instrText>
      </w:r>
      <w:r>
        <w:rPr>
          <w:rFonts w:cstheme="minorHAnsi"/>
        </w:rPr>
        <w:fldChar w:fldCharType="separate"/>
      </w:r>
      <w:r w:rsidRPr="00D10B26">
        <w:rPr>
          <w:rFonts w:cstheme="minorHAnsi"/>
          <w:noProof/>
        </w:rPr>
        <w:t>(Breiter et al., 2001; O’Doherty et al., 2001)</w:t>
      </w:r>
      <w:r>
        <w:rPr>
          <w:rFonts w:cstheme="minorHAnsi"/>
        </w:rPr>
        <w:fldChar w:fldCharType="end"/>
      </w:r>
      <w:r>
        <w:rPr>
          <w:rStyle w:val="FootnoteReference"/>
          <w:rFonts w:cstheme="minorHAnsi"/>
        </w:rPr>
        <w:footnoteReference w:id="24"/>
      </w:r>
      <w:r>
        <w:rPr>
          <w:rFonts w:cstheme="minorHAnsi"/>
        </w:rPr>
        <w:t xml:space="preserve">. The amygdala are a collection of nuclei located in the medial temporal lobe of mammals most commonly implicated in fear processing </w:t>
      </w:r>
      <w:r>
        <w:rPr>
          <w:rFonts w:cstheme="minorHAnsi"/>
        </w:rPr>
        <w:fldChar w:fldCharType="begin" w:fldLock="1"/>
      </w:r>
      <w:r>
        <w:rPr>
          <w:rFonts w:cstheme="minorHAnsi"/>
        </w:rPr>
        <w:instrText>ADDIN CSL_CITATION {"citationItems":[{"id":"ITEM-1","itemData":{"DOI":"10.1093/ojls/12.3.440","ISSN":"01436503","author":[{"dropping-particle":"","family":"LeDoux","given":"Joseph","non-dropping-particle":"","parse-names":false,"suffix":""}],"container-title":"Current Biology","id":"ITEM-1","issue":"20","issued":{"date-parts":[["2007"]]},"page":"868-874","title":"The Amygdala","type":"article-journal","volume":"17"},"uris":["http://www.mendeley.com/documents/?uuid=5feaf37b-601c-44aa-8660-73b4f6cc818b"]}],"mendeley":{"formattedCitation":"(LeDoux, 2007)","plainTextFormattedCitation":"(LeDoux, 2007)","previouslyFormattedCitation":"(LeDoux, 2007)"},"properties":{"noteIndex":0},"schema":"https://github.com/citation-style-language/schema/raw/master/csl-citation.json"}</w:instrText>
      </w:r>
      <w:r>
        <w:rPr>
          <w:rFonts w:cstheme="minorHAnsi"/>
        </w:rPr>
        <w:fldChar w:fldCharType="separate"/>
      </w:r>
      <w:r w:rsidRPr="00951662">
        <w:rPr>
          <w:rFonts w:cstheme="minorHAnsi"/>
          <w:noProof/>
        </w:rPr>
        <w:t>(LeDoux, 2007)</w:t>
      </w:r>
      <w:r>
        <w:rPr>
          <w:rFonts w:cstheme="minorHAnsi"/>
        </w:rPr>
        <w:fldChar w:fldCharType="end"/>
      </w:r>
      <w:r>
        <w:rPr>
          <w:rFonts w:cstheme="minorHAnsi"/>
        </w:rPr>
        <w:t xml:space="preserve">. Once the amygdala was implicated in economic decisions, studies found this fear processing could be extended to uncertainty of a potential loss </w:t>
      </w:r>
      <w:r>
        <w:rPr>
          <w:rFonts w:cstheme="minorHAnsi"/>
        </w:rPr>
        <w:fldChar w:fldCharType="begin" w:fldLock="1"/>
      </w:r>
      <w:r>
        <w:rPr>
          <w:rFonts w:cstheme="minorHAnsi"/>
        </w:rPr>
        <w:instrText>ADDIN CSL_CITATION {"citationItems":[{"id":"ITEM-1","itemData":{"ISSN":"0008-6215","PMID":"15680600","author":[{"dropping-particle":"","family":"Kahn","given":"Itamar","non-dropping-particle":"","parse-names":false,"suffix":""},{"dropping-particle":"","family":"Yeshurun","given":"Yehezkel","non-dropping-particle":"","parse-names":false,"suffix":""},{"dropping-particle":"","family":"Rothstein","given":"Pia","non-dropping-particle":"","parse-names":false,"suffix":""},{"dropping-particle":"","family":"Fried","given":"Itzhak","non-dropping-particle":"","parse-names":false,"suffix":""},{"dropping-particle":"","family":"Ben-Bashat","given":"Dafna","non-dropping-particle":"","parse-names":false,"suffix":""},{"dropping-particle":"","family":"Hendler","given":"Talma","non-dropping-particle":"","parse-names":false,"suffix":""}],"container-title":"Neuron","id":"ITEM-1","issue":"6","issued":{"date-parts":[["2002"]]},"page":"983-994","title":"The Role of the Amygdala in Signaling Prospective Outcome of Choice","type":"article-journal","volume":"33"},"uris":["http://www.mendeley.com/documents/?uuid=6691e733-8d73-4788-b71e-790902499db9"]},{"id":"ITEM-2","itemData":{"DOI":"10.1126/science.1115327","ISSN":"00368075","PMID":"16339445","abstract":"Much is known about how people make decisions under varying levels of probability (risk). Less is known about the neural basis of decision-making when probabilities are uncertain because of missing information (ambiguity). In decision theory, ambiguity about probabilities should not affect choices. Using functional brain imaging, we show that the level of ambiguity in choices correlates positively with activation in the amygdala and orbitofrontal cortex, and negatively with a striatal system. Moreover, striatal activity correlates positively with expected reward. Neurological subjects with orbitofrontal lesions were insensitive to the level of ambiguity and risk in behavioral choices. These data suggest a general neural circuit responding to degrees of uncertainty, contrary to decision theory.","author":[{"dropping-particle":"","family":"Hsu","given":"Ming","non-dropping-particle":"","parse-names":false,"suffix":""},{"dropping-particle":"","family":"Bhatt","given":"Meghana","non-dropping-particle":"","parse-names":false,"suffix":""},{"dropping-particle":"","family":"Adolphs","given":"Ralph","non-dropping-particle":"","parse-names":false,"suffix":""},{"dropping-particle":"","family":"Tranel","given":"Daniel","non-dropping-particle":"","parse-names":false,"suffix":""},{"dropping-particle":"","family":"Camerer","given":"Colin F.","non-dropping-particle":"","parse-names":false,"suffix":""}],"container-title":"Science","id":"ITEM-2","issue":"5754","issued":{"date-parts":[["2005"]]},"page":"1680-1683","title":"Neuroscience: Neural systems responding to degrees of uncertainty in human decision-making","type":"article-journal","volume":"310"},"uris":["http://www.mendeley.com/documents/?uuid=02d684b9-02fc-4298-a0c0-2de654308c6d"]}],"mendeley":{"formattedCitation":"(Hsu et al., 2005; Kahn et al., 2002)","plainTextFormattedCitation":"(Hsu et al., 2005; Kahn et al., 2002)","previouslyFormattedCitation":"(Hsu et al., 2005; Kahn et al., 2002)"},"properties":{"noteIndex":0},"schema":"https://github.com/citation-style-language/schema/raw/master/csl-citation.json"}</w:instrText>
      </w:r>
      <w:r>
        <w:rPr>
          <w:rFonts w:cstheme="minorHAnsi"/>
        </w:rPr>
        <w:fldChar w:fldCharType="separate"/>
      </w:r>
      <w:r w:rsidRPr="00CA542C">
        <w:rPr>
          <w:rFonts w:cstheme="minorHAnsi"/>
          <w:noProof/>
        </w:rPr>
        <w:t>(Hsu et al., 2005; Kahn et al., 2002)</w:t>
      </w:r>
      <w:r>
        <w:rPr>
          <w:rFonts w:cstheme="minorHAnsi"/>
        </w:rPr>
        <w:fldChar w:fldCharType="end"/>
      </w:r>
      <w:r>
        <w:rPr>
          <w:rFonts w:cstheme="minorHAnsi"/>
        </w:rPr>
        <w:t xml:space="preserve">, an idea extended by findings that humans with bilateral amygdala lesions show markedly reduced loss aversion (see appendix 1.1 for a discussion of Prospect theory; </w:t>
      </w:r>
      <w:r>
        <w:rPr>
          <w:rFonts w:cstheme="minorHAnsi"/>
        </w:rPr>
        <w:fldChar w:fldCharType="begin" w:fldLock="1"/>
      </w:r>
      <w:r>
        <w:rPr>
          <w:rFonts w:cstheme="minorHAnsi"/>
        </w:rPr>
        <w:instrText>ADDIN CSL_CITATION {"citationItems":[{"id":"ITEM-1","itemData":{"DOI":"10.1523/JNEUROSCI.4832-08.2009","ISSN":"02706474","PMID":"19321780","abstract":"A key focus of current research in neuroeconomics concerns how the human brain computes value. Although, value has generally been viewed as an absolute measure (e.g., expected value, reward magnitude), much evidence suggests that value is more often computed with respect to a changing reference point, rather than in isolation. Here, we present the results of a study aimed to dissociate brain regions involved in reference-independent (i.e., \"absolute\") value computations, from those involved in value computations relative to a reference point. During functional magnetic resonance imaging, subjects acted as buyers and sellers during a market exchange of lottery tickets. At a behavioral level, we demonstrate that subjects systematically accorded a higher value to objects they owned relative to those they did not, an effect that results from a shift in reference point (i.e., status quo bias or endowment effect). Our results show that activity in orbitofrontal cortex and dorsal striatum track parameters such as the expected value of lottery tickets indicating the computation of reference-independent value. In contrast, activity in ventral striatum indexed the degree to which stated prices, at a within-subjects and between-subjects level, were distorted with respect to a reference point. The findings speak to the neurobiological underpinnings of reference dependency during real market value computations. Copyright © 2009 Society for Neuroscience.","author":[{"dropping-particle":"","family":"Martino","given":"Benedetto","non-dropping-particle":"De","parse-names":false,"suffix":""},{"dropping-particle":"","family":"Kumaran","given":"Dharshan","non-dropping-particle":"","parse-names":false,"suffix":""},{"dropping-particle":"","family":"Holt","given":"Beatrice","non-dropping-particle":"","parse-names":false,"suffix":""},{"dropping-particle":"","family":"Dolan","given":"Raymond J.","non-dropping-particle":"","parse-names":false,"suffix":""}],"container-title":"Journal of Neuroscience","id":"ITEM-1","issue":"12","issued":{"date-parts":[["2009"]]},"page":"3833-3842","title":"The neurobiology of reference-dependent value computation","type":"article-journal","volume":"29"},"uris":["http://www.mendeley.com/documents/?uuid=090c6baa-185d-47dc-a716-8f6a0e1de965"]}],"mendeley":{"formattedCitation":"(De Martino et al., 2009)","manualFormatting":"De Martino et al., 2009)","plainTextFormattedCitation":"(De Martino et al., 2009)","previouslyFormattedCitation":"(De Martino et al., 2009)"},"properties":{"noteIndex":0},"schema":"https://github.com/citation-style-language/schema/raw/master/csl-citation.json"}</w:instrText>
      </w:r>
      <w:r>
        <w:rPr>
          <w:rFonts w:cstheme="minorHAnsi"/>
        </w:rPr>
        <w:fldChar w:fldCharType="separate"/>
      </w:r>
      <w:r w:rsidRPr="00CA542C">
        <w:rPr>
          <w:rFonts w:cstheme="minorHAnsi"/>
          <w:noProof/>
        </w:rPr>
        <w:t>De Martino et al., 2009)</w:t>
      </w:r>
      <w:r>
        <w:rPr>
          <w:rFonts w:cstheme="minorHAnsi"/>
        </w:rPr>
        <w:fldChar w:fldCharType="end"/>
      </w:r>
      <w:r>
        <w:rPr>
          <w:rFonts w:cstheme="minorHAnsi"/>
        </w:rPr>
        <w:t>.</w:t>
      </w:r>
    </w:p>
    <w:p w14:paraId="64DFA543" w14:textId="77777777" w:rsidR="000618AF" w:rsidRDefault="000618AF" w:rsidP="000618AF">
      <w:r>
        <w:t xml:space="preserve">As with the prefrontal cortices, single cell recordings from non-human primates have supported the idea that neurons in the amygdala encode economic value. </w:t>
      </w:r>
      <w:r>
        <w:fldChar w:fldCharType="begin" w:fldLock="1"/>
      </w:r>
      <w:r>
        <w:instrText>ADDIN CSL_CITATION {"citationItems":[{"id":"ITEM-1","itemData":{"DOI":"10.1152/jn.00540.2010","ISSN":"00223077","PMID":"20861431","abstract":"Animals assess the values of rewards to learn and choose the best possible outcomes. We studied how single neurons in the primate amygdala coded reward magnitude, an important variable determining the value of rewards. A single, Pavlovian-conditioned visual stimulus predicted fruit juice to be delivered with one of three equiprobable volumes (P = 1/3). A population of amygdala neurons showed increased activity after reward delivery, and almost one half of these responses covaried with reward magnitude in a monotonically increasing or decreasing fashion. A subset of the reward responding neurons were tested with two different probability distributions of reward magnitude; the reward responses in almost one half of them adapted to the predicted distribution and thus showed reference-dependent coding. These data suggest parametric reward value coding in the amygdala as a characteristic component of its function in reinforcement learning and economic decision making. Copyright © 2010 The American Physiological Society.","author":[{"dropping-particle":"","family":"Bermudez","given":"Maria A.","non-dropping-particle":"","parse-names":false,"suffix":""},{"dropping-particle":"","family":"Schultz","given":"Wolfram","non-dropping-particle":"","parse-names":false,"suffix":""}],"container-title":"Journal of Neurophysiology","id":"ITEM-1","issue":"6","issued":{"date-parts":[["2010"]]},"page":"3424-3432","title":"Reward magnitude coding in primate amygdala neurons","type":"article-journal","volume":"104"},"uris":["http://www.mendeley.com/documents/?uuid=eda5433f-4054-4c17-a440-16ba7a31909e"]}],"mendeley":{"formattedCitation":"(Bermudez &amp; Schultz, 2010)","manualFormatting":"Bermudez &amp; Schultz, 2010","plainTextFormattedCitation":"(Bermudez &amp; Schultz, 2010)","previouslyFormattedCitation":"(Bermudez &amp; Schultz, 2010)"},"properties":{"noteIndex":0},"schema":"https://github.com/citation-style-language/schema/raw/master/csl-citation.json"}</w:instrText>
      </w:r>
      <w:r>
        <w:fldChar w:fldCharType="separate"/>
      </w:r>
      <w:r w:rsidRPr="005C502D">
        <w:rPr>
          <w:noProof/>
        </w:rPr>
        <w:t>Bermudez &amp; Schultz, 2010</w:t>
      </w:r>
      <w:r>
        <w:fldChar w:fldCharType="end"/>
      </w:r>
      <w:r>
        <w:t xml:space="preserve"> used a Pavlovian task where the display of a stimuli predicted a juice reward with three possible magnitudes finding that the activity of a population of amygdala neurons increased their activity after the delivery of the juice, and that one third of these had changes in activity that correlated with the magnitude of the juice received. In a replication of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5C515A">
        <w:rPr>
          <w:noProof/>
        </w:rPr>
        <w:t>Padoa-Schioppa &amp; Assad, 2006</w:t>
      </w:r>
      <w:r>
        <w:fldChar w:fldCharType="end"/>
      </w:r>
      <w:r>
        <w:t xml:space="preserve">, </w:t>
      </w:r>
      <w:r>
        <w:fldChar w:fldCharType="begin" w:fldLock="1"/>
      </w:r>
      <w:r>
        <w:instrText>ADDIN CSL_CITATION {"citationItems":[{"id":"ITEM-1","itemData":{"DOI":"10.1523/JNEUROSCI.0961-19.2019","ISSN":"15292401","PMID":"31871277","abstract":"Multiple lines of evidence link economic choices to the orbitofrontal cortex (OFC), but other brain regions may contribute to the computation and comparison of economic values. A particularly strong candidate is the basolateral amygdala (BLA). Amygdala lesions impair performance in reinforcer devaluation tasks, suggesting that the BLA contributes to value computation. Furthermore, previous studies of the BLA have found neuronal activity consistent with a value representation. Here, we recorded from the BLA of two male rhesus macaques choosing between different juices. Offered quantities varied from trial to trial, and relative values were inferred from choices. Approximately one-third of BLA cells were task-related. Our analyses revealed the presence of three groups of neurons encoding variables offer value, chosen value, and chosen juice. In this respect, the BLA appeared similar to the OFC. The two areas differed for the proportion of neurons in each group, as the fraction of chosen value cells was significantly higher in the BLA. Importantly, the activity of these neurons reflected the subjective nature of value. Firing rates in the BLA were sustained throughout the trial and maximal after juice delivery. In contrast, firing rates in the OFC were phasic and maximal shortly after offer presentation. Our results suggest that the BLA supports economic choice and reward expectation.","author":[{"dropping-particle":"","family":"Jezzini","given":"Ahmad","non-dropping-particle":"","parse-names":false,"suffix":""},{"dropping-particle":"","family":"Padoa-Schioppa","given":"Camillo","non-dropping-particle":"","parse-names":false,"suffix":""}],"container-title":"Journal of Neuroscience","id":"ITEM-1","issue":"6","issued":{"date-parts":[["2020"]]},"page":"1286-1301","title":"Neuronal activity in the primate amygdala during economic choice","type":"article-journal","volume":"40"},"uris":["http://www.mendeley.com/documents/?uuid=b82c165f-fcb1-4bec-a145-1e8e01da8f96"]}],"mendeley":{"formattedCitation":"(Jezzini &amp; Padoa-Schioppa, 2020)","manualFormatting":"Jezzini &amp; Padoa-Schioppa, 2020","plainTextFormattedCitation":"(Jezzini &amp; Padoa-Schioppa, 2020)","previouslyFormattedCitation":"(Jezzini &amp; Padoa-Schioppa, 2020)"},"properties":{"noteIndex":0},"schema":"https://github.com/citation-style-language/schema/raw/master/csl-citation.json"}</w:instrText>
      </w:r>
      <w:r>
        <w:fldChar w:fldCharType="separate"/>
      </w:r>
      <w:r w:rsidRPr="005C515A">
        <w:rPr>
          <w:noProof/>
        </w:rPr>
        <w:t>Jezzini &amp; Padoa-Schioppa, 2020</w:t>
      </w:r>
      <w:r>
        <w:fldChar w:fldCharType="end"/>
      </w:r>
      <w:r>
        <w:t xml:space="preserve"> found that basolateral amygdala (BLA) neurons also showed heterogenous responses in a choice task, though with many more neurons coding the chosen value than in the OFC.</w:t>
      </w:r>
    </w:p>
    <w:p w14:paraId="72D3EF40" w14:textId="77777777" w:rsidR="000618AF" w:rsidRDefault="000618AF" w:rsidP="000618AF">
      <w:r>
        <w:t xml:space="preserve">In appendix 1.2, we discuss the idea that value arises from progress towards a goal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BD72C1">
        <w:rPr>
          <w:noProof/>
        </w:rPr>
        <w:t>(Juechems &amp; Summerfield, 2019)</w:t>
      </w:r>
      <w:r>
        <w:fldChar w:fldCharType="end"/>
      </w:r>
      <w:r>
        <w:t xml:space="preserve">. Interestingly, studies of humans and macaques have implicated the amygdala in progression to some internal stopping point on a ‘spend-save’ task </w:t>
      </w:r>
      <w:r>
        <w:fldChar w:fldCharType="begin" w:fldLock="1"/>
      </w:r>
      <w:r>
        <w:instrText>ADDIN CSL_CITATION {"citationItems":[{"id":"ITEM-1","itemData":{"DOI":"10.1016/j.cub.2016.09.016","ISSN":"09609822","PMID":"27773572","abstract":"Economic saving is an elaborate behavior in which the goal of a reward in the future directs planning and decision-making in the present. Here, we measured neural activity while subjects formed simple economic saving strategies to accumulate rewards and then executed their strategies through choice sequences of self-defined lengths. Before the initiation of a choice sequence, prospective activations in the amygdala predicted subjects’ internal saving plans and their value up to two minutes before a saving goal was achieved. The valuation component of this planning activity persisted during execution of the saving strategy and predicted subjects’ economic behavior across different tasks and testing days. Functionally coupled amygdala and prefrontal cortex activities encoded distinct planning components that signaled the transition from saving strategy formation to execution and reflected individual differences in saving behavior. Our findings identify candidate neural mechanisms for economic saving in amygdala and prefrontal cortex and suggest a novel planning function for the human amygdala in directing strategic behavior toward self-determined future rewards.","author":[{"dropping-particle":"","family":"Zangemeister","given":"Leopold","non-dropping-particle":"","parse-names":false,"suffix":""},{"dropping-particle":"","family":"Grabenhorst","given":"Fabian","non-dropping-particle":"","parse-names":false,"suffix":""},{"dropping-particle":"","family":"Schultz","given":"Wolfram","non-dropping-particle":"","parse-names":false,"suffix":""}],"container-title":"Current Biology","id":"ITEM-1","issue":"22","issued":{"date-parts":[["2016"]]},"page":"3004-3013","publisher":"The Authors","title":"Neural Basis for Economic Saving Strategies in Human Amygdala-Prefrontal Reward Circuits","type":"article-journal","volume":"26"},"uris":["http://www.mendeley.com/documents/?uuid=52501b16-67e1-4e5f-8755-62172c9f225d"]},{"id":"ITEM-2","itemData":{"DOI":"10.7554/eLife.18731","ISSN":"2050084X","PMID":"27731795","abstract":"The amygdala is a prime valuation structure yet its functions in advanced behaviors are poorly understood. We tested whether individual amygdala neurons encode a critical requirement for goal-directed behavior: the evaluation of progress during sequential choices. As monkeys progressed through choice sequences toward rewards, amygdala neurons showed phasic, gradually increasing responses over successive choice steps. These responses occurred in the absence of external progress cues or motor preplanning. They were often specific to self-defined sequences, typically disappearing during instructed control sequences with similar reward expectation. Their build-up rate reflected prospectively the forthcoming choice sequence, suggesting adaptation to an internal plan. Population decoding demonstrated a high-accuracy progress code. These findings indicate that amygdala neurons evaluate the progress of planned, self-defined behavioral sequences. Such progress signals seem essential for aligning stepwise choices with internal plans. Their presence in amygdala neurons may inform understanding of human conditions with amygdala dysfunction and deregulated reward pursuit.","author":[{"dropping-particle":"","family":"Grabenhorst","given":"Fabian","non-dropping-particle":"","parse-names":false,"suffix":""},{"dropping-particle":"","family":"Hernadi","given":"Istvan","non-dropping-particle":"","parse-names":false,"suffix":""},{"dropping-particle":"","family":"Schultz","given":"Wolfram","non-dropping-particle":"","parse-names":false,"suffix":""}],"container-title":"eLife","id":"ITEM-2","issue":"OCTOBER2016","issued":{"date-parts":[["2016"]]},"page":"1-24","title":"Primate amygdala neurons evaluate the progress of self-defined economic choice sequences","type":"article-journal","volume":"5"},"uris":["http://www.mendeley.com/documents/?uuid=9b075c28-9d42-430c-98eb-d41ecdf60796"]}],"mendeley":{"formattedCitation":"(Grabenhorst et al., 2016; Zangemeister et al., 2016)","plainTextFormattedCitation":"(Grabenhorst et al., 2016; Zangemeister et al., 2016)","previouslyFormattedCitation":"(Grabenhorst et al., 2016; Zangemeister et al., 2016)"},"properties":{"noteIndex":0},"schema":"https://github.com/citation-style-language/schema/raw/master/csl-citation.json"}</w:instrText>
      </w:r>
      <w:r>
        <w:fldChar w:fldCharType="separate"/>
      </w:r>
      <w:r w:rsidRPr="00C17786">
        <w:rPr>
          <w:noProof/>
        </w:rPr>
        <w:t>(Grabenhorst et al., 2016; Zangemeister et al., 2016)</w:t>
      </w:r>
      <w:r>
        <w:fldChar w:fldCharType="end"/>
      </w:r>
      <w:r>
        <w:t>. Both humans and monkeys could choose to either ‘save’ (and accumulate liquid rewards with interest) over trials or ‘spend’ (and consume the saved liquid). In humans, BOLD activation in the amygdala encoded the length and value of save sequences and single BLA neurons in macaques showed ramping phasic activity as a sequences of save trials progressed towards the monkey’s choice to consume their reward.</w:t>
      </w:r>
    </w:p>
    <w:p w14:paraId="478E6A61" w14:textId="177D5338" w:rsidR="000618AF" w:rsidRDefault="000618AF" w:rsidP="000618AF">
      <w:r>
        <w:t xml:space="preserve">Perhaps most intriguing for studies involving auction theory is that the amygdala seems to be involved in processing economic </w:t>
      </w:r>
      <w:r>
        <w:rPr>
          <w:i/>
          <w:iCs/>
        </w:rPr>
        <w:t>and</w:t>
      </w:r>
      <w:r>
        <w:t xml:space="preserve"> social stimuli (see </w:t>
      </w:r>
      <w:r>
        <w:fldChar w:fldCharType="begin" w:fldLock="1"/>
      </w:r>
      <w:r>
        <w:instrText>ADDIN CSL_CITATION {"citationItems":[{"id":"ITEM-1","itemData":{"DOI":"10.1016/j.tins.2015.03.001","ISSN":"1878108X","PMID":"25847686","abstract":"The role of the amygdala in emotion and social perception has been intensively investigated primarily through studies using functional magnetic resonance imaging (fMRI). Recently, this topic has been examined using single-unit recordings in both humans and monkeys, with a focus on face processing. The findings provide novel insights, including several surprises: amygdala neurons have very long response latencies, show highly nonlinear responses to whole faces, and can be exquisitely selective for very specific parts of faces such as the eyes. In humans, the responses of amygdala neurons correlate with internal states evoked by faces, rather than with their objective features. Current and future studies extend the investigations to psychiatric illnesses such as autism, in which atypical face processing is a hallmark of social dysfunction.","author":[{"dropping-particle":"","family":"Rutishauser","given":"Ueli","non-dropping-particle":"","parse-names":false,"suffix":""},{"dropping-particle":"","family":"Mamelak","given":"Adam N.","non-dropping-particle":"","parse-names":false,"suffix":""},{"dropping-particle":"","family":"Adolphs","given":"Ralph","non-dropping-particle":"","parse-names":false,"suffix":""}],"container-title":"Trends in Neurosciences","id":"ITEM-1","issue":"5","issued":{"date-parts":[["2015"]]},"page":"295-306","publisher":"Elsevier Ltd","title":"The primate amygdala in social perception - insights from electrophysiological recordings and stimulation","type":"article-journal","volume":"38"},"uris":["http://www.mendeley.com/documents/?uuid=78b49143-3358-4de1-84d4-b7c1af1299cf"]}],"mendeley":{"formattedCitation":"(Rutishauser et al., 2015)","manualFormatting":"Rutishauser et al., 2015","plainTextFormattedCitation":"(Rutishauser et al., 2015)","previouslyFormattedCitation":"(Rutishauser et al., 2015)"},"properties":{"noteIndex":0},"schema":"https://github.com/citation-style-language/schema/raw/master/csl-citation.json"}</w:instrText>
      </w:r>
      <w:r>
        <w:fldChar w:fldCharType="separate"/>
      </w:r>
      <w:r w:rsidRPr="00465937">
        <w:rPr>
          <w:noProof/>
        </w:rPr>
        <w:t>Rutishauser et al., 2015</w:t>
      </w:r>
      <w:r>
        <w:fldChar w:fldCharType="end"/>
      </w:r>
      <w:r>
        <w:t xml:space="preserve"> for a review). In appendix 1.1 we discuss the ‘winner’s curse’ in auction theory- the idea that on auction the winner is likely to have overpaid for a good </w:t>
      </w:r>
      <w:r>
        <w:fldChar w:fldCharType="begin" w:fldLock="1"/>
      </w:r>
      <w:r>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465937">
        <w:rPr>
          <w:noProof/>
        </w:rPr>
        <w:t>(Capen, E. C. Clapp, 1973)</w:t>
      </w:r>
      <w:r>
        <w:fldChar w:fldCharType="end"/>
      </w:r>
      <w:r>
        <w:t xml:space="preserve">. The auctions presented in this thesis use a random computer bid as is typical for the BDM paradigm, however, it is possible to imagine future studies which involve multiple organisms bidding to receive one reward per trial. BLA neurons have been shown to respond to the value of rewards for oneself </w:t>
      </w:r>
      <w:r>
        <w:rPr>
          <w:i/>
          <w:iCs/>
        </w:rPr>
        <w:t>and</w:t>
      </w:r>
      <w:r>
        <w:t xml:space="preserve"> to those given to another monkey in a donation game, but not to rewards donated by a computer (termed ‘value-mirroring’ neurons by the authors; </w:t>
      </w:r>
      <w:r>
        <w:fldChar w:fldCharType="begin" w:fldLock="1"/>
      </w:r>
      <w:r w:rsidR="00C87A17">
        <w:instrText>ADDIN CSL_CITATION {"citationItems":[{"id":"ITEM-1","itemData":{"DOI":"10.1073/pnas.1514761112","ISSN":"10916490","PMID":"26668400","abstract":"Social decisions require evaluation of costs and benefits to oneself and others. Long associated with emotion and vigilance, the amygdala has recently been implicated in both decision-making and social behavior. The amygdala signals reward and punishment, as well as facial expressions and the gaze of others. Amygdala damage impairs social interactions, and the social neuropeptide oxytocin (OT) influences human social decisions, in part, by altering amygdala function. Here we show inmonkeys playing amodified dictator game, inwhich one individual can donate or withhold rewards from another, that basolateral amygdala (BLA) neurons signaled social preferences both across trials and across days. BLA neurons mirrored the value of rewards delivered to self and others when monkeys were free to choose but not when the computer made choices for them. We also found that focal infusion of OT unilaterally into BLA weakly but significantly increased both the frequency of prosocial decisions and attention to recipients for context-specific prosocial decisions, endorsing the hypothesis that OT regulates social behavior, in part, via amygdala neuromodulation. Our findings demonstrate both neurophysiological and neuroendocrinological connections between primate amygdala and social decisions.","author":[{"dropping-particle":"","family":"Chang","given":"Steve W.C.","non-dropping-particle":"","parse-names":false,"suffix":""},{"dropping-particle":"","family":"Fagan","given":"Nicholas A.","non-dropping-particle":"","parse-names":false,"suffix":""},{"dropping-particle":"","family":"Toda","given":"Koji","non-dropping-particle":"","parse-names":false,"suffix":""},{"dropping-particle":"V.","family":"Utevsky","given":"Amanda","non-dropping-particle":"","parse-names":false,"suffix":""},{"dropping-particle":"","family":"Pearson","given":"John M.","non-dropping-particle":"","parse-names":false,"suffix":""},{"dropping-particle":"","family":"Platt","given":"Michael L.","non-dropping-particle":"","parse-names":false,"suffix":""},{"dropping-particle":"","family":"Gazzaniga","given":"Michael S.","non-dropping-particle":"","parse-names":false,"suffix":""}],"container-title":"Proceedings of the National Academy of Sciences of the United States of America","id":"ITEM-1","issue":"52","issued":{"date-parts":[["2015"]]},"page":"16012-16017","title":"Neural mechanisms of social decision-making in the primate amygdala","type":"article-journal","volume":"112"},"uris":["http://www.mendeley.com/documents/?uuid=82b59fab-1f46-444f-81f6-71934e4db584"]}],"mendeley":{"formattedCitation":"(S. W. C. Chang et al., 2015)","manualFormatting":"Chang et al., 2015)","plainTextFormattedCitation":"(S. W. C. Chang et al., 2015)","previouslyFormattedCitation":"(Chang et al., 2015)"},"properties":{"noteIndex":0},"schema":"https://github.com/citation-style-language/schema/raw/master/csl-citation.json"}</w:instrText>
      </w:r>
      <w:r>
        <w:fldChar w:fldCharType="separate"/>
      </w:r>
      <w:r w:rsidRPr="00AF5AB6">
        <w:rPr>
          <w:noProof/>
        </w:rPr>
        <w:t>Chang et al., 2015)</w:t>
      </w:r>
      <w:r>
        <w:fldChar w:fldCharType="end"/>
      </w:r>
      <w:r>
        <w:t xml:space="preserve">. Moreover, in a learning task, amygdala neurons track value learnt from a primates own choices as well as those made by another monkey in view </w:t>
      </w:r>
      <w:r>
        <w:fldChar w:fldCharType="begin" w:fldLock="1"/>
      </w:r>
      <w:r>
        <w:instrText>ADDIN CSL_CITATION {"citationItems":[{"id":"ITEM-1","itemData":{"DOI":"10.1016/j.cell.2019.02.042","ISSN":"10974172","PMID":"30982599","abstract":"By observing their social partners, primates learn about reward values of objects. Here, we show that monkeys’ amygdala neurons derive object values from observation and use these values to simulate a partner monkey's decision process. While monkeys alternated making reward-based choices, amygdala neurons encoded object-specific values learned from observation. Dynamic activities converted these values to representations of the recorded monkey's own choices. Surprisingly, the same activity patterns unfolded spontaneously before partner's choices in separate neurons, as if these neurons simulated the partner's decision-making. These “simulation neurons” encoded signatures of mutual-inhibitory decision computation, including value comparisons and value-to-choice conversions, resulting in accurate predictions of partner's choices. Population decoding identified differential contributions of amygdala subnuclei. Biophysical modeling of amygdala circuits showed that simulation neurons emerge naturally from convergence between object-value neurons and self-other neurons. By simulating decision computations during observation, these neurons could allow primates to reconstruct their social partners’ mental states. When monkeys observe and learn from each other's choices, neurons in the amygdala spontaneously encode decision computations to simulate the social partner's choices.","author":[{"dropping-particle":"","family":"Grabenhorst","given":"Fabian","non-dropping-particle":"","parse-names":false,"suffix":""},{"dropping-particle":"","family":"Báez-Mendoza","given":"Raymundo","non-dropping-particle":"","parse-names":false,"suffix":""},{"dropping-particle":"","family":"Genest","given":"Wilfried","non-dropping-particle":"","parse-names":false,"suffix":""},{"dropping-particle":"","family":"Deco","given":"Gustavo","non-dropping-particle":"","parse-names":false,"suffix":""},{"dropping-particle":"","family":"Schultz","given":"Wolfram","non-dropping-particle":"","parse-names":false,"suffix":""}],"container-title":"Cell","id":"ITEM-1","issue":"4","issued":{"date-parts":[["2019"]]},"page":"986-998.e15","title":"Primate Amygdala Neurons Simulate Decision Processes of Social Partners","type":"article-journal","volume":"177"},"uris":["http://www.mendeley.com/documents/?uuid=f80411cb-e2d7-4b47-bb43-1cd39ff421be"]}],"mendeley":{"formattedCitation":"(Grabenhorst et al., 2019)","plainTextFormattedCitation":"(Grabenhorst et al., 2019)","previouslyFormattedCitation":"(Grabenhorst et al., 2019)"},"properties":{"noteIndex":0},"schema":"https://github.com/citation-style-language/schema/raw/master/csl-citation.json"}</w:instrText>
      </w:r>
      <w:r>
        <w:fldChar w:fldCharType="separate"/>
      </w:r>
      <w:r w:rsidRPr="00AF5AB6">
        <w:rPr>
          <w:noProof/>
        </w:rPr>
        <w:t>(Grabenhorst et al., 2019)</w:t>
      </w:r>
      <w:r>
        <w:fldChar w:fldCharType="end"/>
      </w:r>
      <w:r>
        <w:t xml:space="preserve">. These neurons are then able to simulate the choices made by a different animal, a strikingly similar paradigm to how human’s can optimally bid on auctions by simulating the discounting of other actor’s bids </w:t>
      </w:r>
      <w:r>
        <w:fldChar w:fldCharType="begin" w:fldLock="1"/>
      </w:r>
      <w:r>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fldChar w:fldCharType="separate"/>
      </w:r>
      <w:r w:rsidRPr="00AF5AB6">
        <w:rPr>
          <w:noProof/>
        </w:rPr>
        <w:t>(Wilson, 1967)</w:t>
      </w:r>
      <w:r>
        <w:fldChar w:fldCharType="end"/>
      </w:r>
      <w:r>
        <w:t>.</w:t>
      </w:r>
    </w:p>
    <w:p w14:paraId="3D93D618" w14:textId="77777777" w:rsidR="000618AF" w:rsidRDefault="000618AF" w:rsidP="000618AF">
      <w:pPr>
        <w:rPr>
          <w:i/>
          <w:iCs/>
        </w:rPr>
      </w:pPr>
      <w:r>
        <w:rPr>
          <w:i/>
          <w:iCs/>
        </w:rPr>
        <w:t>Other Structures Implicated in the Reward Circuit</w:t>
      </w:r>
    </w:p>
    <w:p w14:paraId="6B891BCD" w14:textId="17720CDD" w:rsidR="000618AF" w:rsidRDefault="000618AF" w:rsidP="000618AF">
      <w:r>
        <w:lastRenderedPageBreak/>
        <w:t xml:space="preserve">We focus on the prefrontal cortices and amygdala here as we find the evidence for value encoding in these areas the most striking. The entire reward circuitry of primates is known to be more complex </w:t>
      </w:r>
      <w:r>
        <w:fldChar w:fldCharType="begin" w:fldLock="1"/>
      </w:r>
      <w:r>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AC40C2">
        <w:rPr>
          <w:noProof/>
        </w:rPr>
        <w:t>(Haber &amp; Knutson, 2010)</w:t>
      </w:r>
      <w:r>
        <w:fldChar w:fldCharType="end"/>
      </w:r>
      <w:r>
        <w:t xml:space="preserve"> and involves the striatum </w:t>
      </w:r>
      <w:r>
        <w:fldChar w:fldCharType="begin" w:fldLock="1"/>
      </w:r>
      <w:r>
        <w:instrText>ADDIN CSL_CITATION {"citationItems":[{"id":"ITEM-1","itemData":{"DOI":"10.1126/science.1115270","ISSN":"00368075","PMID":"16311337","abstract":"The estimation of the reward an action will yield is critical in decision-making. To elucidate the role of the basal ganglia in this process, we recorded striatal neurons of monkeys who chose between left and right handle turns, based on the estimated reward probabilities of the actions. During a delay period before the choices, the activity of more than one-third of striatal projection neurons was selective to the values of one of the two actions. Fewer neurons were tuned to relative values or action choice. These results suggest representation of action values in the striatum, which can guide action selection in the basal ganglia circuit.","author":[{"dropping-particle":"","family":"Samejima","given":"Kazuyuki","non-dropping-particle":"","parse-names":false,"suffix":""},{"dropping-particle":"","family":"Ueda","given":"Yasumasa","non-dropping-particle":"","parse-names":false,"suffix":""},{"dropping-particle":"","family":"Doya","given":"Kenji","non-dropping-particle":"","parse-names":false,"suffix":""},{"dropping-particle":"","family":"Kimura","given":"Minoru","non-dropping-particle":"","parse-names":false,"suffix":""}],"container-title":"Science","id":"ITEM-1","issue":"5752","issued":{"date-parts":[["2005"]]},"page":"1337-1340","title":"Neuroscience: Representation of action-specific reward values in the striatum","type":"article-journal","volume":"310"},"uris":["http://www.mendeley.com/documents/?uuid=933df70c-7481-477a-b1e0-6ff57d5fca64"]},{"id":"ITEM-2","itemData":{"DOI":"10.1371/journal.pbio.1002173","ISSN":"15457885","PMID":"26086735","abstract":"The ventral striatum (VS), like its cortical afferents, is closely associated with processing of rewards, but the relative contributions of striatal and cortical reward systems remains unclear. Most theories posit distinct roles for these structures, despite their similarities. We compared responses of VS neurons to those of ventromedial prefrontal cortex (vmPFC) Area 14 neurons, recorded in a risky choice task. Five major response patterns observed in vmPFC were also observed in VS: (1) offer value encoding, (2) value difference encoding, (3) preferential encoding of chosen relative to unchosen value, (4) a correlation between residual variance in responses and choices, and (5) prominent encoding of outcomes.We did observe some differences as well; in particular, preferential encoding of the chosen option was stronger and started earlier in VS than in vmPFC. Nonetheless, the close match between vmPFC and VS suggests that cortex and its striatal targets make overlapping contributions to economic choice.","author":[{"dropping-particle":"","family":"Strait","given":"Caleb E.","non-dropping-particle":"","parse-names":false,"suffix":""},{"dropping-particle":"","family":"Sleezer","given":"Brianna J.","non-dropping-particle":"","parse-names":false,"suffix":""},{"dropping-particle":"","family":"Hayden","given":"Benjamin Y.","non-dropping-particle":"","parse-names":false,"suffix":""}],"container-title":"PLoS Biology","id":"ITEM-2","issue":"6","issued":{"date-parts":[["2015"]]},"page":"1-22","title":"Signatures of value comparison in ventral striatum neurons","type":"article-journal","volume":"13"},"uris":["http://www.mendeley.com/documents/?uuid=f5f55f2d-1dbf-4aaf-928b-8490c7b030bf"]}],"mendeley":{"formattedCitation":"(Samejima et al., 2005; Strait et al., 2015)","plainTextFormattedCitation":"(Samejima et al., 2005; Strait et al., 2015)","previouslyFormattedCitation":"(Samejima et al., 2005; Strait et al., 2015)"},"properties":{"noteIndex":0},"schema":"https://github.com/citation-style-language/schema/raw/master/csl-citation.json"}</w:instrText>
      </w:r>
      <w:r>
        <w:fldChar w:fldCharType="separate"/>
      </w:r>
      <w:r w:rsidRPr="00BB3C0F">
        <w:rPr>
          <w:noProof/>
        </w:rPr>
        <w:t>(Samejima et al., 2005; Strait et al., 2015)</w:t>
      </w:r>
      <w:r>
        <w:fldChar w:fldCharType="end"/>
      </w:r>
      <w:r>
        <w:t xml:space="preserve">, lateral habenula </w:t>
      </w:r>
      <w:r>
        <w:fldChar w:fldCharType="begin" w:fldLock="1"/>
      </w:r>
      <w:r>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fldChar w:fldCharType="separate"/>
      </w:r>
      <w:r w:rsidRPr="00BB3C0F">
        <w:rPr>
          <w:noProof/>
        </w:rPr>
        <w:t>(Matsumoto &amp; Hikosaka, 2009)</w:t>
      </w:r>
      <w:r>
        <w:fldChar w:fldCharType="end"/>
      </w:r>
      <w:r>
        <w:t xml:space="preserve">, anterior cingulate cortex </w:t>
      </w:r>
      <w:r>
        <w:fldChar w:fldCharType="begin" w:fldLock="1"/>
      </w:r>
      <w:r w:rsidR="00C87A17">
        <w:instrText>ADDIN CSL_CITATION {"citationItems":[{"id":"ITEM-1","itemData":{"DOI":"10.1111/ejn.13865","ISSN":"14609568","PMID":"29431892","abstract":"The anterior cingulate cortex can be divided into distinct ventral (subgenual, sgACC) and dorsal (dACC), portions. The role of dACC in value-based decision-making is hotly debated, while the role of sgACC is poorly understood. We recorded neuronal activity in both regions in rhesus macaques performing a token-gambling task. We find that both encode many of the same variables; including integrated offered values of gambles, primary as well as secondary reward outcomes, number of current tokens and anticipated rewards. Both regions exhibit memory traces for offer values and putative value comparison signals. Both regions use a consistent scheme to encode the value of the attended option. This result suggests that neurones do not appear to be specialized for specific offers (that is, neurones use an attentional as opposed to labelled line coding scheme). We also observed some differences between the two regions: (i) coding strengths in dACC were consistently greater than those in sgACC, (ii) neurones in sgACC responded especially to losses and in anticipation of primary rewards, while those in dACC showed more balanced responding and (iii) responses to the first offer were slightly faster in sgACC. These results indicate that sgACC and dACC have some functional overlap in economic choice, and are consistent with the idea, inspired by neuroanatomy, which sgACC may serve as input to dACC.","author":[{"dropping-particle":"","family":"Azab","given":"Habiba","non-dropping-particle":"","parse-names":false,"suffix":""},{"dropping-particle":"","family":"Hayden","given":"Benjamin Y.","non-dropping-particle":"","parse-names":false,"suffix":""}],"container-title":"European Journal of Neuroscience","id":"ITEM-1","issue":"8","issued":{"date-parts":[["2018"]]},"page":"979-993","title":"Correlates of economic decisions in the dorsal and subgenual anterior cingulate cortices","type":"article-journal","volume":"47"},"uris":["http://www.mendeley.com/documents/?uuid=845f99e2-0c8b-4a0b-886c-d963b2c2c1a0"]}],"mendeley":{"formattedCitation":"(Azab &amp; Hayden, 2018)","plainTextFormattedCitation":"(Azab &amp; Hayden, 2018)","previouslyFormattedCitation":"(Azab &amp; Hayden, 2018)"},"properties":{"noteIndex":0},"schema":"https://github.com/citation-style-language/schema/raw/master/csl-citation.json"}</w:instrText>
      </w:r>
      <w:r>
        <w:fldChar w:fldCharType="separate"/>
      </w:r>
      <w:r w:rsidRPr="00D07830">
        <w:rPr>
          <w:noProof/>
        </w:rPr>
        <w:t>(Azab &amp; Hayden, 2018)</w:t>
      </w:r>
      <w:r>
        <w:fldChar w:fldCharType="end"/>
      </w:r>
      <w:r>
        <w:t xml:space="preserve">, and lateral hypothalamus </w:t>
      </w:r>
      <w:r>
        <w:fldChar w:fldCharType="begin" w:fldLock="1"/>
      </w:r>
      <w:r>
        <w:instrText>ADDIN CSL_CITATION {"citationItems":[{"id":"ITEM-1","itemData":{"DOI":"10.1038/nature04071","ISSN":"14764687","PMID":"16100511","abstract":"The lateral hypothalamus is a brain region historically implicated in reward and motivation, but the identity of the neurotransmitters involved are unknown. The orexins (or hypocretins) are neuropeptides recently identified as neurotransmitters in lateral hypothalamus neurons. Although knockout and transgenic overexpression studies have implicated orexin neurons in arousal and sleep, these cells also project to reward-associated brain regions, including the nucleus accumbens and ventral tegmental area. This indicates a possible role for these neurons in reward function and motivation, consistent with previous studies implicating these neurons in feeding. Here we show that activation of lateral hypothalamus orexin neurons is strongly linked to preferences for cues associated with drug and food reward. In addition, we show that chemical activation of lateral hypothalamus orexin neurons reinstates an extinguished drug-seeking behaviour. This reinstatement effect was completely blocked by prior administration of an orexin A antagonist. Moreover, administration of the orexin A peptide directly into the ventral tegmental area also reinstated drug-seeking. These data reveal a new role for lateral hypothalamus orexin neurons in reward-seeking, drug relapse and addiction. © 2005 Nature Publishing Group.","author":[{"dropping-particle":"","family":"Harris","given":"Glenda C.","non-dropping-particle":"","parse-names":false,"suffix":""},{"dropping-particle":"","family":"Wimmer","given":"Mathieu","non-dropping-particle":"","parse-names":false,"suffix":""},{"dropping-particle":"","family":"Aston-Jones","given":"Gary","non-dropping-particle":"","parse-names":false,"suffix":""}],"container-title":"Nature","id":"ITEM-1","issue":"7058","issued":{"date-parts":[["2005"]]},"page":"556-559","title":"A role for lateral hypothalamic orexin neurons in reward seeking","type":"article-journal","volume":"437"},"uris":["http://www.mendeley.com/documents/?uuid=2a4f81bf-1dab-4865-b9ec-0355e6e822c7"]}],"mendeley":{"formattedCitation":"(Harris et al., 2005)","plainTextFormattedCitation":"(Harris et al., 2005)","previouslyFormattedCitation":"(Harris et al., 2005)"},"properties":{"noteIndex":0},"schema":"https://github.com/citation-style-language/schema/raw/master/csl-citation.json"}</w:instrText>
      </w:r>
      <w:r>
        <w:fldChar w:fldCharType="separate"/>
      </w:r>
      <w:r w:rsidRPr="00BB3C0F">
        <w:rPr>
          <w:noProof/>
        </w:rPr>
        <w:t>(Harris et al., 2005)</w:t>
      </w:r>
      <w:r>
        <w:fldChar w:fldCharType="end"/>
      </w:r>
      <w:r>
        <w:t xml:space="preserve"> amongst others.</w:t>
      </w:r>
    </w:p>
    <w:p w14:paraId="05FC7373" w14:textId="45C506AE" w:rsidR="000618AF" w:rsidRDefault="000618AF" w:rsidP="000618AF">
      <w:r>
        <w:t xml:space="preserve">Dopamine neurons from the ventral tergmental area (VTA) or the substantia nigra pars compacta (SNc) provide input to most of these implicated areas via the mesolimbic-mesocortical and nigrostriatal projections  (figure 1) and are hypothesised to form a ‘reward retina’ conveying a signal of how a reward deviates from expectation to downstream regions of the brain which integrate additional information </w:t>
      </w:r>
      <w:r>
        <w:fldChar w:fldCharType="begin" w:fldLock="1"/>
      </w:r>
      <w:r w:rsidR="00C87A17">
        <w:instrText>ADDIN CSL_CITATION {"citationItems":[{"id":"ITEM-1","itemData":{"author":[{"dropping-particle":"","family":"Schultz","given":"Wolfram","non-dropping-particle":"","parse-names":false,"suffix":""}],"container-title":"Neuroeconomics: Decision Making and the Brain: Second Edition","id":"ITEM-1","issued":{"date-parts":[["2009"]]},"page":"323-329","title":"Midbrain dopamine neurons: a retina of the reward system?","type":"chapter"},"uris":["http://www.mendeley.com/documents/?uuid=b694cce6-e4c5-4a5a-8fec-d6c905ef51f8"]}],"mendeley":{"formattedCitation":"(Wolfram Schultz, 2009)","plainTextFormattedCitation":"(Wolfram Schultz, 2009)","previouslyFormattedCitation":"(Schultz, 2009)"},"properties":{"noteIndex":0},"schema":"https://github.com/citation-style-language/schema/raw/master/csl-citation.json"}</w:instrText>
      </w:r>
      <w:r>
        <w:fldChar w:fldCharType="separate"/>
      </w:r>
      <w:r w:rsidR="00C87A17" w:rsidRPr="00C87A17">
        <w:rPr>
          <w:noProof/>
        </w:rPr>
        <w:t>(Wolfram Schultz, 2009)</w:t>
      </w:r>
      <w:r>
        <w:fldChar w:fldCharType="end"/>
      </w:r>
      <w:r>
        <w:t xml:space="preserve">. These two populations receive distinct inputs from a wide range brain areas, with the dopaminergic neurons of the VTA receiving most input back from the ventral striatum and lateral orbitofrontal cortex, as well as inhibitory input from the lateral habenula </w:t>
      </w:r>
      <w:r>
        <w:fldChar w:fldCharType="begin" w:fldLock="1"/>
      </w:r>
      <w:r>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fldChar w:fldCharType="separate"/>
      </w:r>
      <w:r w:rsidRPr="00442A6B">
        <w:rPr>
          <w:noProof/>
        </w:rPr>
        <w:t>(Matsumoto &amp; Hikosaka, 2009)</w:t>
      </w:r>
      <w:r>
        <w:fldChar w:fldCharType="end"/>
      </w:r>
      <w:r>
        <w:t xml:space="preserve">. By contrast, the SNc receives most of its input from the somatosensory and mortor cortices, as well as the aubthalamic nucleus, the dorsal striatum and nucleus accumbens </w:t>
      </w:r>
      <w:r>
        <w:fldChar w:fldCharType="begin" w:fldLock="1"/>
      </w:r>
      <w:r>
        <w:instrText>ADDIN CSL_CITATION {"citationItems":[{"id":"ITEM-1","itemData":{"DOI":"10.1016/j.neuron.2012.03.017","ISSN":"08966273","PMID":"22681690","abstract":"Recent studies indicate that dopamine neurons in the ventral tegmental area (VTA) and substantia nigra pars compacta (SNc) convey distinct signals. To explore this difference, we comprehensively identified each area@s monosynaptic inputs using the rabies virus. We show that dopamine neurons in both areas integrate inputs from a more diverse collection of areas than previously thought, including autonomic, motor, and somatosensory areas. SNc and VTA dopamine neurons receive contrasting excitatory inputs: the former from the somatosensory/motor cortex and subthalamic nucleus, which may explain their short-latency responses to salient events; and the latter from the lateral hypothalamus, which may explain their involvement in value coding. We demonstrate that neurons in the striatum that project directly to dopamine neurons form patches in both the dorsal and ventral striatum, whereas those projecting to GABAergic neurons are distributed in the matrix compartment. Neuron-type-specific connectivity lays a foundation for studying how dopamine neurons compute outputs.","author":[{"dropping-particle":"","family":"Watabe-Uchida","given":"Mitsuko","non-dropping-particle":"","parse-names":false,"suffix":""},{"dropping-particle":"","family":"Zhu","given":"Lisa","non-dropping-particle":"","parse-names":false,"suffix":""},{"dropping-particle":"","family":"Ogawa","given":"Sachie K.","non-dropping-particle":"","parse-names":false,"suffix":""},{"dropping-particle":"","family":"Vamanrao","given":"Archana","non-dropping-particle":"","parse-names":false,"suffix":""},{"dropping-particle":"","family":"Uchida","given":"Naoshige","non-dropping-particle":"","parse-names":false,"suffix":""}],"container-title":"Neuron","id":"ITEM-1","issue":"5","issued":{"date-parts":[["2012"]]},"page":"858-873","publisher":"Elsevier Inc.","title":"Whole-Brain Mapping of Direct Inputs to Midbrain Dopamine Neurons","type":"article-journal","volume":"74"},"uris":["http://www.mendeley.com/documents/?uuid=b05ba07d-491f-41b3-990a-457c9e221404"]}],"mendeley":{"formattedCitation":"(Watabe-Uchida et al., 2012)","plainTextFormattedCitation":"(Watabe-Uchida et al., 2012)","previouslyFormattedCitation":"(Watabe-Uchida et al., 2012)"},"properties":{"noteIndex":0},"schema":"https://github.com/citation-style-language/schema/raw/master/csl-citation.json"}</w:instrText>
      </w:r>
      <w:r>
        <w:fldChar w:fldCharType="separate"/>
      </w:r>
      <w:r w:rsidRPr="00442A6B">
        <w:rPr>
          <w:noProof/>
        </w:rPr>
        <w:t>(Watabe-Uchida et al., 2012)</w:t>
      </w:r>
      <w:r>
        <w:fldChar w:fldCharType="end"/>
      </w:r>
      <w:r>
        <w:t>.</w:t>
      </w:r>
    </w:p>
    <w:p w14:paraId="40E5AC83" w14:textId="77777777" w:rsidR="000618AF" w:rsidRDefault="000618AF" w:rsidP="000618AF">
      <w:r>
        <w:br w:type="page"/>
      </w:r>
    </w:p>
    <w:p w14:paraId="4617FE19" w14:textId="77777777" w:rsidR="000618AF" w:rsidRDefault="000618AF" w:rsidP="000618AF">
      <w:r>
        <w:rPr>
          <w:noProof/>
        </w:rPr>
        <w:lastRenderedPageBreak/>
        <mc:AlternateContent>
          <mc:Choice Requires="wps">
            <w:drawing>
              <wp:anchor distT="45720" distB="45720" distL="114300" distR="114300" simplePos="0" relativeHeight="251672576" behindDoc="0" locked="0" layoutInCell="1" allowOverlap="1" wp14:anchorId="217BDD20" wp14:editId="27DED883">
                <wp:simplePos x="0" y="0"/>
                <wp:positionH relativeFrom="margin">
                  <wp:align>left</wp:align>
                </wp:positionH>
                <wp:positionV relativeFrom="paragraph">
                  <wp:posOffset>4099560</wp:posOffset>
                </wp:positionV>
                <wp:extent cx="5913120" cy="1301750"/>
                <wp:effectExtent l="0" t="0" r="11430" b="127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1301750"/>
                        </a:xfrm>
                        <a:prstGeom prst="rect">
                          <a:avLst/>
                        </a:prstGeom>
                        <a:solidFill>
                          <a:srgbClr val="FFFFFF"/>
                        </a:solidFill>
                        <a:ln w="9525">
                          <a:solidFill>
                            <a:srgbClr val="000000"/>
                          </a:solidFill>
                          <a:miter lim="800000"/>
                          <a:headEnd/>
                          <a:tailEnd/>
                        </a:ln>
                      </wps:spPr>
                      <wps:txbx>
                        <w:txbxContent>
                          <w:p w14:paraId="1B9693BA" w14:textId="77777777" w:rsidR="00270682" w:rsidRPr="00F81CEA" w:rsidRDefault="00270682" w:rsidP="000618AF">
                            <w:r>
                              <w:rPr>
                                <w:b/>
                                <w:bCs/>
                              </w:rPr>
                              <w:t xml:space="preserve">Figure 1) The dopaminergic pathways of the ventral tegmental area (VTA) and substantia nigra pars compacta (SNc) project to most regions implicated in economic decision making. </w:t>
                            </w:r>
                            <w:r>
                              <w:t xml:space="preserve">Dopaminergic nuclei located in the midbrain have wide ranging projections. The nigrostriatal projections from the substantia nigra pars compacta reach to the striatum (red). The mesolimbic-mesocortical projections originate in the ventral tegmental area are reach to the prefrontal cortices as well as the nucleus accumbens and the anterior cingulate cortex.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BDD20" id="_x0000_s1033" type="#_x0000_t202" style="position:absolute;margin-left:0;margin-top:322.8pt;width:465.6pt;height:102.5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">
                <v:textbox>
                  <w:txbxContent>
                    <w:p w14:paraId="1B9693BA" w14:textId="77777777" w:rsidR="00270682" w:rsidRPr="00F81CEA" w:rsidRDefault="00270682" w:rsidP="000618AF">
                      <w:r>
                        <w:rPr>
                          <w:b/>
                          <w:bCs/>
                        </w:rPr>
                        <w:t xml:space="preserve">Figure 1) The dopaminergic pathways of the ventral tegmental area (VTA) and substantia nigra pars compacta (SNc) project to most regions implicated in economic decision making. </w:t>
                      </w:r>
                      <w:r>
                        <w:t xml:space="preserve">Dopaminergic nuclei located in the midbrain have wide ranging projections. The nigrostriatal projections from the substantia nigra pars compacta reach to the striatum (red). The mesolimbic-mesocortical projections originate in the ventral tegmental area are reach to the prefrontal cortices as well as the nucleus accumbens and the anterior cingulate cortex. </w:t>
                      </w:r>
                    </w:p>
                  </w:txbxContent>
                </v:textbox>
                <w10:wrap type="square" anchorx="margin"/>
              </v:shape>
            </w:pict>
          </mc:Fallback>
        </mc:AlternateContent>
      </w:r>
      <w:r>
        <w:rPr>
          <w:noProof/>
        </w:rPr>
        <w:drawing>
          <wp:inline distT="0" distB="0" distL="0" distR="0" wp14:anchorId="2B24E2CC" wp14:editId="411D7158">
            <wp:extent cx="5731510" cy="3999865"/>
            <wp:effectExtent l="0" t="0" r="2540" b="63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999865"/>
                    </a:xfrm>
                    <a:prstGeom prst="rect">
                      <a:avLst/>
                    </a:prstGeom>
                  </pic:spPr>
                </pic:pic>
              </a:graphicData>
            </a:graphic>
          </wp:inline>
        </w:drawing>
      </w:r>
    </w:p>
    <w:p w14:paraId="660F1F19" w14:textId="6CD66C69" w:rsidR="00884E52" w:rsidRDefault="00884E52">
      <w:pPr>
        <w:rPr>
          <w:rFonts w:ascii="Times New Roman" w:hAnsi="Times New Roman" w:cs="Times New Roman"/>
          <w:sz w:val="24"/>
          <w:szCs w:val="24"/>
        </w:rPr>
      </w:pPr>
      <w:r>
        <w:rPr>
          <w:rFonts w:ascii="Times New Roman" w:hAnsi="Times New Roman" w:cs="Times New Roman"/>
          <w:sz w:val="24"/>
          <w:szCs w:val="24"/>
        </w:rPr>
        <w:br w:type="page"/>
      </w:r>
    </w:p>
    <w:p w14:paraId="48FDCD91" w14:textId="77777777" w:rsidR="00884E52" w:rsidRDefault="00884E52" w:rsidP="00884E52">
      <w:pPr>
        <w:rPr>
          <w:b/>
          <w:bCs/>
          <w:u w:val="single"/>
        </w:rPr>
      </w:pPr>
      <w:r>
        <w:rPr>
          <w:b/>
          <w:bCs/>
          <w:u w:val="single"/>
        </w:rPr>
        <w:lastRenderedPageBreak/>
        <w:t>Chapter 2 – Auction Theory as a Neuroscientific Tool</w:t>
      </w:r>
    </w:p>
    <w:p w14:paraId="4BC3FEC1" w14:textId="77777777" w:rsidR="00884E52" w:rsidRDefault="00884E52" w:rsidP="00884E52">
      <w:pPr>
        <w:rPr>
          <w:b/>
          <w:bCs/>
          <w:u w:val="single"/>
        </w:rPr>
      </w:pPr>
    </w:p>
    <w:p w14:paraId="39110C1A" w14:textId="77777777" w:rsidR="00884E52" w:rsidRDefault="00884E52" w:rsidP="00884E52">
      <w:r>
        <w:t>One problem that studies of economic decision-making face is that utility is an internally generated value and must be reported by any animal or human subject to an external observer. The context a subject finds themselves in is a key constraint on how easily and accurately an experimenter can measure a participant’s utility. Therefore, choosing an adequate task for any animal or human is of the utmost importance.</w:t>
      </w:r>
    </w:p>
    <w:p w14:paraId="5E0A210D" w14:textId="77777777" w:rsidR="00884E52" w:rsidRDefault="00884E52" w:rsidP="00884E52"/>
    <w:p w14:paraId="45A2E73C" w14:textId="77777777" w:rsidR="00884E52" w:rsidRPr="00B3153F" w:rsidRDefault="00884E52" w:rsidP="00884E52">
      <w:r>
        <w:t xml:space="preserve">Making invasive recordings from a model organism is both time consuming and requires the sacrifice of animals. It is vital that experiments are designed to generate the most pertinent and robust findings possible given these costs. As </w:t>
      </w:r>
      <w:r w:rsidRPr="00F02BCB">
        <w:rPr>
          <w:color w:val="000000" w:themeColor="text1"/>
        </w:rPr>
        <w:t>expressed by</w:t>
      </w:r>
      <w:r>
        <w:t xml:space="preserve"> </w:t>
      </w:r>
      <w:r>
        <w:fldChar w:fldCharType="begin" w:fldLock="1"/>
      </w:r>
      <w:r>
        <w:instrText>ADDIN CSL_CITATION {"citationItems":[{"id":"ITEM-1","itemData":{"DOI":"10.4324/9781003026273-16","abstract":"Understanding the brain requires us to answer both what the brain does, and how it does it. Using a series of examples, I make the case that behavior is often more useful than neuroscientific measurements for answering the first question 1. Moreover, I show that even for \"how\" questions that pertain to neural mechanism, a well-crafted behavioral paradigm can offer deeper insight and stronger constraints on computational and mechanistic models than do many highly challenging (and very expensive) neural studies. I conclude that behavioral, rather than neuroscientific research, is essential for understanding the brain, contrary to the opinion of prominent funding bodies and scientific journals, who erroneously place neural data on a pedestal and consider behavior to be subsidiary.","author":[{"dropping-particle":"","family":"Niv","given":"Yael","non-dropping-particle":"","parse-names":false,"suffix":""}],"container-title":"Current Controversies in Philosophy of Cognitive Science","id":"ITEM-1","issued":{"date-parts":[["2020"]]},"page":"134-151","title":"On the Primacy of Behavioral Research for Understanding the Brain","type":"article-journal"},"uris":["http://www.mendeley.com/documents/?uuid=410d20a6-633b-4a7d-b7c9-ae959fc5b572"]}],"mendeley":{"formattedCitation":"(Niv, 2020)","manualFormatting":"Niv, 2020","plainTextFormattedCitation":"(Niv, 2020)","previouslyFormattedCitation":"(Niv, 2020)"},"properties":{"noteIndex":0},"schema":"https://github.com/citation-style-language/schema/raw/master/csl-citation.json"}</w:instrText>
      </w:r>
      <w:r>
        <w:fldChar w:fldCharType="separate"/>
      </w:r>
      <w:r w:rsidRPr="005D1125">
        <w:rPr>
          <w:noProof/>
        </w:rPr>
        <w:t>Niv, 2020</w:t>
      </w:r>
      <w:r>
        <w:fldChar w:fldCharType="end"/>
      </w:r>
      <w:r>
        <w:t xml:space="preserve">, </w:t>
      </w:r>
      <w:r w:rsidRPr="00B3153F">
        <w:rPr>
          <w:i/>
          <w:iCs/>
        </w:rPr>
        <w:t>“</w:t>
      </w:r>
      <w:r>
        <w:rPr>
          <w:i/>
          <w:iCs/>
        </w:rPr>
        <w:t>a</w:t>
      </w:r>
      <w:r w:rsidRPr="00B3153F">
        <w:rPr>
          <w:i/>
          <w:iCs/>
        </w:rPr>
        <w:t xml:space="preserve">rguably, the most interesting findings from neural recordings or perturbations are </w:t>
      </w:r>
      <w:r>
        <w:rPr>
          <w:i/>
          <w:iCs/>
        </w:rPr>
        <w:t>[…]</w:t>
      </w:r>
      <w:r w:rsidRPr="00B3153F">
        <w:rPr>
          <w:i/>
          <w:iCs/>
        </w:rPr>
        <w:t>coupled with incisive, hypothesis-driven behavio</w:t>
      </w:r>
      <w:r>
        <w:rPr>
          <w:i/>
          <w:iCs/>
        </w:rPr>
        <w:t>u</w:t>
      </w:r>
      <w:r w:rsidRPr="00B3153F">
        <w:rPr>
          <w:i/>
          <w:iCs/>
        </w:rPr>
        <w:t>ral experimental designs.</w:t>
      </w:r>
      <w:r>
        <w:rPr>
          <w:i/>
          <w:iCs/>
        </w:rPr>
        <w:t>”</w:t>
      </w:r>
      <w:r>
        <w:t xml:space="preserve"> The key differentiating aspect of this thesis is its choice of behavioural paradigm for electrophysiological recording. Instead of using repeated binary choices made by an animal, we record from non-human primates performing an auction task. The focus of this chapter is to describe the importance of this difference, and the nuances of the task.</w:t>
      </w:r>
    </w:p>
    <w:p w14:paraId="158DB7C6" w14:textId="77777777" w:rsidR="00884E52" w:rsidRDefault="00884E52" w:rsidP="00884E52">
      <w:pPr>
        <w:rPr>
          <w:b/>
          <w:bCs/>
          <w:u w:val="single"/>
        </w:rPr>
      </w:pPr>
    </w:p>
    <w:p w14:paraId="78CFEBA3" w14:textId="77777777" w:rsidR="00884E52" w:rsidRDefault="00884E52" w:rsidP="00884E52">
      <w:pPr>
        <w:rPr>
          <w:bCs/>
        </w:rPr>
      </w:pPr>
      <w:r>
        <w:rPr>
          <w:b/>
          <w:bCs/>
          <w:u w:val="single"/>
        </w:rPr>
        <w:t>What makes a good economic task?</w:t>
      </w:r>
    </w:p>
    <w:p w14:paraId="5B8FBBB5" w14:textId="77777777" w:rsidR="00884E52" w:rsidRDefault="00884E52" w:rsidP="00884E52">
      <w:pPr>
        <w:rPr>
          <w:bCs/>
        </w:rPr>
      </w:pPr>
    </w:p>
    <w:p w14:paraId="3420F362" w14:textId="77777777" w:rsidR="00884E52" w:rsidRDefault="00884E52" w:rsidP="00884E52">
      <w:pPr>
        <w:rPr>
          <w:bCs/>
        </w:rPr>
      </w:pPr>
      <w:r>
        <w:rPr>
          <w:bCs/>
        </w:rPr>
        <w:t>When using an economic task as an experimental paradigm, it is crucial that the task should reveal the mechanisms used by the subject to make economic decisions.  For instance, a game of roulette using a fair (random) wheel where the subject can pick one number on which to place a bet cannot reveal anything about how the subject makes economic decisions. Each possible choice the subject can make has the same expected payoff and so no choice exists that has any more value than another.</w:t>
      </w:r>
    </w:p>
    <w:p w14:paraId="6F25CE44" w14:textId="77777777" w:rsidR="00884E52" w:rsidRDefault="00884E52" w:rsidP="00884E52">
      <w:pPr>
        <w:rPr>
          <w:bCs/>
        </w:rPr>
      </w:pPr>
    </w:p>
    <w:p w14:paraId="1866F47A" w14:textId="77777777" w:rsidR="00884E52" w:rsidRDefault="00884E52" w:rsidP="00884E52">
      <w:pPr>
        <w:rPr>
          <w:bCs/>
        </w:rPr>
      </w:pPr>
      <w:r>
        <w:rPr>
          <w:bCs/>
        </w:rPr>
        <w:t>If we then allow the roulette player to pick how to spread their bets, the task presented is still inherently random (there is no ‘winning strategy’ to roulette), but we have allowed the subject to alter the expected utility of a trial. A player who routinely spread bets thinly is risk averse, preferring a higher chance of small wins, compared to one who places it all on one number, seeking large (risky) gains. This task is now suitable for use in understanding a subject’s risk preferences, and how and why these change as they complete multiple rounds of the task</w:t>
      </w:r>
      <w:r>
        <w:rPr>
          <w:rStyle w:val="FootnoteReference"/>
          <w:bCs/>
        </w:rPr>
        <w:footnoteReference w:id="25"/>
      </w:r>
      <w:r>
        <w:rPr>
          <w:bCs/>
        </w:rPr>
        <w:t>.</w:t>
      </w:r>
    </w:p>
    <w:p w14:paraId="40BDA3D8" w14:textId="77777777" w:rsidR="00884E52" w:rsidRDefault="00884E52" w:rsidP="00884E52">
      <w:pPr>
        <w:rPr>
          <w:bCs/>
        </w:rPr>
      </w:pPr>
    </w:p>
    <w:p w14:paraId="46435FCC" w14:textId="77777777" w:rsidR="00884E52" w:rsidRDefault="00884E52" w:rsidP="00884E52">
      <w:pPr>
        <w:rPr>
          <w:bCs/>
        </w:rPr>
      </w:pPr>
      <w:r>
        <w:rPr>
          <w:bCs/>
        </w:rPr>
        <w:t xml:space="preserve">In contrast, if there are </w:t>
      </w:r>
      <w:r>
        <w:rPr>
          <w:bCs/>
          <w:i/>
        </w:rPr>
        <w:t>too many</w:t>
      </w:r>
      <w:r>
        <w:rPr>
          <w:bCs/>
        </w:rPr>
        <w:t xml:space="preserve"> potential strategies for a task, it is also difficult to glean any understanding of how a subject makes decisions. For instance, in a round of poker any player who bets high may hold a hand they subjectively value, or be bluffing on a poor hand</w:t>
      </w:r>
      <w:r>
        <w:rPr>
          <w:rStyle w:val="FootnoteReference"/>
          <w:bCs/>
        </w:rPr>
        <w:footnoteReference w:id="26"/>
      </w:r>
      <w:r>
        <w:rPr>
          <w:bCs/>
        </w:rPr>
        <w:t>. There is no incentive for the player to truthfully reveal the value of their hand, as doing so would allow opposing players to exploit them. As there is no rule that a poker player must state which strategy they are using, there is no way for would-be economists to know exactly the subjective value placed upon the cards drawn.</w:t>
      </w:r>
    </w:p>
    <w:p w14:paraId="21BEF625" w14:textId="77777777" w:rsidR="00884E52" w:rsidRDefault="00884E52" w:rsidP="00884E52">
      <w:pPr>
        <w:rPr>
          <w:bCs/>
        </w:rPr>
      </w:pPr>
    </w:p>
    <w:p w14:paraId="35F5A589" w14:textId="77777777" w:rsidR="00884E52" w:rsidRDefault="00884E52" w:rsidP="00884E52">
      <w:pPr>
        <w:rPr>
          <w:bCs/>
        </w:rPr>
      </w:pPr>
      <w:r>
        <w:rPr>
          <w:bCs/>
        </w:rPr>
        <w:t xml:space="preserve">It is crucial that any task used to reveal a subject’s valuation of a chosen option is </w:t>
      </w:r>
      <w:r>
        <w:rPr>
          <w:bCs/>
          <w:i/>
        </w:rPr>
        <w:t>incentive compatible.</w:t>
      </w:r>
      <w:r>
        <w:rPr>
          <w:bCs/>
        </w:rPr>
        <w:t xml:space="preserve"> I.e. it is </w:t>
      </w:r>
      <w:r>
        <w:rPr>
          <w:bCs/>
          <w:u w:val="single"/>
        </w:rPr>
        <w:t>always</w:t>
      </w:r>
      <w:r>
        <w:rPr>
          <w:bCs/>
        </w:rPr>
        <w:t xml:space="preserve"> in the best, selfish, interests of any participant in the task to truthfully reveal exactly their preferences, or valuation, of the presented options. This is doubly important in any animal models of economic decision making where the strategies available to an animal cannot be verbally explained and must be learnt via reinforcement. The strategy the animal settles on should always converge to the one which yields the maximum rate of subjective value returned</w:t>
      </w:r>
      <w:r>
        <w:rPr>
          <w:rStyle w:val="FootnoteReference"/>
          <w:bCs/>
        </w:rPr>
        <w:footnoteReference w:id="27"/>
      </w:r>
      <w:r>
        <w:rPr>
          <w:bCs/>
        </w:rPr>
        <w:t>.</w:t>
      </w:r>
    </w:p>
    <w:p w14:paraId="2BDC462C" w14:textId="77777777" w:rsidR="00884E52" w:rsidRDefault="00884E52" w:rsidP="00884E52">
      <w:pPr>
        <w:rPr>
          <w:bCs/>
        </w:rPr>
      </w:pPr>
    </w:p>
    <w:p w14:paraId="3C7CD1D0" w14:textId="77777777" w:rsidR="00884E52" w:rsidRDefault="00884E52" w:rsidP="00884E52">
      <w:pPr>
        <w:rPr>
          <w:bCs/>
        </w:rPr>
      </w:pPr>
      <w:r>
        <w:rPr>
          <w:bCs/>
        </w:rPr>
        <w:t xml:space="preserve">Any task suitable for research into economic behaviour therefore should have a single, obvious strategy which is incentive compatible. A self-interested participant in the task should always follow this utility-maximising strategy, which is referred to as the </w:t>
      </w:r>
      <w:r>
        <w:rPr>
          <w:bCs/>
          <w:i/>
        </w:rPr>
        <w:t>dominant</w:t>
      </w:r>
      <w:r>
        <w:rPr>
          <w:bCs/>
        </w:rPr>
        <w:t xml:space="preserve"> strategy. This should override any internal desire for (e.g.) a nefarious human participant to deceive the experimenter about their valuation of a presented option allowing us to be confident that a choice truthfully reveals their preference. </w:t>
      </w:r>
    </w:p>
    <w:p w14:paraId="1B89EB83" w14:textId="77777777" w:rsidR="00884E52" w:rsidRDefault="00884E52" w:rsidP="00884E52">
      <w:pPr>
        <w:rPr>
          <w:bCs/>
        </w:rPr>
      </w:pPr>
    </w:p>
    <w:p w14:paraId="151CB6FE" w14:textId="77777777" w:rsidR="00884E52" w:rsidRDefault="00884E52" w:rsidP="00884E52">
      <w:pPr>
        <w:rPr>
          <w:bCs/>
        </w:rPr>
      </w:pPr>
      <w:r>
        <w:rPr>
          <w:bCs/>
        </w:rPr>
        <w:t xml:space="preserve">In traditional ‘binary choice’ paradigms outlined in the previous chapter (see figure 1.1 and also </w:t>
      </w:r>
      <w:r>
        <w:rPr>
          <w:bCs/>
        </w:rPr>
        <w:fldChar w:fldCharType="begin" w:fldLock="1"/>
      </w:r>
      <w:r>
        <w:rPr>
          <w:bCs/>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1951)","manualFormatting":"Mosteller &amp; Nogee, 1951","plainTextFormattedCitation":"(Mosteller &amp; Nogee, 1951)","previouslyFormattedCitation":"(Mosteller &amp; Nogee, 1951)"},"properties":{"noteIndex":0},"schema":"https://github.com/citation-style-language/schema/raw/master/csl-citation.json"}</w:instrText>
      </w:r>
      <w:r>
        <w:rPr>
          <w:bCs/>
        </w:rPr>
        <w:fldChar w:fldCharType="separate"/>
      </w:r>
      <w:r w:rsidRPr="00727578">
        <w:rPr>
          <w:bCs/>
          <w:noProof/>
        </w:rPr>
        <w:t>Mosteller &amp; Nogee, 1951</w:t>
      </w:r>
      <w:r>
        <w:rPr>
          <w:bCs/>
        </w:rPr>
        <w:fldChar w:fldCharType="end"/>
      </w:r>
      <w:r>
        <w:rPr>
          <w:bCs/>
        </w:rPr>
        <w:t>), choices are obviously incentive compatible as any participant should always choose the one which presents the greatest expected utility. For a simple riskless choice between two quantities of the same desired good (</w:t>
      </w:r>
      <m:oMath>
        <m:r>
          <m:rPr>
            <m:sty m:val="bi"/>
          </m:rPr>
          <w:rPr>
            <w:rFonts w:ascii="Cambria Math" w:hAnsi="Cambria Math"/>
          </w:rPr>
          <m:t>A</m:t>
        </m:r>
      </m:oMath>
      <w:r>
        <w:rPr>
          <w:bCs/>
        </w:rPr>
        <w:t>), a subject should always have more utility for the option that contains more of the good, and thus preferentially choose that option</w:t>
      </w:r>
      <w:r>
        <w:rPr>
          <w:rStyle w:val="FootnoteReference"/>
          <w:bCs/>
        </w:rPr>
        <w:footnoteReference w:id="28"/>
      </w:r>
      <w:r>
        <w:rPr>
          <w:bCs/>
        </w:rPr>
        <w:t>.</w:t>
      </w:r>
    </w:p>
    <w:p w14:paraId="09A4DCCF" w14:textId="77777777" w:rsidR="00884E52" w:rsidRDefault="00884E52" w:rsidP="00884E52">
      <w:pPr>
        <w:rPr>
          <w:bCs/>
        </w:rPr>
      </w:pPr>
    </w:p>
    <w:p w14:paraId="14B79CF6" w14:textId="77777777" w:rsidR="00884E52" w:rsidRDefault="00884E52" w:rsidP="00884E52">
      <w:pPr>
        <w:rPr>
          <w:bCs/>
        </w:rPr>
      </w:pPr>
      <w:r>
        <w:rPr>
          <w:bCs/>
        </w:rPr>
        <w:t xml:space="preserve">However, a single trial of a binary choice task never reveals exactly the value of one option in terms of the other. A subject can only choose </w:t>
      </w:r>
      <w:r>
        <w:rPr>
          <w:bCs/>
          <w:i/>
        </w:rPr>
        <w:t>between</w:t>
      </w:r>
      <w:r>
        <w:rPr>
          <w:bCs/>
        </w:rPr>
        <w:t xml:space="preserve"> options, and not </w:t>
      </w:r>
      <w:r>
        <w:rPr>
          <w:bCs/>
          <w:i/>
        </w:rPr>
        <w:t>in terms of</w:t>
      </w:r>
      <w:r>
        <w:rPr>
          <w:bCs/>
        </w:rPr>
        <w:t xml:space="preserve"> them. A simple experiment that offered a participant an amount </w:t>
      </w:r>
      <m:oMath>
        <m:r>
          <m:rPr>
            <m:sty m:val="bi"/>
          </m:rPr>
          <w:rPr>
            <w:rFonts w:ascii="Cambria Math" w:hAnsi="Cambria Math"/>
          </w:rPr>
          <m:t>X</m:t>
        </m:r>
      </m:oMath>
      <w:r>
        <w:rPr>
          <w:bCs/>
        </w:rPr>
        <w:t xml:space="preserve"> of good </w:t>
      </w:r>
      <m:oMath>
        <m:r>
          <m:rPr>
            <m:sty m:val="bi"/>
          </m:rPr>
          <w:rPr>
            <w:rFonts w:ascii="Cambria Math" w:hAnsi="Cambria Math"/>
          </w:rPr>
          <m:t>A</m:t>
        </m:r>
      </m:oMath>
      <w:r>
        <w:rPr>
          <w:bCs/>
        </w:rPr>
        <w:t xml:space="preserve">, and an amount </w:t>
      </w:r>
      <m:oMath>
        <m:r>
          <m:rPr>
            <m:sty m:val="bi"/>
          </m:rPr>
          <w:rPr>
            <w:rFonts w:ascii="Cambria Math" w:hAnsi="Cambria Math"/>
          </w:rPr>
          <m:t>Y</m:t>
        </m:r>
      </m:oMath>
      <w:r>
        <w:rPr>
          <w:bCs/>
        </w:rPr>
        <w:t xml:space="preserve"> of good </w:t>
      </w:r>
      <m:oMath>
        <m:r>
          <m:rPr>
            <m:sty m:val="bi"/>
          </m:rPr>
          <w:rPr>
            <w:rFonts w:ascii="Cambria Math" w:hAnsi="Cambria Math"/>
          </w:rPr>
          <m:t>B</m:t>
        </m:r>
      </m:oMath>
      <w:r>
        <w:rPr>
          <w:rStyle w:val="FootnoteReference"/>
          <w:bCs/>
        </w:rPr>
        <w:footnoteReference w:id="29"/>
      </w:r>
      <w:r>
        <w:rPr>
          <w:bCs/>
        </w:rPr>
        <w:t xml:space="preserve"> only reveals which has the higher valuation, and not the values of </w:t>
      </w:r>
      <m:oMath>
        <m:r>
          <m:rPr>
            <m:sty m:val="bi"/>
          </m:rPr>
          <w:rPr>
            <w:rFonts w:ascii="Cambria Math" w:hAnsi="Cambria Math"/>
          </w:rPr>
          <m:t>X</m:t>
        </m:r>
      </m:oMath>
      <w:r>
        <w:rPr>
          <w:bCs/>
        </w:rPr>
        <w:t xml:space="preserve"> and </w:t>
      </w:r>
      <m:oMath>
        <m:r>
          <m:rPr>
            <m:sty m:val="bi"/>
          </m:rPr>
          <w:rPr>
            <w:rFonts w:ascii="Cambria Math" w:hAnsi="Cambria Math"/>
          </w:rPr>
          <m:t>Y</m:t>
        </m:r>
      </m:oMath>
      <w:r>
        <w:rPr>
          <w:bCs/>
        </w:rPr>
        <w:t xml:space="preserve"> for which </w:t>
      </w:r>
      <m:oMath>
        <m:r>
          <m:rPr>
            <m:sty m:val="bi"/>
          </m:rPr>
          <w:rPr>
            <w:rFonts w:ascii="Cambria Math" w:hAnsi="Cambria Math"/>
          </w:rPr>
          <m:t>X</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A == 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Pr>
          <w:bCs/>
        </w:rPr>
        <w:t xml:space="preserve">. </w:t>
      </w:r>
    </w:p>
    <w:p w14:paraId="630D3FD7" w14:textId="77777777" w:rsidR="00884E52" w:rsidRDefault="00884E52" w:rsidP="00884E52">
      <w:pPr>
        <w:rPr>
          <w:bCs/>
        </w:rPr>
      </w:pPr>
    </w:p>
    <w:p w14:paraId="0E56F6F9" w14:textId="77777777" w:rsidR="00884E52" w:rsidRDefault="00884E52" w:rsidP="00884E52">
      <w:pPr>
        <w:rPr>
          <w:bCs/>
        </w:rPr>
      </w:pPr>
      <w:r>
        <w:rPr>
          <w:bCs/>
        </w:rPr>
        <w:t xml:space="preserve">To calculate the numeraire- the quantity </w:t>
      </w:r>
      <m:oMath>
        <m:r>
          <m:rPr>
            <m:sty m:val="bi"/>
          </m:rPr>
          <w:rPr>
            <w:rFonts w:ascii="Cambria Math" w:hAnsi="Cambria Math"/>
          </w:rPr>
          <m:t>X</m:t>
        </m:r>
      </m:oMath>
      <w:r>
        <w:rPr>
          <w:bCs/>
        </w:rPr>
        <w:t xml:space="preserve"> for which </w:t>
      </w:r>
      <m:oMath>
        <m:r>
          <m:rPr>
            <m:sty m:val="bi"/>
          </m:rPr>
          <w:rPr>
            <w:rFonts w:ascii="Cambria Math" w:hAnsi="Cambria Math"/>
          </w:rPr>
          <m:t>Y</m:t>
        </m:r>
      </m:oMath>
      <w:r>
        <w:rPr>
          <w:bCs/>
        </w:rPr>
        <w:t xml:space="preserve"> is equal to 1- repeated choices between amounts of goods </w:t>
      </w:r>
      <m:oMath>
        <m:r>
          <m:rPr>
            <m:sty m:val="bi"/>
          </m:rPr>
          <w:rPr>
            <w:rFonts w:ascii="Cambria Math" w:hAnsi="Cambria Math"/>
          </w:rPr>
          <m:t>A</m:t>
        </m:r>
      </m:oMath>
      <w:r>
        <w:rPr>
          <w:bCs/>
        </w:rPr>
        <w:t xml:space="preserve"> and </w:t>
      </w:r>
      <m:oMath>
        <m:r>
          <m:rPr>
            <m:sty m:val="bi"/>
          </m:rPr>
          <w:rPr>
            <w:rFonts w:ascii="Cambria Math" w:hAnsi="Cambria Math"/>
          </w:rPr>
          <m:t>B</m:t>
        </m:r>
      </m:oMath>
      <w:r>
        <w:rPr>
          <w:bCs/>
        </w:rPr>
        <w:t xml:space="preserve"> are required. As valuation decisions (like all types of decisions) are noisy and even sometimes erroneous</w:t>
      </w:r>
      <w:r>
        <w:rPr>
          <w:rStyle w:val="FootnoteReference"/>
          <w:bCs/>
        </w:rPr>
        <w:footnoteReference w:id="30"/>
      </w:r>
      <w:r>
        <w:rPr>
          <w:bCs/>
        </w:rPr>
        <w:t xml:space="preserve">, a binomial function can be fitted to the choices. The midpoint of this logistic function can be taken as the </w:t>
      </w:r>
      <w:r>
        <w:rPr>
          <w:bCs/>
          <w:i/>
        </w:rPr>
        <w:t>indifference point</w:t>
      </w:r>
      <w:r>
        <w:rPr>
          <w:bCs/>
        </w:rPr>
        <w:t xml:space="preserve">, the values of </w:t>
      </w:r>
      <m:oMath>
        <m:r>
          <m:rPr>
            <m:sty m:val="bi"/>
          </m:rPr>
          <w:rPr>
            <w:rFonts w:ascii="Cambria Math" w:hAnsi="Cambria Math"/>
          </w:rPr>
          <m:t>X</m:t>
        </m:r>
      </m:oMath>
      <w:r>
        <w:rPr>
          <w:bCs/>
        </w:rPr>
        <w:t xml:space="preserve"> and </w:t>
      </w:r>
      <m:oMath>
        <m:r>
          <m:rPr>
            <m:sty m:val="bi"/>
          </m:rPr>
          <w:rPr>
            <w:rFonts w:ascii="Cambria Math" w:hAnsi="Cambria Math"/>
          </w:rPr>
          <m:t>Y</m:t>
        </m:r>
      </m:oMath>
      <w:r>
        <w:rPr>
          <w:bCs/>
        </w:rPr>
        <w:t xml:space="preserve"> for goods </w:t>
      </w:r>
      <m:oMath>
        <m:r>
          <m:rPr>
            <m:sty m:val="bi"/>
          </m:rPr>
          <w:rPr>
            <w:rFonts w:ascii="Cambria Math" w:hAnsi="Cambria Math"/>
          </w:rPr>
          <m:t>A</m:t>
        </m:r>
      </m:oMath>
      <w:r>
        <w:rPr>
          <w:bCs/>
        </w:rPr>
        <w:t xml:space="preserve"> and </w:t>
      </w:r>
      <m:oMath>
        <m:r>
          <m:rPr>
            <m:sty m:val="bi"/>
          </m:rPr>
          <w:rPr>
            <w:rFonts w:ascii="Cambria Math" w:hAnsi="Cambria Math"/>
          </w:rPr>
          <m:t>B</m:t>
        </m:r>
      </m:oMath>
      <w:r>
        <w:rPr>
          <w:bCs/>
        </w:rPr>
        <w:t xml:space="preserve"> where a subject is indifferent between the choices. I.e. both choices represent the same utility. Therefore, the equation </w:t>
      </w:r>
      <m:oMath>
        <m:r>
          <m:rPr>
            <m:sty m:val="bi"/>
          </m:rPr>
          <w:rPr>
            <w:rFonts w:ascii="Cambria Math" w:hAnsi="Cambria Math"/>
          </w:rPr>
          <m:t>X</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A == 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Pr>
          <w:bCs/>
        </w:rPr>
        <w:t xml:space="preserve"> is satisfied, and the values of </w:t>
      </w:r>
      <m:oMath>
        <m:r>
          <m:rPr>
            <m:sty m:val="bi"/>
          </m:rPr>
          <w:rPr>
            <w:rFonts w:ascii="Cambria Math" w:hAnsi="Cambria Math"/>
          </w:rPr>
          <m:t>X</m:t>
        </m:r>
      </m:oMath>
      <w:r>
        <w:rPr>
          <w:bCs/>
        </w:rPr>
        <w:t xml:space="preserve"> and </w:t>
      </w:r>
      <m:oMath>
        <m:r>
          <m:rPr>
            <m:sty m:val="bi"/>
          </m:rPr>
          <w:rPr>
            <w:rFonts w:ascii="Cambria Math" w:hAnsi="Cambria Math"/>
          </w:rPr>
          <m:t>Y</m:t>
        </m:r>
      </m:oMath>
      <w:r>
        <w:rPr>
          <w:bCs/>
        </w:rPr>
        <w:t xml:space="preserve"> can be derived and rearranged to calculate the value of good </w:t>
      </w:r>
      <m:oMath>
        <m:r>
          <m:rPr>
            <m:sty m:val="bi"/>
          </m:rPr>
          <w:rPr>
            <w:rFonts w:ascii="Cambria Math" w:hAnsi="Cambria Math"/>
          </w:rPr>
          <m:t>A</m:t>
        </m:r>
      </m:oMath>
      <w:r>
        <w:rPr>
          <w:bCs/>
        </w:rPr>
        <w:t xml:space="preserve"> in terms of a numeraire </w:t>
      </w:r>
      <m:oMath>
        <m:r>
          <m:rPr>
            <m:sty m:val="bi"/>
          </m:rPr>
          <w:rPr>
            <w:rFonts w:ascii="Cambria Math" w:hAnsi="Cambria Math"/>
          </w:rPr>
          <m:t>B</m:t>
        </m:r>
      </m:oMath>
      <w:r>
        <w:rPr>
          <w:bCs/>
        </w:rPr>
        <w:t>.</w:t>
      </w:r>
    </w:p>
    <w:p w14:paraId="394D5618" w14:textId="77777777" w:rsidR="00884E52" w:rsidRDefault="00884E52" w:rsidP="00884E52">
      <w:pPr>
        <w:rPr>
          <w:bCs/>
        </w:rPr>
      </w:pPr>
    </w:p>
    <w:p w14:paraId="66ECB3ED" w14:textId="77777777" w:rsidR="00884E52" w:rsidRDefault="00884E52" w:rsidP="00884E52">
      <w:pPr>
        <w:rPr>
          <w:bCs/>
        </w:rPr>
      </w:pPr>
      <w:r>
        <w:rPr>
          <w:bCs/>
        </w:rPr>
        <w:t>However, the nature of such a repeated measures task has three obvious limitations:</w:t>
      </w:r>
      <w:r>
        <w:rPr>
          <w:bCs/>
        </w:rPr>
        <w:br/>
      </w:r>
    </w:p>
    <w:p w14:paraId="21BF89CE" w14:textId="77777777" w:rsidR="00884E52" w:rsidRPr="000B5005" w:rsidRDefault="00884E52" w:rsidP="00884E52">
      <w:pPr>
        <w:widowControl w:val="0"/>
        <w:numPr>
          <w:ilvl w:val="0"/>
          <w:numId w:val="6"/>
        </w:numPr>
        <w:suppressAutoHyphens/>
        <w:spacing w:after="0" w:line="240" w:lineRule="auto"/>
        <w:rPr>
          <w:bCs/>
        </w:rPr>
      </w:pPr>
      <w:r w:rsidRPr="000B5005">
        <w:rPr>
          <w:bCs/>
        </w:rPr>
        <w:lastRenderedPageBreak/>
        <w:t xml:space="preserve">As the indifference point is interpolated, it is not uncommon for there not to be any choices made at the point </w:t>
      </w:r>
      <w:r>
        <w:rPr>
          <w:bCs/>
        </w:rPr>
        <w:t>where</w:t>
      </w:r>
      <w:r w:rsidRPr="000B5005">
        <w:rPr>
          <w:bCs/>
        </w:rPr>
        <w:t xml:space="preserve"> </w:t>
      </w:r>
      <m:oMath>
        <m:r>
          <m:rPr>
            <m:sty m:val="bi"/>
          </m:rPr>
          <w:rPr>
            <w:rFonts w:ascii="Cambria Math" w:hAnsi="Cambria Math"/>
          </w:rPr>
          <m:t>X</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A == 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sidRPr="000B5005">
        <w:rPr>
          <w:bCs/>
        </w:rPr>
        <w:t>. The indifference point is an estimate, not a truly observed equality.</w:t>
      </w:r>
      <w:r>
        <w:rPr>
          <w:bCs/>
        </w:rPr>
        <w:t xml:space="preserve"> In addition, any </w:t>
      </w:r>
      <w:r w:rsidRPr="000B5005">
        <w:rPr>
          <w:bCs/>
        </w:rPr>
        <w:t>errors in calculating the logistic fit over the observed points will lead to errors on th</w:t>
      </w:r>
      <w:r>
        <w:rPr>
          <w:bCs/>
        </w:rPr>
        <w:t>is</w:t>
      </w:r>
      <w:r w:rsidRPr="000B5005">
        <w:rPr>
          <w:bCs/>
        </w:rPr>
        <w:t xml:space="preserve"> estimate</w:t>
      </w:r>
      <w:r>
        <w:rPr>
          <w:bCs/>
        </w:rPr>
        <w:t>.</w:t>
      </w:r>
    </w:p>
    <w:p w14:paraId="4C165D3B" w14:textId="77777777" w:rsidR="00884E52" w:rsidRDefault="00884E52" w:rsidP="00884E52">
      <w:pPr>
        <w:widowControl w:val="0"/>
        <w:numPr>
          <w:ilvl w:val="0"/>
          <w:numId w:val="6"/>
        </w:numPr>
        <w:suppressAutoHyphens/>
        <w:spacing w:after="0" w:line="240" w:lineRule="auto"/>
        <w:rPr>
          <w:bCs/>
        </w:rPr>
      </w:pPr>
      <w:r>
        <w:rPr>
          <w:bCs/>
        </w:rPr>
        <w:t>To minimise this error, binary choice tasks require many trials to reduce the noise on any one repeated measure. Given a subject will only complete so many trials, in any binary choice experiment, the experimenter must trade-off the resolution of the probability of choices for any offer, and the number of different options to present.</w:t>
      </w:r>
    </w:p>
    <w:p w14:paraId="11037F85" w14:textId="77777777" w:rsidR="00884E52" w:rsidRPr="000B5005" w:rsidRDefault="00884E52" w:rsidP="00884E52">
      <w:pPr>
        <w:widowControl w:val="0"/>
        <w:numPr>
          <w:ilvl w:val="0"/>
          <w:numId w:val="6"/>
        </w:numPr>
        <w:suppressAutoHyphens/>
        <w:spacing w:after="0" w:line="240" w:lineRule="auto"/>
        <w:rPr>
          <w:bCs/>
        </w:rPr>
      </w:pPr>
      <w:r w:rsidRPr="000B5005">
        <w:rPr>
          <w:bCs/>
        </w:rPr>
        <w:t xml:space="preserve">As the experimenter increases the number of trials </w:t>
      </w:r>
      <w:r>
        <w:rPr>
          <w:bCs/>
        </w:rPr>
        <w:t>required from</w:t>
      </w:r>
      <w:r w:rsidRPr="000B5005">
        <w:rPr>
          <w:bCs/>
        </w:rPr>
        <w:t xml:space="preserve"> a subject, they also increase the time taken by a subject to complete a session. Holding the rewards for completing any single trial constant, this means that the subject </w:t>
      </w:r>
      <w:r>
        <w:rPr>
          <w:bCs/>
        </w:rPr>
        <w:t>may</w:t>
      </w:r>
      <w:r w:rsidRPr="000B5005">
        <w:rPr>
          <w:bCs/>
        </w:rPr>
        <w:t xml:space="preserve"> become more ‘sated’ with the payment from the task over time and the marginal utility of later trials will be lower than on identical earlier trials.</w:t>
      </w:r>
      <w:r>
        <w:rPr>
          <w:bCs/>
        </w:rPr>
        <w:t xml:space="preserve"> Even if they do not, participants bidding may chance as the novelty of the task wears off. In order to calculate utility, the average choices over a range of trials must be used and it must be assumed that the probability of choice between any two options remains constant over this range.</w:t>
      </w:r>
    </w:p>
    <w:p w14:paraId="4E3FD80C" w14:textId="77777777" w:rsidR="00884E52" w:rsidRPr="000B5005" w:rsidRDefault="00884E52" w:rsidP="00884E52">
      <w:pPr>
        <w:rPr>
          <w:bCs/>
        </w:rPr>
      </w:pPr>
    </w:p>
    <w:p w14:paraId="0250302F" w14:textId="77777777" w:rsidR="00884E52" w:rsidRDefault="00884E52" w:rsidP="00884E52">
      <w:pPr>
        <w:rPr>
          <w:bCs/>
        </w:rPr>
      </w:pPr>
      <w:r>
        <w:rPr>
          <w:bCs/>
        </w:rPr>
        <w:t xml:space="preserve">Examples of these 3 limitations are shown in figures 2.1a-c. For a real-life example, consider figure 2.7 which is redrawn from </w:t>
      </w:r>
      <w:r>
        <w:rPr>
          <w:bCs/>
        </w:rPr>
        <w:fldChar w:fldCharType="begin" w:fldLock="1"/>
      </w:r>
      <w:r>
        <w:rPr>
          <w:bCs/>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1951)","manualFormatting":"Mosteller &amp; Nogee","plainTextFormattedCitation":"(Mosteller &amp; Nogee, 1951)","previouslyFormattedCitation":"(Mosteller &amp; Nogee, 1951)"},"properties":{"noteIndex":0},"schema":"https://github.com/citation-style-language/schema/raw/master/csl-citation.json"}</w:instrText>
      </w:r>
      <w:r>
        <w:rPr>
          <w:bCs/>
        </w:rPr>
        <w:fldChar w:fldCharType="separate"/>
      </w:r>
      <w:r w:rsidRPr="001355E3">
        <w:rPr>
          <w:bCs/>
          <w:noProof/>
        </w:rPr>
        <w:t>Mosteller &amp; Nogee</w:t>
      </w:r>
      <w:r>
        <w:rPr>
          <w:bCs/>
        </w:rPr>
        <w:fldChar w:fldCharType="end"/>
      </w:r>
      <w:r>
        <w:rPr>
          <w:bCs/>
        </w:rPr>
        <w:t xml:space="preserve">’s attempt to measure the utility of monetary bets </w:t>
      </w:r>
      <w:r>
        <w:rPr>
          <w:bCs/>
        </w:rPr>
        <w:fldChar w:fldCharType="begin" w:fldLock="1"/>
      </w:r>
      <w:r>
        <w:rPr>
          <w:bCs/>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rPr>
          <w:bCs/>
        </w:rPr>
        <w:fldChar w:fldCharType="separate"/>
      </w:r>
      <w:r w:rsidRPr="00710FA5">
        <w:rPr>
          <w:bCs/>
          <w:noProof/>
        </w:rPr>
        <w:t>(Mosteller &amp; Nogee, 1951)</w:t>
      </w:r>
      <w:r>
        <w:rPr>
          <w:bCs/>
        </w:rPr>
        <w:fldChar w:fldCharType="end"/>
      </w:r>
      <w:r>
        <w:rPr>
          <w:bCs/>
        </w:rPr>
        <w:t>.</w:t>
      </w:r>
    </w:p>
    <w:p w14:paraId="59553D29" w14:textId="77777777" w:rsidR="00884E52" w:rsidRDefault="00884E52" w:rsidP="00884E52">
      <w:pPr>
        <w:rPr>
          <w:bCs/>
        </w:rPr>
      </w:pPr>
    </w:p>
    <w:p w14:paraId="36182FAE" w14:textId="77777777" w:rsidR="00884E52" w:rsidRDefault="00884E52" w:rsidP="00884E52">
      <w:pPr>
        <w:rPr>
          <w:bCs/>
        </w:rPr>
      </w:pPr>
      <w:r>
        <w:rPr>
          <w:bCs/>
        </w:rPr>
        <w:t xml:space="preserve">Ideally, we would use a task in which on every trial the subject states their exact subjective value of </w:t>
      </w:r>
      <m:oMath>
        <m:r>
          <m:rPr>
            <m:sty m:val="bi"/>
          </m:rPr>
          <w:rPr>
            <w:rFonts w:ascii="Cambria Math" w:hAnsi="Cambria Math"/>
          </w:rPr>
          <m:t>X</m:t>
        </m:r>
      </m:oMath>
      <w:r>
        <w:rPr>
          <w:bCs/>
        </w:rPr>
        <w:t xml:space="preserve"> for a given offer of </w:t>
      </w:r>
      <m:oMath>
        <m:r>
          <m:rPr>
            <m:sty m:val="bi"/>
          </m:rPr>
          <w:rPr>
            <w:rFonts w:ascii="Cambria Math" w:hAnsi="Arial" w:cs="Arial"/>
            <w:color w:val="202122"/>
            <w:shd w:val="clear" w:color="auto" w:fill="FDFDFD"/>
          </w:rPr>
          <m:t>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Pr>
          <w:bCs/>
        </w:rPr>
        <w:t xml:space="preserve">, that is, a subject would state their willingness-to-pay in terms of </w:t>
      </w:r>
      <m:oMath>
        <m:r>
          <m:rPr>
            <m:sty m:val="bi"/>
          </m:rPr>
          <w:rPr>
            <w:rFonts w:ascii="Cambria Math" w:hAnsi="Cambria Math"/>
          </w:rPr>
          <m:t>X</m:t>
        </m:r>
      </m:oMath>
      <w:r>
        <w:rPr>
          <w:b/>
          <w:i/>
          <w:iCs/>
        </w:rPr>
        <w:t xml:space="preserve"> </w:t>
      </w:r>
      <w:r>
        <w:rPr>
          <w:bCs/>
        </w:rPr>
        <w:t xml:space="preserve">for an amount </w:t>
      </w:r>
      <m:oMath>
        <m:r>
          <m:rPr>
            <m:sty m:val="bi"/>
          </m:rPr>
          <w:rPr>
            <w:rFonts w:ascii="Cambria Math" w:hAnsi="Cambria Math"/>
          </w:rPr>
          <m:t>Y</m:t>
        </m:r>
      </m:oMath>
      <w:r>
        <w:rPr>
          <w:bCs/>
        </w:rPr>
        <w:t xml:space="preserve"> of good </w:t>
      </w:r>
      <m:oMath>
        <m:r>
          <m:rPr>
            <m:sty m:val="bi"/>
          </m:rPr>
          <w:rPr>
            <w:rFonts w:ascii="Cambria Math" w:hAnsi="Cambria Math"/>
          </w:rPr>
          <m:t>B</m:t>
        </m:r>
      </m:oMath>
      <w:r>
        <w:rPr>
          <w:bCs/>
        </w:rPr>
        <w:t xml:space="preserve">.  Such tasks exist using auctions such as the Becker-DeGroot-Marshak (BDM) auction task which has been extensively studied by experimental economists researching human decision making. </w:t>
      </w:r>
    </w:p>
    <w:p w14:paraId="58E9F243" w14:textId="77777777" w:rsidR="00884E52" w:rsidRDefault="00884E52" w:rsidP="00884E52">
      <w:pPr>
        <w:rPr>
          <w:bCs/>
        </w:rPr>
      </w:pPr>
    </w:p>
    <w:p w14:paraId="21FFDC31" w14:textId="77777777" w:rsidR="00884E52" w:rsidRPr="008C0A7D" w:rsidRDefault="00884E52" w:rsidP="00884E52">
      <w:pPr>
        <w:rPr>
          <w:b/>
          <w:bCs/>
          <w:u w:val="single"/>
        </w:rPr>
      </w:pPr>
      <w:r>
        <w:rPr>
          <w:b/>
          <w:bCs/>
          <w:u w:val="single"/>
        </w:rPr>
        <w:t>A single trial method to measure utility</w:t>
      </w:r>
    </w:p>
    <w:p w14:paraId="6FAF1432" w14:textId="77777777" w:rsidR="00884E52" w:rsidRDefault="00884E52" w:rsidP="00884E52">
      <w:pPr>
        <w:rPr>
          <w:bCs/>
        </w:rPr>
      </w:pPr>
    </w:p>
    <w:p w14:paraId="2AA6BE8C" w14:textId="77777777" w:rsidR="00884E52" w:rsidRDefault="00884E52" w:rsidP="00884E52">
      <w:pPr>
        <w:rPr>
          <w:bCs/>
        </w:rPr>
      </w:pPr>
      <w:r>
        <w:rPr>
          <w:bCs/>
        </w:rPr>
        <w:t xml:space="preserve">The concept of the BDM was first defined in a 1961 theoretical paper by William Vickrey </w:t>
      </w:r>
      <w:r>
        <w:rPr>
          <w:bCs/>
        </w:rPr>
        <w:fldChar w:fldCharType="begin" w:fldLock="1"/>
      </w:r>
      <w:r>
        <w:rPr>
          <w:bCs/>
        </w:rPr>
        <w:instrText>ADDIN CSL_CITATION {"citationItems":[{"id":"ITEM-1","itemData":{"author":[{"dropping-particle":"","family":"Vickrey","given":"William","non-dropping-particle":"","parse-names":false,"suffix":""}],"id":"ITEM-1","issue":"1","issued":{"date-parts":[["1961"]]},"page":"8-37","title":"American Finance Association Counterspeculation , Auctions , and Competitive Sealed Tenders Author ( s ): William Vickrey Source : The Journal of Finance , Vol . 16 , No . 1 ( Mar ., 1961 ), pp . 8-37 Published by : Wiley for the American Finance Associat","type":"article-journal","volume":"16"},"uris":["http://www.mendeley.com/documents/?uuid=51db9574-1483-488d-afc7-f6ea7a7b5ad5"]}],"mendeley":{"formattedCitation":"(Vickrey, 1961)","plainTextFormattedCitation":"(Vickrey, 1961)","previouslyFormattedCitation":"(Vickrey, 1961)"},"properties":{"noteIndex":0},"schema":"https://github.com/citation-style-language/schema/raw/master/csl-citation.json"}</w:instrText>
      </w:r>
      <w:r>
        <w:rPr>
          <w:bCs/>
        </w:rPr>
        <w:fldChar w:fldCharType="separate"/>
      </w:r>
      <w:r w:rsidRPr="00A32722">
        <w:rPr>
          <w:bCs/>
          <w:noProof/>
        </w:rPr>
        <w:t>(Vickrey, 1961)</w:t>
      </w:r>
      <w:r>
        <w:rPr>
          <w:bCs/>
        </w:rPr>
        <w:fldChar w:fldCharType="end"/>
      </w:r>
      <w:r>
        <w:rPr>
          <w:bCs/>
        </w:rPr>
        <w:t xml:space="preserve">,  but takes its name from the authors of a 1964 paper in which human subjects were given wagers with the chance to win </w:t>
      </w:r>
      <m:oMath>
        <m:r>
          <m:rPr>
            <m:sty m:val="bi"/>
          </m:rPr>
          <w:rPr>
            <w:rFonts w:ascii="Cambria Math" w:hAnsi="Cambria Math"/>
          </w:rPr>
          <m:t>$W</m:t>
        </m:r>
      </m:oMath>
      <w:r>
        <w:rPr>
          <w:bCs/>
        </w:rPr>
        <w:t xml:space="preserve"> in the case of an event </w:t>
      </w:r>
      <m:oMath>
        <m:r>
          <m:rPr>
            <m:sty m:val="bi"/>
          </m:rPr>
          <w:rPr>
            <w:rFonts w:ascii="Cambria Math" w:hAnsi="Cambria Math"/>
          </w:rPr>
          <m:t>p</m:t>
        </m:r>
      </m:oMath>
      <w:r>
        <w:rPr>
          <w:bCs/>
        </w:rPr>
        <w:t xml:space="preserve">, and </w:t>
      </w:r>
      <m:oMath>
        <m:r>
          <m:rPr>
            <m:sty m:val="bi"/>
          </m:rPr>
          <w:rPr>
            <w:rFonts w:ascii="Cambria Math" w:hAnsi="Cambria Math"/>
          </w:rPr>
          <m:t>$L</m:t>
        </m:r>
      </m:oMath>
      <w:r>
        <w:rPr>
          <w:bCs/>
        </w:rPr>
        <w:t xml:space="preserve"> otherwise </w:t>
      </w:r>
      <m:oMath>
        <m:r>
          <m:rPr>
            <m:sty m:val="bi"/>
          </m:rPr>
          <w:rPr>
            <w:rFonts w:ascii="Cambria Math" w:hAnsi="Cambria Math"/>
          </w:rPr>
          <m:t>(1-p)</m:t>
        </m:r>
      </m:oMath>
      <w:r>
        <w:rPr>
          <w:bCs/>
        </w:rPr>
        <w:t xml:space="preserve"> where </w:t>
      </w:r>
      <m:oMath>
        <m:r>
          <m:rPr>
            <m:sty m:val="bi"/>
          </m:rPr>
          <w:rPr>
            <w:rFonts w:ascii="Cambria Math" w:hAnsi="Cambria Math"/>
          </w:rPr>
          <m:t>$W</m:t>
        </m:r>
      </m:oMath>
      <w:r>
        <w:rPr>
          <w:bCs/>
        </w:rPr>
        <w:t xml:space="preserve"> is greater than </w:t>
      </w:r>
      <m:oMath>
        <m:r>
          <m:rPr>
            <m:sty m:val="bi"/>
          </m:rPr>
          <w:rPr>
            <w:rFonts w:ascii="Cambria Math" w:hAnsi="Cambria Math"/>
          </w:rPr>
          <m:t>$L</m:t>
        </m:r>
      </m:oMath>
      <w:r>
        <w:rPr>
          <w:b/>
          <w:i/>
          <w:iCs/>
        </w:rPr>
        <w:t xml:space="preserve"> </w:t>
      </w:r>
      <w:r>
        <w:rPr>
          <w:b/>
          <w:i/>
          <w:iCs/>
        </w:rPr>
        <w:fldChar w:fldCharType="begin" w:fldLock="1"/>
      </w:r>
      <w:r>
        <w:rPr>
          <w:b/>
          <w:i/>
          <w:iCs/>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1964)","plainTextFormattedCitation":"(Becker et al., 1964)","previouslyFormattedCitation":"(Becker et al., 1964)"},"properties":{"noteIndex":0},"schema":"https://github.com/citation-style-language/schema/raw/master/csl-citation.json"}</w:instrText>
      </w:r>
      <w:r>
        <w:rPr>
          <w:b/>
          <w:i/>
          <w:iCs/>
        </w:rPr>
        <w:fldChar w:fldCharType="separate"/>
      </w:r>
      <w:r w:rsidRPr="00A32722">
        <w:rPr>
          <w:iCs/>
          <w:noProof/>
        </w:rPr>
        <w:t>(Becker et al., 1964)</w:t>
      </w:r>
      <w:r>
        <w:rPr>
          <w:b/>
          <w:i/>
          <w:iCs/>
        </w:rPr>
        <w:fldChar w:fldCharType="end"/>
      </w:r>
      <w:r>
        <w:rPr>
          <w:bCs/>
        </w:rPr>
        <w:t>.</w:t>
      </w:r>
    </w:p>
    <w:p w14:paraId="59E8C86A" w14:textId="77777777" w:rsidR="00884E52" w:rsidRDefault="00884E52" w:rsidP="00884E52">
      <w:pPr>
        <w:rPr>
          <w:bCs/>
        </w:rPr>
      </w:pPr>
    </w:p>
    <w:p w14:paraId="525D7641" w14:textId="77777777" w:rsidR="00884E52" w:rsidRDefault="00884E52" w:rsidP="00884E52">
      <w:pPr>
        <w:rPr>
          <w:bCs/>
        </w:rPr>
      </w:pPr>
      <w:r>
        <w:rPr>
          <w:bCs/>
        </w:rPr>
        <w:t xml:space="preserve">For each of these wagers, the subjects were asked to give a price </w:t>
      </w:r>
      <m:oMath>
        <m:r>
          <m:rPr>
            <m:sty m:val="bi"/>
          </m:rPr>
          <w:rPr>
            <w:rFonts w:ascii="Cambria Math" w:hAnsi="Cambria Math"/>
          </w:rPr>
          <m:t>$X</m:t>
        </m:r>
      </m:oMath>
      <w:r>
        <w:rPr>
          <w:bCs/>
        </w:rPr>
        <w:t xml:space="preserve"> which is the lowest amount of money they would accept to sell the wager. This price is the subject’s </w:t>
      </w:r>
      <w:r>
        <w:rPr>
          <w:bCs/>
          <w:i/>
          <w:iCs/>
        </w:rPr>
        <w:t xml:space="preserve">willingness to accept </w:t>
      </w:r>
      <w:r>
        <w:rPr>
          <w:bCs/>
        </w:rPr>
        <w:t xml:space="preserve">(WTA) and is clearly a function of the value the subject places upon the wager given to them. After, a random number representing a buyer’s bid </w:t>
      </w:r>
      <m:oMath>
        <m:r>
          <m:rPr>
            <m:sty m:val="bi"/>
          </m:rPr>
          <w:rPr>
            <w:rFonts w:ascii="Cambria Math" w:hAnsi="Cambria Math"/>
          </w:rPr>
          <m:t>$Y</m:t>
        </m:r>
      </m:oMath>
      <w:r>
        <w:rPr>
          <w:bCs/>
        </w:rPr>
        <w:t xml:space="preserve"> is drawn, and if this number is greater than the participant’s WTA </w:t>
      </w:r>
      <m:oMath>
        <m:r>
          <m:rPr>
            <m:sty m:val="bi"/>
          </m:rPr>
          <w:rPr>
            <w:rFonts w:ascii="Cambria Math" w:hAnsi="Cambria Math"/>
          </w:rPr>
          <m:t>$X</m:t>
        </m:r>
      </m:oMath>
      <w:r>
        <w:rPr>
          <w:bCs/>
        </w:rPr>
        <w:t xml:space="preserve">, the subject receives </w:t>
      </w:r>
      <m:oMath>
        <m:r>
          <m:rPr>
            <m:sty m:val="bi"/>
          </m:rPr>
          <w:rPr>
            <w:rFonts w:ascii="Cambria Math" w:hAnsi="Cambria Math"/>
          </w:rPr>
          <m:t>$Y</m:t>
        </m:r>
      </m:oMath>
      <w:r>
        <w:rPr>
          <w:bCs/>
        </w:rPr>
        <w:t xml:space="preserve"> dollars, otherwise the wager is resolved and the subject wins either </w:t>
      </w:r>
      <m:oMath>
        <m:r>
          <m:rPr>
            <m:sty m:val="bi"/>
          </m:rPr>
          <w:rPr>
            <w:rFonts w:ascii="Cambria Math" w:hAnsi="Cambria Math"/>
          </w:rPr>
          <m:t>$W</m:t>
        </m:r>
      </m:oMath>
      <w:r>
        <w:rPr>
          <w:bCs/>
        </w:rPr>
        <w:t xml:space="preserve"> or </w:t>
      </w:r>
      <m:oMath>
        <m:r>
          <m:rPr>
            <m:sty m:val="bi"/>
          </m:rPr>
          <w:rPr>
            <w:rFonts w:ascii="Cambria Math" w:hAnsi="Cambria Math"/>
          </w:rPr>
          <m:t>$L</m:t>
        </m:r>
      </m:oMath>
      <w:r>
        <w:rPr>
          <w:bCs/>
        </w:rPr>
        <w:t xml:space="preserve"> depending on the outcome.</w:t>
      </w:r>
    </w:p>
    <w:p w14:paraId="668E7D18" w14:textId="77777777" w:rsidR="00884E52" w:rsidRDefault="00884E52" w:rsidP="00884E52">
      <w:pPr>
        <w:rPr>
          <w:bCs/>
        </w:rPr>
      </w:pPr>
    </w:p>
    <w:p w14:paraId="0361E7A0" w14:textId="77777777" w:rsidR="00884E52" w:rsidRDefault="00884E52" w:rsidP="00884E52">
      <w:pPr>
        <w:rPr>
          <w:bCs/>
        </w:rPr>
      </w:pPr>
      <w:r>
        <w:rPr>
          <w:bCs/>
        </w:rPr>
        <w:t xml:space="preserve">This WTA value can also be described as the subject’s </w:t>
      </w:r>
      <w:r>
        <w:rPr>
          <w:bCs/>
          <w:i/>
          <w:iCs/>
        </w:rPr>
        <w:t>certainty equivalent</w:t>
      </w:r>
      <w:r>
        <w:rPr>
          <w:bCs/>
        </w:rPr>
        <w:t>. It is the amount (in this example the monetary selling price) of a good they are content to receive with complete certainty. For a utility maximiser, they should only be satisfied so long as the utility of the CE is equal to the utility of all possible outcomes (</w:t>
      </w:r>
      <m:oMath>
        <m:r>
          <m:rPr>
            <m:sty m:val="bi"/>
          </m:rPr>
          <w:rPr>
            <w:rFonts w:ascii="Cambria Math" w:hAnsi="Cambria Math"/>
          </w:rPr>
          <m:t>O</m:t>
        </m:r>
      </m:oMath>
      <w:r>
        <w:rPr>
          <w:bCs/>
        </w:rPr>
        <w:t>) of a trial multiplied by their probability.</w:t>
      </w:r>
    </w:p>
    <w:p w14:paraId="5DFF99CC" w14:textId="77777777" w:rsidR="00884E52" w:rsidRDefault="00884E52" w:rsidP="00884E52">
      <w:pPr>
        <w:rPr>
          <w:bCs/>
        </w:rPr>
      </w:pPr>
    </w:p>
    <w:p w14:paraId="31BC1B8D" w14:textId="77777777" w:rsidR="00884E52" w:rsidRDefault="00884E52" w:rsidP="00884E52">
      <w:pPr>
        <w:pStyle w:val="Caption"/>
        <w:keepNext/>
      </w:pPr>
      <w:r>
        <w:t>Equation 2.</w:t>
      </w:r>
      <w:r w:rsidR="004540CE">
        <w:fldChar w:fldCharType="begin"/>
      </w:r>
      <w:r w:rsidR="004540CE">
        <w:instrText xml:space="preserve"> SEQ Equation \* ARABIC </w:instrText>
      </w:r>
      <w:r w:rsidR="004540CE">
        <w:fldChar w:fldCharType="separate"/>
      </w:r>
      <w:r>
        <w:rPr>
          <w:noProof/>
        </w:rPr>
        <w:t>1</w:t>
      </w:r>
      <w:r w:rsidR="004540CE">
        <w:rPr>
          <w:noProof/>
        </w:rPr>
        <w:fldChar w:fldCharType="end"/>
      </w:r>
    </w:p>
    <w:p w14:paraId="1879AE0B" w14:textId="77777777" w:rsidR="00884E52" w:rsidRPr="00C76049" w:rsidRDefault="004540CE" w:rsidP="00884E52">
      <w:pPr>
        <w:rPr>
          <w:bCs/>
          <w:i/>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(CE) = </m:t>
          </m:r>
          <m:sSub>
            <m:sSubPr>
              <m:ctrlPr>
                <w:rPr>
                  <w:rFonts w:ascii="Cambria Math" w:hAnsi="Cambria Math"/>
                  <w:bCs/>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d>
          <m:r>
            <w:rPr>
              <w:rFonts w:ascii="Cambria Math" w:hAnsi="Cambria Math"/>
            </w:rPr>
            <m:t xml:space="preserve"> + </m:t>
          </m:r>
          <m:sSub>
            <m:sSubPr>
              <m:ctrlPr>
                <w:rPr>
                  <w:rFonts w:ascii="Cambria Math" w:hAnsi="Cambria Math"/>
                  <w:bCs/>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e>
          </m:d>
          <m:r>
            <w:rPr>
              <w:rFonts w:ascii="Cambria Math" w:hAnsi="Cambria Math"/>
            </w:rPr>
            <m:t xml:space="preserve">  + </m:t>
          </m:r>
          <m:sSub>
            <m:sSubPr>
              <m:ctrlPr>
                <w:rPr>
                  <w:rFonts w:ascii="Cambria Math" w:hAnsi="Cambria Math"/>
                  <w:bCs/>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e>
          </m:d>
          <m:r>
            <w:rPr>
              <w:rFonts w:ascii="Cambria Math" w:hAnsi="Cambria Math"/>
            </w:rPr>
            <m:t xml:space="preserve">  + ...</m:t>
          </m:r>
          <m:sSub>
            <m:sSubPr>
              <m:ctrlPr>
                <w:rPr>
                  <w:rFonts w:ascii="Cambria Math" w:hAnsi="Cambria Math"/>
                  <w:bCs/>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n</m:t>
                  </m:r>
                </m:sub>
              </m:sSub>
            </m:e>
          </m:d>
          <m:r>
            <w:rPr>
              <w:rFonts w:ascii="Cambria Math" w:hAnsi="Cambria Math"/>
            </w:rPr>
            <m:t xml:space="preserve">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oMath>
      </m:oMathPara>
    </w:p>
    <w:p w14:paraId="0F1689DB" w14:textId="77777777" w:rsidR="00884E52" w:rsidRDefault="00884E52" w:rsidP="00884E52">
      <w:pPr>
        <w:rPr>
          <w:bCs/>
        </w:rPr>
      </w:pPr>
    </w:p>
    <w:p w14:paraId="6EB35053" w14:textId="77777777" w:rsidR="00884E52" w:rsidRDefault="00884E52" w:rsidP="00884E52">
      <w:pPr>
        <w:rPr>
          <w:bCs/>
        </w:rPr>
      </w:pPr>
      <w:r>
        <w:rPr>
          <w:bCs/>
        </w:rPr>
        <w:t>Where</w:t>
      </w:r>
      <w:r w:rsidRPr="006A1B06">
        <w:rPr>
          <w:b/>
          <w:bCs/>
        </w:rPr>
        <w:t xml:space="preserv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b/>
          <w:bCs/>
        </w:rPr>
        <w:t xml:space="preserve"> </w:t>
      </w:r>
      <w:r>
        <w:t xml:space="preserve">is the utility a single subject places upon each outcome. </w:t>
      </w:r>
      <w:r>
        <w:rPr>
          <w:bCs/>
        </w:rPr>
        <w:t xml:space="preserve">In the wager selling task with two potential outcomes (win the bet with probability </w:t>
      </w:r>
      <m:oMath>
        <m:r>
          <m:rPr>
            <m:sty m:val="bi"/>
          </m:rPr>
          <w:rPr>
            <w:rFonts w:ascii="Cambria Math" w:hAnsi="Cambria Math"/>
          </w:rPr>
          <m:t>p</m:t>
        </m:r>
      </m:oMath>
      <w:r>
        <w:rPr>
          <w:bCs/>
        </w:rPr>
        <w:t xml:space="preserve">, or lose with probability </w:t>
      </w:r>
      <m:oMath>
        <m:r>
          <m:rPr>
            <m:sty m:val="bi"/>
          </m:rPr>
          <w:rPr>
            <w:rFonts w:ascii="Cambria Math" w:hAnsi="Cambria Math"/>
          </w:rPr>
          <m:t>1-p</m:t>
        </m:r>
      </m:oMath>
      <w:r>
        <w:rPr>
          <w:bCs/>
        </w:rPr>
        <w:t>) this resolves to</w:t>
      </w:r>
    </w:p>
    <w:p w14:paraId="701D8213" w14:textId="77777777" w:rsidR="00884E52" w:rsidRDefault="00884E52" w:rsidP="00884E52">
      <w:pPr>
        <w:rPr>
          <w:bCs/>
        </w:rPr>
      </w:pPr>
    </w:p>
    <w:p w14:paraId="371411E8" w14:textId="77777777" w:rsidR="00884E52" w:rsidRDefault="00884E52" w:rsidP="00884E52">
      <w:pPr>
        <w:pStyle w:val="Caption"/>
        <w:keepNext/>
      </w:pPr>
      <w:r>
        <w:t>Equation 2.</w:t>
      </w:r>
      <w:r w:rsidR="004540CE">
        <w:fldChar w:fldCharType="begin"/>
      </w:r>
      <w:r w:rsidR="004540CE">
        <w:instrText xml:space="preserve"> SEQ Equation \* ARABIC </w:instrText>
      </w:r>
      <w:r w:rsidR="004540CE">
        <w:fldChar w:fldCharType="separate"/>
      </w:r>
      <w:r>
        <w:rPr>
          <w:noProof/>
        </w:rPr>
        <w:t>2</w:t>
      </w:r>
      <w:r w:rsidR="004540CE">
        <w:rPr>
          <w:noProof/>
        </w:rPr>
        <w:fldChar w:fldCharType="end"/>
      </w:r>
    </w:p>
    <w:p w14:paraId="17FFC6A1" w14:textId="77777777" w:rsidR="00884E52" w:rsidRPr="00C76049" w:rsidRDefault="004540CE" w:rsidP="00884E52">
      <w:pPr>
        <w:rPr>
          <w:bCs/>
          <w:i/>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(CE) = </m:t>
          </m:r>
          <m:sSub>
            <m:sSubPr>
              <m:ctrlPr>
                <w:rPr>
                  <w:rFonts w:ascii="Cambria Math" w:hAnsi="Cambria Math"/>
                  <w:bCs/>
                  <w:i/>
                </w:rPr>
              </m:ctrlPr>
            </m:sSubPr>
            <m:e>
              <m:r>
                <w:rPr>
                  <w:rFonts w:ascii="Cambria Math" w:hAnsi="Cambria Math"/>
                </w:rPr>
                <m:t>p</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 xml:space="preserve"> + </m:t>
          </m:r>
          <m:sSub>
            <m:sSubPr>
              <m:ctrlPr>
                <w:rPr>
                  <w:rFonts w:ascii="Cambria Math" w:hAnsi="Cambria Math"/>
                  <w:bCs/>
                  <w:i/>
                </w:rPr>
              </m:ctrlPr>
            </m:sSubPr>
            <m:e>
              <m:r>
                <w:rPr>
                  <w:rFonts w:ascii="Cambria Math" w:hAnsi="Cambria Math"/>
                </w:rPr>
                <m:t>(1 - p</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L</m:t>
              </m:r>
            </m:e>
          </m:d>
          <m:r>
            <w:rPr>
              <w:rFonts w:ascii="Cambria Math" w:hAnsi="Cambria Math"/>
            </w:rPr>
            <m:t xml:space="preserve">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($X) </m:t>
          </m:r>
        </m:oMath>
      </m:oMathPara>
    </w:p>
    <w:p w14:paraId="4A73BDB1" w14:textId="77777777" w:rsidR="00884E52" w:rsidRDefault="00884E52" w:rsidP="00884E52">
      <w:pPr>
        <w:rPr>
          <w:bCs/>
        </w:rPr>
      </w:pPr>
    </w:p>
    <w:p w14:paraId="554119C6" w14:textId="77777777" w:rsidR="00884E52" w:rsidRDefault="00884E52" w:rsidP="00884E52">
      <w:pPr>
        <w:rPr>
          <w:bCs/>
        </w:rPr>
      </w:pPr>
      <w:r>
        <w:rPr>
          <w:bCs/>
        </w:rPr>
        <w:t xml:space="preserve">In a reversed task where participants bid for an auctioned good, it should be clear that the certainty equivalent, in this case a </w:t>
      </w:r>
      <w:r>
        <w:rPr>
          <w:bCs/>
          <w:i/>
          <w:iCs/>
        </w:rPr>
        <w:t>willingness to pay</w:t>
      </w:r>
      <w:r>
        <w:rPr>
          <w:bCs/>
        </w:rPr>
        <w:t xml:space="preserve">, should remain the same for each participant as on each trial the participant can either win or lose the auction with a probability </w:t>
      </w:r>
      <m:oMath>
        <m:r>
          <m:rPr>
            <m:sty m:val="bi"/>
          </m:rPr>
          <w:rPr>
            <w:rFonts w:ascii="Cambria Math" w:hAnsi="Cambria Math"/>
          </w:rPr>
          <m:t>p</m:t>
        </m:r>
      </m:oMath>
      <w:r>
        <w:rPr>
          <w:bCs/>
        </w:rPr>
        <w:t xml:space="preserve"> or </w:t>
      </w:r>
      <m:oMath>
        <m:r>
          <m:rPr>
            <m:sty m:val="bi"/>
          </m:rPr>
          <w:rPr>
            <w:rFonts w:ascii="Cambria Math" w:hAnsi="Cambria Math"/>
          </w:rPr>
          <m:t>1-p</m:t>
        </m:r>
      </m:oMath>
      <w:r>
        <w:rPr>
          <w:bCs/>
        </w:rPr>
        <w:t xml:space="preserve">. The reverse of selling a wager for at least as much as a price </w:t>
      </w:r>
      <m:oMath>
        <m:r>
          <m:rPr>
            <m:sty m:val="bi"/>
          </m:rPr>
          <w:rPr>
            <w:rFonts w:ascii="Cambria Math" w:hAnsi="Cambria Math"/>
          </w:rPr>
          <m:t>$X</m:t>
        </m:r>
      </m:oMath>
      <w:r>
        <w:rPr>
          <w:bCs/>
        </w:rPr>
        <w:t xml:space="preserve">, is the same as buying entry to that wager with at most a price </w:t>
      </w:r>
      <m:oMath>
        <m:r>
          <m:rPr>
            <m:sty m:val="bi"/>
          </m:rPr>
          <w:rPr>
            <w:rFonts w:ascii="Cambria Math" w:hAnsi="Cambria Math"/>
          </w:rPr>
          <m:t>$X</m:t>
        </m:r>
      </m:oMath>
      <w:r>
        <w:rPr>
          <w:bCs/>
        </w:rPr>
        <w:t xml:space="preserve">. The randomly drawn buyer’s offer </w:t>
      </w:r>
      <m:oMath>
        <m:r>
          <m:rPr>
            <m:sty m:val="bi"/>
          </m:rPr>
          <w:rPr>
            <w:rFonts w:ascii="Cambria Math" w:hAnsi="Cambria Math"/>
          </w:rPr>
          <m:t>$Y</m:t>
        </m:r>
      </m:oMath>
      <w:r>
        <w:rPr>
          <w:bCs/>
        </w:rPr>
        <w:t xml:space="preserve"> is in this case a randomly drawn </w:t>
      </w:r>
      <w:r w:rsidRPr="005179E3">
        <w:rPr>
          <w:bCs/>
          <w:i/>
          <w:iCs/>
        </w:rPr>
        <w:t>second</w:t>
      </w:r>
      <w:r>
        <w:rPr>
          <w:bCs/>
        </w:rPr>
        <w:t xml:space="preserve"> buyer’s price </w:t>
      </w:r>
      <m:oMath>
        <m:r>
          <m:rPr>
            <m:sty m:val="bi"/>
          </m:rPr>
          <w:rPr>
            <w:rFonts w:ascii="Cambria Math" w:hAnsi="Cambria Math"/>
          </w:rPr>
          <m:t>$Y</m:t>
        </m:r>
      </m:oMath>
      <w:r>
        <w:rPr>
          <w:bCs/>
        </w:rPr>
        <w:t xml:space="preserve"> which the subject pays.</w:t>
      </w:r>
    </w:p>
    <w:p w14:paraId="3D869F0A" w14:textId="77777777" w:rsidR="00884E52" w:rsidRDefault="00884E52" w:rsidP="00884E52">
      <w:pPr>
        <w:rPr>
          <w:bCs/>
        </w:rPr>
      </w:pPr>
    </w:p>
    <w:p w14:paraId="709021DD" w14:textId="77777777" w:rsidR="00884E52" w:rsidRDefault="00884E52" w:rsidP="00884E52">
      <w:pPr>
        <w:rPr>
          <w:bCs/>
        </w:rPr>
      </w:pPr>
      <w:r>
        <w:rPr>
          <w:bCs/>
        </w:rPr>
        <w:t xml:space="preserve">This is equivalent to a sealed second price auction, in which the participant who bids highest for a good, wins the auction and pays the </w:t>
      </w:r>
      <w:r w:rsidRPr="009C2A08">
        <w:rPr>
          <w:bCs/>
          <w:i/>
          <w:iCs/>
          <w:u w:val="single"/>
        </w:rPr>
        <w:t>second</w:t>
      </w:r>
      <w:r>
        <w:rPr>
          <w:bCs/>
        </w:rPr>
        <w:t xml:space="preserve"> highest bid to obtain their reward. All other participants neither pay nor win anything.</w:t>
      </w:r>
    </w:p>
    <w:p w14:paraId="64701651" w14:textId="77777777" w:rsidR="00884E52" w:rsidRDefault="00884E52" w:rsidP="00884E52">
      <w:pPr>
        <w:rPr>
          <w:bCs/>
        </w:rPr>
      </w:pPr>
    </w:p>
    <w:p w14:paraId="3B150528" w14:textId="77777777" w:rsidR="00884E52" w:rsidRDefault="00884E52" w:rsidP="00884E52">
      <w:pPr>
        <w:rPr>
          <w:bCs/>
        </w:rPr>
      </w:pPr>
      <w:r>
        <w:rPr>
          <w:bCs/>
        </w:rPr>
        <w:t>In such a sealed second price auction, the weakly-dominant strategy is always to bid exactly the value of the good being auctioned. A participant who follows this strategy will never have any ‘regret’ about their bid; there exists no bid that could yield more utility from the trial</w:t>
      </w:r>
      <w:r>
        <w:rPr>
          <w:rStyle w:val="FootnoteReference"/>
          <w:bCs/>
        </w:rPr>
        <w:footnoteReference w:id="31"/>
      </w:r>
      <w:r>
        <w:rPr>
          <w:bCs/>
        </w:rPr>
        <w:t>. In contrast, all other potential bids have the potential for such regret by either yielding negative utility (overpaying for the reward), or net zero utility where the possibility of positive utility was present. This is a counterintuitive finding but is explained in figure 2.2 and in the paragraph below:</w:t>
      </w:r>
    </w:p>
    <w:p w14:paraId="3073A04E" w14:textId="77777777" w:rsidR="00884E52" w:rsidRDefault="00884E52" w:rsidP="00884E52">
      <w:pPr>
        <w:rPr>
          <w:bCs/>
        </w:rPr>
      </w:pPr>
    </w:p>
    <w:p w14:paraId="5ED9A2D5" w14:textId="77777777" w:rsidR="00884E52" w:rsidRDefault="00884E52" w:rsidP="00884E52">
      <w:pPr>
        <w:rPr>
          <w:bCs/>
          <w:i/>
        </w:rPr>
      </w:pPr>
      <w:r>
        <w:rPr>
          <w:bCs/>
          <w:i/>
        </w:rPr>
        <w:t xml:space="preserve">Imagine a subject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1</m:t>
            </m:r>
          </m:sub>
        </m:sSub>
      </m:oMath>
      <w:r>
        <w:rPr>
          <w:b/>
          <w:i/>
        </w:rPr>
        <w:t xml:space="preserve"> </w:t>
      </w:r>
      <w:r>
        <w:rPr>
          <w:bCs/>
          <w:i/>
        </w:rPr>
        <w:t xml:space="preserve">bidding against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2...n</m:t>
            </m:r>
          </m:sub>
        </m:sSub>
      </m:oMath>
      <w:r>
        <w:rPr>
          <w:bCs/>
          <w:i/>
        </w:rPr>
        <w:t xml:space="preserve"> other participants. The true exact utility of a good to be auctioned to subject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1</m:t>
            </m:r>
          </m:sub>
        </m:sSub>
      </m:oMath>
      <w:r>
        <w:rPr>
          <w:b/>
          <w:i/>
        </w:rPr>
        <w:t xml:space="preserve"> </w:t>
      </w:r>
      <w:r>
        <w:rPr>
          <w:bCs/>
          <w:i/>
        </w:rPr>
        <w:t xml:space="preserve">is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
          <w:i/>
        </w:rPr>
        <w:t xml:space="preserve"> </w:t>
      </w:r>
      <w:r>
        <w:rPr>
          <w:bCs/>
          <w:i/>
        </w:rPr>
        <w:t xml:space="preserve">and the maximum utility of </w:t>
      </w:r>
      <m:oMath>
        <m:r>
          <m:rPr>
            <m:sty m:val="bi"/>
          </m:rPr>
          <w:rPr>
            <w:rFonts w:ascii="Cambria Math" w:hAnsi="Cambria Math"/>
          </w:rPr>
          <m:t>n</m:t>
        </m:r>
      </m:oMath>
      <w:r>
        <w:rPr>
          <w:bCs/>
          <w:i/>
        </w:rPr>
        <w:t xml:space="preserve"> other participants for the good is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w:t>
      </w:r>
    </w:p>
    <w:p w14:paraId="5E489EB1" w14:textId="77777777" w:rsidR="00884E52" w:rsidRDefault="00884E52" w:rsidP="00884E52">
      <w:pPr>
        <w:rPr>
          <w:bCs/>
          <w:i/>
        </w:rPr>
      </w:pPr>
    </w:p>
    <w:p w14:paraId="22FCD9EC" w14:textId="77777777" w:rsidR="00884E52" w:rsidRDefault="00884E52" w:rsidP="00884E52">
      <w:pPr>
        <w:rPr>
          <w:bCs/>
          <w:i/>
        </w:rPr>
      </w:pPr>
      <w:r>
        <w:rPr>
          <w:bCs/>
          <w:i/>
        </w:rPr>
        <w:t xml:space="preserve">Across trials, a rational participant may win or lose auctions depending on whether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 xml:space="preserve"> </m:t>
        </m:r>
        <m:r>
          <w:rPr>
            <w:rFonts w:ascii="Cambria Math" w:hAnsi="Cambria Math"/>
          </w:rPr>
          <m:t xml:space="preserve"> </m:t>
        </m:r>
      </m:oMath>
      <w:r>
        <w:rPr>
          <w:b/>
          <w:i/>
        </w:rPr>
        <w:t xml:space="preserve"> </w:t>
      </w:r>
      <w:r>
        <w:rPr>
          <w:bCs/>
          <w:i/>
        </w:rPr>
        <w:t xml:space="preserve">or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
          <w:i/>
        </w:rPr>
        <w:t xml:space="preserve"> </w:t>
      </w:r>
      <w:r>
        <w:rPr>
          <w:bCs/>
          <w:i/>
        </w:rPr>
        <w:t xml:space="preserve"> (we assume utilities are continuous and never exactly equal to each other). When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 subject wins the auction and pays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By definition,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so the subject makes a profit of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w:t>
      </w:r>
    </w:p>
    <w:p w14:paraId="5941029B" w14:textId="77777777" w:rsidR="00884E52" w:rsidRDefault="00884E52" w:rsidP="00884E52">
      <w:pPr>
        <w:rPr>
          <w:bCs/>
          <w:i/>
        </w:rPr>
      </w:pPr>
    </w:p>
    <w:p w14:paraId="2E0DE647" w14:textId="77777777" w:rsidR="00884E52" w:rsidRDefault="00884E52" w:rsidP="00884E52">
      <w:pPr>
        <w:rPr>
          <w:bCs/>
          <w:i/>
        </w:rPr>
      </w:pPr>
      <w:r>
        <w:rPr>
          <w:bCs/>
          <w:i/>
        </w:rPr>
        <w:lastRenderedPageBreak/>
        <w:t>When</w:t>
      </w:r>
      <m:oMath>
        <m:sSub>
          <m:sSubPr>
            <m:ctrlPr>
              <w:rPr>
                <w:rFonts w:ascii="Cambria Math" w:hAnsi="Cambria Math"/>
                <w:b/>
                <w:i/>
              </w:rPr>
            </m:ctrlPr>
          </m:sSubPr>
          <m:e>
            <m:r>
              <m:rPr>
                <m:sty m:val="bi"/>
              </m:rPr>
              <w:rPr>
                <w:rFonts w:ascii="Cambria Math" w:hAnsi="Cambria Math"/>
              </w:rPr>
              <m:t xml:space="preserve"> 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the participant neither wins nor pays any money, and so makes no profit or loss (except perhaps a small waste of time).</w:t>
      </w:r>
    </w:p>
    <w:p w14:paraId="6647EFD5" w14:textId="77777777" w:rsidR="00884E52" w:rsidRDefault="00884E52" w:rsidP="00884E52">
      <w:pPr>
        <w:rPr>
          <w:bCs/>
          <w:i/>
        </w:rPr>
      </w:pPr>
    </w:p>
    <w:p w14:paraId="70C8A780" w14:textId="77777777" w:rsidR="00884E52" w:rsidRDefault="00884E52" w:rsidP="00884E52">
      <w:pPr>
        <w:rPr>
          <w:bCs/>
          <w:i/>
        </w:rPr>
      </w:pPr>
      <w:r>
        <w:rPr>
          <w:bCs/>
          <w:i/>
        </w:rPr>
        <w:t xml:space="preserve">Having failed to win in multiple trials and becoming bored of losing, let us assume that the subject decides to raise their bid to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oMath>
      <w:r>
        <w:rPr>
          <w:bCs/>
          <w:i/>
        </w:rPr>
        <w:t xml:space="preserve">, where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 xml:space="preserve">&gt;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Cs/>
          <w:i/>
        </w:rPr>
        <w:t xml:space="preserve">. </w:t>
      </w:r>
    </w:p>
    <w:p w14:paraId="5CCED3A2" w14:textId="77777777" w:rsidR="00884E52" w:rsidRDefault="00884E52" w:rsidP="00884E52">
      <w:pPr>
        <w:rPr>
          <w:bCs/>
          <w:i/>
        </w:rPr>
      </w:pPr>
    </w:p>
    <w:p w14:paraId="0599CAB1" w14:textId="77777777" w:rsidR="00884E52" w:rsidRDefault="00884E52" w:rsidP="00884E52">
      <w:pPr>
        <w:rPr>
          <w:bCs/>
          <w:i/>
        </w:rPr>
      </w:pPr>
      <w:r>
        <w:rPr>
          <w:bCs/>
          <w:i/>
        </w:rPr>
        <w:t xml:space="preserve">On trials where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they lose the trial and make neither a profit nor a loss. Given that </w:t>
      </w:r>
      <m:oMath>
        <m:sSub>
          <m:sSubPr>
            <m:ctrlPr>
              <w:rPr>
                <w:rFonts w:ascii="Cambria Math" w:hAnsi="Cambria Math"/>
                <w:b/>
                <w:i/>
              </w:rPr>
            </m:ctrlPr>
          </m:sSubPr>
          <m:e>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&lt;H</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they would have lost this trial in any case had they bid their true value.</w:t>
      </w:r>
    </w:p>
    <w:p w14:paraId="78019DCC" w14:textId="77777777" w:rsidR="00884E52" w:rsidRDefault="00884E52" w:rsidP="00884E52">
      <w:pPr>
        <w:rPr>
          <w:bCs/>
          <w:i/>
        </w:rPr>
      </w:pPr>
    </w:p>
    <w:p w14:paraId="710F8F78" w14:textId="77777777" w:rsidR="00884E52" w:rsidRDefault="00884E52" w:rsidP="00884E52">
      <w:pPr>
        <w:rPr>
          <w:bCs/>
          <w:i/>
        </w:rPr>
      </w:pPr>
      <w:r>
        <w:rPr>
          <w:bCs/>
          <w:i/>
        </w:rPr>
        <w:t xml:space="preserve">However, in the case where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they still pay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
          <w:i/>
        </w:rPr>
        <w:t xml:space="preserve"> </w:t>
      </w:r>
      <w:r w:rsidRPr="00CC3E77">
        <w:rPr>
          <w:bCs/>
          <w:i/>
        </w:rPr>
        <w:t>b</w:t>
      </w:r>
      <w:r>
        <w:rPr>
          <w:bCs/>
          <w:i/>
        </w:rPr>
        <w:t xml:space="preserve">ut may make a profit or a loss: </w:t>
      </w:r>
    </w:p>
    <w:p w14:paraId="7CFFF23D" w14:textId="77777777" w:rsidR="00884E52" w:rsidRDefault="00884E52" w:rsidP="00884E52">
      <w:pPr>
        <w:rPr>
          <w:bCs/>
          <w:i/>
        </w:rPr>
      </w:pPr>
    </w:p>
    <w:p w14:paraId="01FD13E9" w14:textId="77777777" w:rsidR="00884E52" w:rsidRDefault="00884E52" w:rsidP="00884E52">
      <w:pPr>
        <w:rPr>
          <w:bCs/>
          <w:i/>
        </w:rPr>
      </w:pPr>
      <w:r>
        <w:rPr>
          <w:bCs/>
          <w:i/>
        </w:rPr>
        <w:t xml:space="preserve">If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oMath>
      <w:r>
        <w:rPr>
          <w:bCs/>
          <w:i/>
        </w:rPr>
        <w:t>, they make the same profit as with their previous strategy:</w:t>
      </w:r>
      <m:oMath>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w:t>
      </w:r>
    </w:p>
    <w:p w14:paraId="64F18DF6" w14:textId="77777777" w:rsidR="00884E52" w:rsidRDefault="00884E52" w:rsidP="00884E52">
      <w:pPr>
        <w:rPr>
          <w:bCs/>
          <w:i/>
        </w:rPr>
      </w:pPr>
    </w:p>
    <w:p w14:paraId="21DFF8AD" w14:textId="77777777" w:rsidR="00884E52" w:rsidRDefault="00884E52" w:rsidP="00884E52">
      <w:pPr>
        <w:rPr>
          <w:bCs/>
          <w:i/>
        </w:rPr>
      </w:pPr>
      <w:r>
        <w:rPr>
          <w:bCs/>
          <w:i/>
        </w:rPr>
        <w:t xml:space="preserve">However, where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oMath>
      <w:r>
        <w:rPr>
          <w:bCs/>
          <w:i/>
        </w:rPr>
        <w:t xml:space="preserve">, the change in utility to the subject is still measured as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but this will be negative;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1</m:t>
            </m:r>
          </m:sub>
        </m:sSub>
      </m:oMath>
      <w:r>
        <w:rPr>
          <w:bCs/>
          <w:i/>
          <w:vertAlign w:val="subscript"/>
        </w:rPr>
        <w:t xml:space="preserve"> </w:t>
      </w:r>
      <w:r>
        <w:rPr>
          <w:bCs/>
          <w:i/>
        </w:rPr>
        <w:t>makes a loss on the trial.</w:t>
      </w:r>
    </w:p>
    <w:p w14:paraId="2853DB51" w14:textId="77777777" w:rsidR="00884E52" w:rsidRDefault="00884E52" w:rsidP="00884E52">
      <w:pPr>
        <w:rPr>
          <w:bCs/>
          <w:i/>
        </w:rPr>
      </w:pPr>
    </w:p>
    <w:p w14:paraId="34117D6E" w14:textId="77777777" w:rsidR="00884E52" w:rsidRDefault="00884E52" w:rsidP="00884E52">
      <w:pPr>
        <w:rPr>
          <w:bCs/>
          <w:i/>
        </w:rPr>
      </w:pPr>
      <w:r>
        <w:rPr>
          <w:bCs/>
          <w:i/>
        </w:rPr>
        <w:t xml:space="preserve">Having been burned with the strategy the increase bids, the subject instead tries to underbid for the reward. They bid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oMath>
      <w:r>
        <w:rPr>
          <w:bCs/>
          <w:i/>
        </w:rPr>
        <w:t xml:space="preserve"> where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 xml:space="preserve">&lt;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Cs/>
          <w:i/>
        </w:rPr>
        <w:t>.</w:t>
      </w:r>
    </w:p>
    <w:p w14:paraId="1E05B7FC" w14:textId="77777777" w:rsidR="00884E52" w:rsidRDefault="00884E52" w:rsidP="00884E52">
      <w:pPr>
        <w:rPr>
          <w:bCs/>
          <w:i/>
        </w:rPr>
      </w:pPr>
    </w:p>
    <w:p w14:paraId="5C6FFBE9" w14:textId="77777777" w:rsidR="00884E52" w:rsidRDefault="00884E52" w:rsidP="00884E52">
      <w:pPr>
        <w:rPr>
          <w:bCs/>
          <w:i/>
        </w:rPr>
      </w:pPr>
      <w:r>
        <w:rPr>
          <w:bCs/>
          <w:i/>
        </w:rPr>
        <w:t xml:space="preserve">Now they may still win any single trial where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but given that </w:t>
      </w:r>
    </w:p>
    <w:p w14:paraId="4F2010C8" w14:textId="77777777" w:rsidR="00884E52" w:rsidRDefault="004540CE" w:rsidP="00884E52">
      <w:pPr>
        <w:rPr>
          <w:bCs/>
          <w:i/>
        </w:rPr>
      </w:pP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sidR="00884E52">
        <w:rPr>
          <w:bCs/>
          <w:i/>
        </w:rPr>
        <w:t xml:space="preserve">, they still only make a profit of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sidR="00884E52">
        <w:rPr>
          <w:bCs/>
          <w:i/>
        </w:rPr>
        <w:t>.</w:t>
      </w:r>
    </w:p>
    <w:p w14:paraId="1C309B28" w14:textId="77777777" w:rsidR="00884E52" w:rsidRDefault="00884E52" w:rsidP="00884E52">
      <w:pPr>
        <w:rPr>
          <w:bCs/>
          <w:i/>
        </w:rPr>
      </w:pPr>
    </w:p>
    <w:p w14:paraId="0FBD007C" w14:textId="77777777" w:rsidR="00884E52" w:rsidRDefault="00884E52" w:rsidP="00884E52">
      <w:pPr>
        <w:rPr>
          <w:bCs/>
          <w:i/>
        </w:rPr>
      </w:pPr>
      <w:r>
        <w:rPr>
          <w:bCs/>
          <w:i/>
        </w:rPr>
        <w:t xml:space="preserve">But, as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 xml:space="preserve">&lt;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sidRPr="007F28D8">
        <w:rPr>
          <w:bCs/>
          <w:i/>
        </w:rPr>
        <w:t>,</w:t>
      </w:r>
      <w:r>
        <w:rPr>
          <w:bCs/>
          <w:i/>
        </w:rPr>
        <w:t xml:space="preserve"> on any trial where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 xml:space="preserve">&lt;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they lose the trial and miss out on the chance to make a profit of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in the case that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Cs/>
          <w:i/>
        </w:rPr>
        <w:t>.</w:t>
      </w:r>
    </w:p>
    <w:p w14:paraId="60C85C4D" w14:textId="77777777" w:rsidR="00884E52" w:rsidRDefault="00884E52" w:rsidP="00884E52">
      <w:pPr>
        <w:rPr>
          <w:bCs/>
          <w:i/>
        </w:rPr>
      </w:pPr>
    </w:p>
    <w:p w14:paraId="0189EC37" w14:textId="77777777" w:rsidR="00884E52" w:rsidRDefault="00884E52" w:rsidP="00884E52">
      <w:pPr>
        <w:rPr>
          <w:bCs/>
          <w:i/>
        </w:rPr>
      </w:pPr>
      <w:r>
        <w:rPr>
          <w:bCs/>
          <w:i/>
        </w:rPr>
        <w:t xml:space="preserve">In summary, we are forced to conclude that subject </w:t>
      </w:r>
      <w:r>
        <w:rPr>
          <w:b/>
          <w:i/>
        </w:rPr>
        <w:t>S</w:t>
      </w:r>
      <w:r>
        <w:rPr>
          <w:b/>
          <w:i/>
          <w:vertAlign w:val="subscript"/>
        </w:rPr>
        <w:t>1</w:t>
      </w:r>
      <w:r>
        <w:rPr>
          <w:bCs/>
          <w:i/>
          <w:vertAlign w:val="subscript"/>
        </w:rPr>
        <w:t xml:space="preserve"> </w:t>
      </w:r>
      <w:r>
        <w:rPr>
          <w:bCs/>
          <w:i/>
        </w:rPr>
        <w:t>will never regret bidding their true utility of a reward (</w:t>
      </w:r>
      <m:oMath>
        <m:r>
          <m:rPr>
            <m:sty m:val="bi"/>
          </m:rPr>
          <w:rPr>
            <w:rFonts w:ascii="Cambria Math" w:hAnsi="Cambria Math"/>
          </w:rPr>
          <m:t>G</m:t>
        </m:r>
      </m:oMath>
      <w:r>
        <w:rPr>
          <w:bCs/>
          <w:i/>
        </w:rPr>
        <w:t>), but if they do not bid their true utility they may sometimes regret overpaying or missing out on the opportunity for profit.</w:t>
      </w:r>
    </w:p>
    <w:p w14:paraId="23379F39" w14:textId="77777777" w:rsidR="00884E52" w:rsidRPr="007F0CDD" w:rsidRDefault="00884E52" w:rsidP="00884E52">
      <w:pPr>
        <w:rPr>
          <w:bCs/>
          <w:i/>
        </w:rPr>
      </w:pPr>
    </w:p>
    <w:p w14:paraId="27E40BC0" w14:textId="77777777" w:rsidR="00884E52" w:rsidRDefault="00884E52" w:rsidP="00884E52">
      <w:pPr>
        <w:rPr>
          <w:bCs/>
        </w:rPr>
      </w:pPr>
      <w:r>
        <w:rPr>
          <w:bCs/>
        </w:rPr>
        <w:t>Each of these eventualities are shown in figures 2.2a-h) where bids and values are represented as bars across a continuous number line and a higher position indicates a higher bid/value. It should be mentioned that in experimental trials of the BDM, the subject is generally given a budget to spend or keep so the utility of losing a trial is not exactly zero as it might be for BDM auctions ‘in the wild’. For sake of simplicity however, losing an auction and receiving the budget is treated as the neutral outcome.</w:t>
      </w:r>
    </w:p>
    <w:p w14:paraId="72A39303" w14:textId="77777777" w:rsidR="00884E52" w:rsidRDefault="00884E52" w:rsidP="00884E52">
      <w:pPr>
        <w:rPr>
          <w:bCs/>
        </w:rPr>
      </w:pPr>
    </w:p>
    <w:p w14:paraId="084BBC83" w14:textId="0BDE8A45" w:rsidR="00884E52" w:rsidRDefault="00884E52" w:rsidP="00884E52">
      <w:pPr>
        <w:rPr>
          <w:bCs/>
        </w:rPr>
      </w:pPr>
      <w:r>
        <w:rPr>
          <w:bCs/>
        </w:rPr>
        <w:t xml:space="preserve">Bidding one’s true value is therefore weakly-dominant- a participant cannot do better than bidding their true value. We would therefore expect any rational utility-maximiser with a full understanding of the task </w:t>
      </w:r>
      <w:r>
        <w:rPr>
          <w:bCs/>
        </w:rPr>
        <w:lastRenderedPageBreak/>
        <w:t xml:space="preserve">to bid as close to their true value as possible for any good in a BDM auction. That is, it is in the best interests of any subject to aid the experiment by declaring their true utility for an offered good in any trial. A more comprehensive proof of this is presented in appendix 2.1, adapted from </w:t>
      </w:r>
      <w:r>
        <w:rPr>
          <w:bCs/>
        </w:rPr>
        <w:fldChar w:fldCharType="begin" w:fldLock="1"/>
      </w:r>
      <w:r w:rsidR="00C87A17">
        <w:rPr>
          <w:bCs/>
        </w:rP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J.","non-dropping-particle":"","parse-names":false,"suffix":""}],"container-title":"Econometrica","id":"ITEM-1","issue":"5","issued":{"date-parts":[["1982"]]},"page":"1089-1122","title":"A Theory of Auctions and Competitive Bidding","type":"article-journal","volume":"50"},"uris":["http://www.mendeley.com/documents/?uuid=8903396c-902b-4159-bd65-b9839cd2de96"]}],"mendeley":{"formattedCitation":"(Milgrom &amp; Weber, 1982)","manualFormatting":"Milgrom &amp; Weber, 1982","plainTextFormattedCitation":"(Milgrom &amp; Weber, 1982)","previouslyFormattedCitation":"(Milgrom &amp; Weber, 1982)"},"properties":{"noteIndex":0},"schema":"https://github.com/citation-style-language/schema/raw/master/csl-citation.json"}</w:instrText>
      </w:r>
      <w:r>
        <w:rPr>
          <w:bCs/>
        </w:rPr>
        <w:fldChar w:fldCharType="separate"/>
      </w:r>
      <w:r w:rsidRPr="00873B64">
        <w:rPr>
          <w:bCs/>
          <w:noProof/>
        </w:rPr>
        <w:t>Milgrom &amp; Weber, 1982</w:t>
      </w:r>
      <w:r>
        <w:rPr>
          <w:bCs/>
        </w:rPr>
        <w:fldChar w:fldCharType="end"/>
      </w:r>
      <w:r>
        <w:rPr>
          <w:bCs/>
        </w:rPr>
        <w:t xml:space="preserve">. </w:t>
      </w:r>
    </w:p>
    <w:p w14:paraId="5C8BA45C" w14:textId="77777777" w:rsidR="00884E52" w:rsidRDefault="00884E52" w:rsidP="00884E52">
      <w:pPr>
        <w:rPr>
          <w:bCs/>
        </w:rPr>
      </w:pPr>
    </w:p>
    <w:p w14:paraId="742D5528" w14:textId="77777777" w:rsidR="00884E52" w:rsidRPr="00DD131E" w:rsidRDefault="00884E52" w:rsidP="00884E52">
      <w:pPr>
        <w:rPr>
          <w:b/>
          <w:u w:val="single"/>
        </w:rPr>
      </w:pPr>
      <w:r>
        <w:rPr>
          <w:b/>
          <w:u w:val="single"/>
        </w:rPr>
        <w:t>The BDM as an economic tool</w:t>
      </w:r>
    </w:p>
    <w:p w14:paraId="0A28C36A" w14:textId="77777777" w:rsidR="00884E52" w:rsidRDefault="00884E52" w:rsidP="00884E52">
      <w:pPr>
        <w:rPr>
          <w:bCs/>
        </w:rPr>
      </w:pPr>
    </w:p>
    <w:p w14:paraId="58DD71ED" w14:textId="77777777" w:rsidR="00884E52" w:rsidRDefault="00884E52" w:rsidP="00884E52">
      <w:pPr>
        <w:rPr>
          <w:bCs/>
        </w:rPr>
      </w:pPr>
      <w:r>
        <w:rPr>
          <w:bCs/>
        </w:rPr>
        <w:t>The first documented use of a BDM style auction predates the Becker experiment by 150 years. In 1797 the famous German poet Wolfang von Goethe wished to sell a newly penned epic poem Hermann and Dorothea. In 18</w:t>
      </w:r>
      <w:r w:rsidRPr="00AB615C">
        <w:rPr>
          <w:bCs/>
          <w:vertAlign w:val="superscript"/>
        </w:rPr>
        <w:t>th</w:t>
      </w:r>
      <w:r>
        <w:rPr>
          <w:bCs/>
        </w:rPr>
        <w:t xml:space="preserve"> century Germany, authors sold the whole rights to a piece directly to publishers, rather than receiving payment per unit sold; the rights to the poem are equivalent to a good sold in an auction. </w:t>
      </w:r>
    </w:p>
    <w:p w14:paraId="426888AF" w14:textId="77777777" w:rsidR="00884E52" w:rsidRDefault="00884E52" w:rsidP="00884E52">
      <w:pPr>
        <w:rPr>
          <w:bCs/>
        </w:rPr>
      </w:pPr>
    </w:p>
    <w:p w14:paraId="3F507784" w14:textId="77777777" w:rsidR="00884E52" w:rsidRDefault="00884E52" w:rsidP="00884E52">
      <w:pPr>
        <w:rPr>
          <w:bCs/>
        </w:rPr>
      </w:pPr>
      <w:r>
        <w:rPr>
          <w:bCs/>
        </w:rPr>
        <w:t xml:space="preserve">Already rich and declaring himself to be uninterested in purely maximising profit, Goethe instead wished to get as good an approximation of the true value of his work. He decided on a minimum acceptable price (his WTA, </w:t>
      </w:r>
      <m:oMath>
        <m:r>
          <m:rPr>
            <m:sty m:val="bi"/>
          </m:rPr>
          <w:rPr>
            <w:rFonts w:ascii="Cambria Math" w:hAnsi="Cambria Math"/>
          </w:rPr>
          <m:t>$X</m:t>
        </m:r>
      </m:oMath>
      <w:r>
        <w:rPr>
          <w:bCs/>
        </w:rPr>
        <w:t xml:space="preserve"> to compare with Becker et al. 1964) which was given to a legal counsel, Herr Boettiger. He then wrote to his publisher with the contents of the poem and the terms of the auction: if they offered a price (</w:t>
      </w:r>
      <m:oMath>
        <m:r>
          <m:rPr>
            <m:sty m:val="bi"/>
          </m:rPr>
          <w:rPr>
            <w:rFonts w:ascii="Cambria Math" w:hAnsi="Cambria Math"/>
          </w:rPr>
          <m:t>$Y</m:t>
        </m:r>
      </m:oMath>
      <w:r>
        <w:rPr>
          <w:bCs/>
        </w:rPr>
        <w:t xml:space="preserve">) which exceeded this reserve then he would accept their offer and receive </w:t>
      </w:r>
      <m:oMath>
        <m:r>
          <m:rPr>
            <m:sty m:val="bi"/>
          </m:rPr>
          <w:rPr>
            <w:rFonts w:ascii="Cambria Math" w:hAnsi="Cambria Math"/>
          </w:rPr>
          <m:t>$Y</m:t>
        </m:r>
      </m:oMath>
      <w:r>
        <w:rPr>
          <w:bCs/>
        </w:rPr>
        <w:t xml:space="preserve"> in exchange for the poem. If, however, </w:t>
      </w:r>
      <m:oMath>
        <m:r>
          <m:rPr>
            <m:sty m:val="bi"/>
          </m:rPr>
          <w:rPr>
            <w:rFonts w:ascii="Cambria Math" w:hAnsi="Cambria Math"/>
          </w:rPr>
          <m:t>$Y</m:t>
        </m:r>
      </m:oMath>
      <w:r>
        <w:rPr>
          <w:bCs/>
        </w:rPr>
        <w:t xml:space="preserve"> was less than the </w:t>
      </w:r>
      <m:oMath>
        <m:r>
          <m:rPr>
            <m:sty m:val="bi"/>
          </m:rPr>
          <w:rPr>
            <w:rFonts w:ascii="Cambria Math" w:hAnsi="Cambria Math"/>
          </w:rPr>
          <m:t>$X</m:t>
        </m:r>
      </m:oMath>
      <w:r>
        <w:rPr>
          <w:bCs/>
        </w:rPr>
        <w:t xml:space="preserve"> reserve price, then the negotiation was deemed a failure and Goethe kept the rights to the poem to be sold elsewhere </w:t>
      </w:r>
      <w:r>
        <w:rPr>
          <w:bCs/>
        </w:rPr>
        <w:fldChar w:fldCharType="begin" w:fldLock="1"/>
      </w:r>
      <w:r>
        <w:rPr>
          <w:bCs/>
        </w:rPr>
        <w:instrText>ADDIN CSL_CITATION {"citationItems":[{"id":"ITEM-1","itemData":{"DOI":"10.1086/250032","ISSN":"00223808","abstract":"In 1797 Johann Wolfgang von Goethe sold a manuscript through a second-price auction. We investigate Goethe's motivation in the context of the late eighteenth century's book market and relate it to modern auction theory.","author":[{"dropping-particle":"","family":"Moldovanu","given":"Benny","non-dropping-particle":"","parse-names":false,"suffix":""},{"dropping-particle":"","family":"Tietzel","given":"Manfred","non-dropping-particle":"","parse-names":false,"suffix":""}],"container-title":"Journal of Political Economy","id":"ITEM-1","issue":"4","issued":{"date-parts":[["1998"]]},"page":"854-859","title":"Goethe's Second-Price Auction","type":"article-journal","volume":"106"},"uris":["http://www.mendeley.com/documents/?uuid=607e83e5-8966-4d1d-9349-10b4058da30c"]}],"mendeley":{"formattedCitation":"(Moldovanu &amp; Tietzel, 1998)","plainTextFormattedCitation":"(Moldovanu &amp; Tietzel, 1998)","previouslyFormattedCitation":"(Moldovanu &amp; Tietzel, 1998)"},"properties":{"noteIndex":0},"schema":"https://github.com/citation-style-language/schema/raw/master/csl-citation.json"}</w:instrText>
      </w:r>
      <w:r>
        <w:rPr>
          <w:bCs/>
        </w:rPr>
        <w:fldChar w:fldCharType="separate"/>
      </w:r>
      <w:r w:rsidRPr="006E0425">
        <w:rPr>
          <w:bCs/>
          <w:noProof/>
        </w:rPr>
        <w:t>(Moldovanu &amp; Tietzel, 1998)</w:t>
      </w:r>
      <w:r>
        <w:rPr>
          <w:bCs/>
        </w:rPr>
        <w:fldChar w:fldCharType="end"/>
      </w:r>
      <w:r>
        <w:rPr>
          <w:bCs/>
        </w:rPr>
        <w:t>.</w:t>
      </w:r>
      <w:r>
        <w:rPr>
          <w:bCs/>
        </w:rPr>
        <w:br/>
      </w:r>
      <w:r>
        <w:rPr>
          <w:bCs/>
        </w:rPr>
        <w:br/>
        <w:t xml:space="preserve">As we have previously shown the WTA to be the inverse of WTP, the publisher’s best strategy is to set their bid to exactly their assessment of the value of the poem. Unfortunately for Goethe he fell victim to one of the primary assumptions of sealed second price auctions- that each bidder only has knowledge of </w:t>
      </w:r>
      <w:r>
        <w:rPr>
          <w:bCs/>
          <w:i/>
          <w:iCs/>
        </w:rPr>
        <w:t>their</w:t>
      </w:r>
      <w:r>
        <w:rPr>
          <w:bCs/>
        </w:rPr>
        <w:t xml:space="preserve"> </w:t>
      </w:r>
      <w:r>
        <w:rPr>
          <w:bCs/>
          <w:i/>
          <w:iCs/>
        </w:rPr>
        <w:t>own</w:t>
      </w:r>
      <w:r>
        <w:rPr>
          <w:bCs/>
        </w:rPr>
        <w:t xml:space="preserve"> values and bids. Realising his unique situation, Herr Boettiger used his knowledge of the reserve price to strike a deal with the publisher. The lawyer was paid in exchange for the letter containing the reserve price using the savings from the auction where the publisher bid exactly the reserve price. </w:t>
      </w:r>
    </w:p>
    <w:p w14:paraId="0D05E9E8" w14:textId="77777777" w:rsidR="00884E52" w:rsidRDefault="00884E52" w:rsidP="00884E52">
      <w:pPr>
        <w:rPr>
          <w:bCs/>
        </w:rPr>
      </w:pPr>
    </w:p>
    <w:p w14:paraId="36EB32C9" w14:textId="77777777" w:rsidR="00884E52" w:rsidRDefault="00884E52" w:rsidP="00884E52">
      <w:pPr>
        <w:rPr>
          <w:bCs/>
        </w:rPr>
      </w:pPr>
      <w:r>
        <w:rPr>
          <w:bCs/>
        </w:rPr>
        <w:t xml:space="preserve">Similar questions over how incentive-compatible the BDM auction task is in practice have been a fixture of the microeconomics literature over the last 50 years. As accurate reports of value via the BDM require participants to be utility-maximising individuals, they must follow the axioms of expected utility theory as defined in the first chapter of this thesis. Mentioned in the first chapter and discussed in greater detail in appendix 1.1, a well-known violation of expected utility theory’s independence axiom occurs in Allais’ paradox </w:t>
      </w:r>
      <w:r>
        <w:rPr>
          <w:bCs/>
        </w:rPr>
        <w:fldChar w:fldCharType="begin" w:fldLock="1"/>
      </w:r>
      <w:r>
        <w:rPr>
          <w:bCs/>
        </w:rP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1953)","plainTextFormattedCitation":"(Allais, 1953)","previouslyFormattedCitation":"(Allais, 1953)"},"properties":{"noteIndex":0},"schema":"https://github.com/citation-style-language/schema/raw/master/csl-citation.json"}</w:instrText>
      </w:r>
      <w:r>
        <w:rPr>
          <w:bCs/>
        </w:rPr>
        <w:fldChar w:fldCharType="separate"/>
      </w:r>
      <w:r w:rsidRPr="006E0425">
        <w:rPr>
          <w:bCs/>
          <w:noProof/>
        </w:rPr>
        <w:t>(Allais, 1953)</w:t>
      </w:r>
      <w:r>
        <w:rPr>
          <w:bCs/>
        </w:rPr>
        <w:fldChar w:fldCharType="end"/>
      </w:r>
      <w:r>
        <w:rPr>
          <w:bCs/>
        </w:rPr>
        <w:t xml:space="preserve">, where subjects overweight small probabilities presented in otherwise comparable lotteries. </w:t>
      </w:r>
      <w:r>
        <w:rPr>
          <w:bCs/>
        </w:rPr>
        <w:fldChar w:fldCharType="begin" w:fldLock="1"/>
      </w:r>
      <w:r>
        <w:rPr>
          <w:bCs/>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1964)","manualFormatting":"Becker et al. ","plainTextFormattedCitation":"(Becker et al., 1964)","previouslyFormattedCitation":"(Becker et al., 1964)"},"properties":{"noteIndex":0},"schema":"https://github.com/citation-style-language/schema/raw/master/csl-citation.json"}</w:instrText>
      </w:r>
      <w:r>
        <w:rPr>
          <w:bCs/>
        </w:rPr>
        <w:fldChar w:fldCharType="separate"/>
      </w:r>
      <w:r w:rsidRPr="00F56616">
        <w:rPr>
          <w:bCs/>
          <w:noProof/>
        </w:rPr>
        <w:t xml:space="preserve">Becker et al. </w:t>
      </w:r>
      <w:r>
        <w:rPr>
          <w:bCs/>
        </w:rPr>
        <w:fldChar w:fldCharType="end"/>
      </w:r>
      <w:r>
        <w:rPr>
          <w:bCs/>
        </w:rPr>
        <w:t xml:space="preserve">present lotteries with probabilities of ¼, ½, or ¾ to minimise this effect but it cannot be completely ruled out in lottery-based auction tasks. </w:t>
      </w:r>
    </w:p>
    <w:p w14:paraId="78082A20" w14:textId="77777777" w:rsidR="00884E52" w:rsidRDefault="00884E52" w:rsidP="00884E52">
      <w:pPr>
        <w:rPr>
          <w:bCs/>
        </w:rPr>
      </w:pPr>
    </w:p>
    <w:p w14:paraId="6C44F70C" w14:textId="77777777" w:rsidR="00884E52" w:rsidRDefault="00884E52" w:rsidP="00884E52">
      <w:pPr>
        <w:rPr>
          <w:bCs/>
        </w:rPr>
      </w:pPr>
      <w:r>
        <w:rPr>
          <w:bCs/>
        </w:rPr>
        <w:t>In our task design we offer riskless rewards with a constant, certain, probability of payout upon winning an auction. This has the dual benefit of overcoming this potential limitation in the BDM and simplifying the task to aid the monkey’s understanding of the link between their bids and the payout of a trial.</w:t>
      </w:r>
    </w:p>
    <w:p w14:paraId="2CC67714" w14:textId="77777777" w:rsidR="00884E52" w:rsidRDefault="00884E52" w:rsidP="00884E52">
      <w:pPr>
        <w:rPr>
          <w:bCs/>
        </w:rPr>
      </w:pPr>
    </w:p>
    <w:p w14:paraId="54D30D83" w14:textId="77777777" w:rsidR="00884E52" w:rsidRPr="00B51F29" w:rsidRDefault="00884E52" w:rsidP="00884E52">
      <w:pPr>
        <w:rPr>
          <w:bCs/>
        </w:rPr>
      </w:pPr>
      <w:r>
        <w:rPr>
          <w:bCs/>
        </w:rPr>
        <w:t xml:space="preserve">It has been proposed that even for non-random goods the BDM may not be truly incentive compatible </w:t>
      </w:r>
      <w:r>
        <w:rPr>
          <w:bCs/>
        </w:rPr>
        <w:fldChar w:fldCharType="begin" w:fldLock="1"/>
      </w:r>
      <w:r>
        <w:rPr>
          <w:bCs/>
        </w:rPr>
        <w:instrText>ADDIN CSL_CITATION {"citationItems":[{"id":"ITEM-1","itemData":{"DOI":"10.1016/j.econlet.2006.03.033","ISSN":"01651765","abstract":"This paper uses results from [Karni, E., Safra, Z., 1987, Preference reversals and the observability of preferences by experimental methods, Econometrica 55, 675-685] and [Karni, E., 1989, Generalized expected utility analysis of multivariate risk aversion, International Economic Review 30, 297-305] to show that the Becker-DeGroot-Marschak mechanism is not always incentive compatible, even when the item to be valued involves no uncertainty, contrary to several recent assertions. © 2006 Elsevier B.V. All rights reserved.","author":[{"dropping-particle":"","family":"Horowitz","given":"John K.","non-dropping-particle":"","parse-names":false,"suffix":""}],"container-title":"Economics Letters","id":"ITEM-1","issue":"1","issued":{"date-parts":[["2006"]]},"page":"6-11","title":"The Becker-DeGroot-Marschak mechanism is not necessarily incentive compatible, even for non-random goods","type":"article-journal","volume":"93"},"uris":["http://www.mendeley.com/documents/?uuid=f3b4fc3e-343d-4d6e-a7d8-e75d5d6ef305"]}],"mendeley":{"formattedCitation":"(Horowitz, 2006)","plainTextFormattedCitation":"(Horowitz, 2006)","previouslyFormattedCitation":"(Horowitz, 2006)"},"properties":{"noteIndex":0},"schema":"https://github.com/citation-style-language/schema/raw/master/csl-citation.json"}</w:instrText>
      </w:r>
      <w:r>
        <w:rPr>
          <w:bCs/>
        </w:rPr>
        <w:fldChar w:fldCharType="separate"/>
      </w:r>
      <w:r w:rsidRPr="004B11B9">
        <w:rPr>
          <w:bCs/>
          <w:noProof/>
        </w:rPr>
        <w:t>(Horowitz, 2006)</w:t>
      </w:r>
      <w:r>
        <w:rPr>
          <w:bCs/>
        </w:rPr>
        <w:fldChar w:fldCharType="end"/>
      </w:r>
      <w:r>
        <w:rPr>
          <w:bCs/>
        </w:rPr>
        <w:t xml:space="preserve">. This is because the level of bid the subject makes controls the probability of winning the auction. For instance, a subject who always submits a bid of 0 will never win the auctioned good, whereas one who submits the maximum possible bid will always win the auction. The participant can therefore alter </w:t>
      </w:r>
      <w:r>
        <w:rPr>
          <w:bCs/>
        </w:rPr>
        <w:lastRenderedPageBreak/>
        <w:t xml:space="preserve">their own bid, with respect to a known distribution of opponent bids, to maximise the utility of both the reward and currency but </w:t>
      </w:r>
      <w:r>
        <w:rPr>
          <w:bCs/>
          <w:i/>
          <w:iCs/>
        </w:rPr>
        <w:t>also</w:t>
      </w:r>
      <w:r>
        <w:rPr>
          <w:bCs/>
        </w:rPr>
        <w:t xml:space="preserve"> the chance of winning.</w:t>
      </w:r>
    </w:p>
    <w:p w14:paraId="3FBA2CDD" w14:textId="77777777" w:rsidR="00884E52" w:rsidRDefault="00884E52" w:rsidP="00884E52">
      <w:pPr>
        <w:rPr>
          <w:bCs/>
        </w:rPr>
      </w:pPr>
    </w:p>
    <w:p w14:paraId="6457DEB1" w14:textId="77777777" w:rsidR="00884E52" w:rsidRDefault="00884E52" w:rsidP="00884E52">
      <w:pPr>
        <w:rPr>
          <w:bCs/>
        </w:rPr>
      </w:pPr>
      <w:r>
        <w:rPr>
          <w:bCs/>
        </w:rPr>
        <w:t>In the descriptive proof of the BDM as an incentive compatible task, we have assumed that a participant who bids truthfully (i.e. bids exactly their utility for a good) and loses the auction to neither lose nor gain any utility from the trial. The small expected profit from each trial of the BDM only comes in cases where the participant wins the auction. Therefore, in the lose case the participant does actually suffer some small reward prediction error: they have lost out on some expected profit</w:t>
      </w:r>
      <w:r>
        <w:rPr>
          <w:rStyle w:val="FootnoteReference"/>
          <w:bCs/>
        </w:rPr>
        <w:footnoteReference w:id="32"/>
      </w:r>
      <w:r>
        <w:rPr>
          <w:bCs/>
        </w:rPr>
        <w:t xml:space="preserve">. The introduction to this thesis discusses Prospect theory and how losing out on some expected reward can hurt more than receiving that reward </w:t>
      </w:r>
      <w:r>
        <w:rPr>
          <w:bCs/>
        </w:rPr>
        <w:fldChar w:fldCharType="begin" w:fldLock="1"/>
      </w:r>
      <w:r>
        <w:rPr>
          <w:bCs/>
        </w:rPr>
        <w:instrText>ADDIN CSL_CITATION {"citationItems":[{"id":"ITEM-1","itemData":{"abstract":"Each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This paper presents a critique of expected utility theory as a descriptive model of decision making under risk, and develops an alternative model, called prospect theory. Choices among risky prospects exhibit several pervasive effects that are inconsistent with the basic tenets of utility theory. In particular, people underweight outcomes that are merely probable in comparison with outcomes that are obtained with certainty. This tendency, called the certainty effect, contributes to risk aversion in choices involving sure gains and to risk seeking in choices involving sure losses. In addition, people generally discard components that are shared by all prospects under consideration. This tendency, called the isolation effect, leads to inconsistent preferences when the same choice is presented in different forms. An alternative theory of choice is developed, in which value is assigned to gains and losses rather than to final assets and in which probabilities are replaced by decision weights. The value function is normally concave for gains, commonly convex for losses, and is generally steeper for losses than for gains. Decision weights are generally lower than the corresponding probabilities, except in the range of low prob-abilities. Overweighting of low probabilities may contribute to the attractiveness of both insurance and gambling.","author":[{"dropping-particle":"","family":"Kahneman","given":"Daniel","non-dropping-particle":"","parse-names":false,"suffix":""},{"dropping-particle":"","family":"Tversky","given":"Amos","non-dropping-particle":"","parse-names":false,"suffix":""},{"dropping-particle":"","family":"Kahneman","given":"B Y Daniel","non-dropping-particle":"","parse-names":false,"suffix":""},{"dropping-particle":"","family":"Tversky","given":"Amos","non-dropping-particle":"","parse-names":false,"suffix":""}],"container-title":"Source: Econometrica","id":"ITEM-1","issue":"2","issued":{"date-parts":[["1979"]]},"page":"263-292","title":"Prospect Theory : An Analysis of Decision under Risk Linked references are available on JSTOR for this article : All use subject to http://about.jstor.org/terms E C O N OMETRICA I C I","type":"article-journal","volume":"47"},"uris":["http://www.mendeley.com/documents/?uuid=8ba19cd1-1505-486e-85c6-e6c3063387a6"]}],"mendeley":{"formattedCitation":"(Kahneman et al., 1979)","plainTextFormattedCitation":"(Kahneman et al., 1979)","previouslyFormattedCitation":"(Kahneman et al., 1979)"},"properties":{"noteIndex":0},"schema":"https://github.com/citation-style-language/schema/raw/master/csl-citation.json"}</w:instrText>
      </w:r>
      <w:r>
        <w:rPr>
          <w:bCs/>
        </w:rPr>
        <w:fldChar w:fldCharType="separate"/>
      </w:r>
      <w:r w:rsidRPr="00F56616">
        <w:rPr>
          <w:bCs/>
          <w:noProof/>
        </w:rPr>
        <w:t>(Kahneman et al., 1979)</w:t>
      </w:r>
      <w:r>
        <w:rPr>
          <w:bCs/>
        </w:rPr>
        <w:fldChar w:fldCharType="end"/>
      </w:r>
      <w:r>
        <w:rPr>
          <w:bCs/>
        </w:rPr>
        <w:t xml:space="preserve">. A hypothetical subject might well be willing to sacrifice some of their budget currency to reduce the chance of losing the auction and suffering this disappointment. </w:t>
      </w:r>
    </w:p>
    <w:p w14:paraId="1A072649" w14:textId="77777777" w:rsidR="00884E52" w:rsidRDefault="00884E52" w:rsidP="00884E52">
      <w:pPr>
        <w:rPr>
          <w:bCs/>
        </w:rPr>
      </w:pPr>
    </w:p>
    <w:p w14:paraId="1BAAE14B" w14:textId="0823AC29" w:rsidR="00884E52" w:rsidRDefault="00884E52" w:rsidP="00884E52">
      <w:pPr>
        <w:rPr>
          <w:bCs/>
        </w:rPr>
      </w:pPr>
      <w:r>
        <w:rPr>
          <w:bCs/>
        </w:rPr>
        <w:t>As a subject performing successive trials will have some estimation of the probability of opponent bids. They can therefore calculate the change in probability of winning for any extra increase in their bid. Assuming some disutility (‘disappointment’) for any reduction in chance of winning, a rational bidder should then alter their bid such that</w:t>
      </w:r>
    </w:p>
    <w:p w14:paraId="0591B764" w14:textId="77777777" w:rsidR="00884E52" w:rsidRDefault="00884E52" w:rsidP="00884E52">
      <w:pPr>
        <w:pStyle w:val="Caption"/>
        <w:keepNext/>
      </w:pPr>
      <w:r>
        <w:t>Equation 2.</w:t>
      </w:r>
      <w:r w:rsidR="004540CE">
        <w:fldChar w:fldCharType="begin"/>
      </w:r>
      <w:r w:rsidR="004540CE">
        <w:instrText xml:space="preserve"> SEQ Equation \* ARABIC </w:instrText>
      </w:r>
      <w:r w:rsidR="004540CE">
        <w:fldChar w:fldCharType="separate"/>
      </w:r>
      <w:r>
        <w:rPr>
          <w:noProof/>
        </w:rPr>
        <w:t>3</w:t>
      </w:r>
      <w:r w:rsidR="004540CE">
        <w:rPr>
          <w:noProof/>
        </w:rPr>
        <w:fldChar w:fldCharType="end"/>
      </w:r>
    </w:p>
    <w:p w14:paraId="42353332" w14:textId="77777777" w:rsidR="00884E52" w:rsidRPr="00440DA4" w:rsidRDefault="00884E52" w:rsidP="00884E52">
      <w:pPr>
        <w:rPr>
          <w:bCs/>
          <w:i/>
        </w:rPr>
      </w:pPr>
      <m:oMathPara>
        <m:oMath>
          <m:r>
            <w:rPr>
              <w:rFonts w:ascii="Cambria Math" w:hAnsi="Cambria Math"/>
            </w:rPr>
            <m:t>δ</m:t>
          </m:r>
          <m:sSub>
            <m:sSubPr>
              <m:ctrlPr>
                <w:rPr>
                  <w:rFonts w:ascii="Cambria Math" w:hAnsi="Cambria Math"/>
                  <w:bCs/>
                  <w:i/>
                </w:rPr>
              </m:ctrlPr>
            </m:sSubPr>
            <m:e>
              <m:r>
                <w:rPr>
                  <w:rFonts w:ascii="Cambria Math" w:hAnsi="Cambria Math"/>
                </w:rPr>
                <m:t>Bid</m:t>
              </m:r>
            </m:e>
            <m:sub>
              <m:r>
                <w:rPr>
                  <w:rFonts w:ascii="Cambria Math" w:hAnsi="Cambria Math"/>
                </w:rPr>
                <m:t>subject</m:t>
              </m:r>
            </m:sub>
          </m:sSub>
          <m:r>
            <w:rPr>
              <w:rFonts w:ascii="Cambria Math" w:hAnsi="Cambria Math"/>
            </w:rPr>
            <m:t>= max</m:t>
          </m:r>
          <m:d>
            <m:dPr>
              <m:ctrlPr>
                <w:rPr>
                  <w:rFonts w:ascii="Cambria Math" w:hAnsi="Cambria Math"/>
                  <w:bCs/>
                  <w:i/>
                </w:rPr>
              </m:ctrlPr>
            </m:dPr>
            <m:e>
              <m:sSub>
                <m:sSubPr>
                  <m:ctrlPr>
                    <w:rPr>
                      <w:rFonts w:ascii="Cambria Math" w:hAnsi="Cambria Math"/>
                      <w:bCs/>
                      <w:i/>
                    </w:rPr>
                  </m:ctrlPr>
                </m:sSubPr>
                <m:e>
                  <m:r>
                    <w:rPr>
                      <w:rFonts w:ascii="Cambria Math" w:hAnsi="Cambria Math"/>
                    </w:rPr>
                    <m:t>p</m:t>
                  </m:r>
                </m:e>
                <m:sub>
                  <m:r>
                    <w:rPr>
                      <w:rFonts w:ascii="Cambria Math" w:hAnsi="Cambria Math"/>
                    </w:rPr>
                    <m:t>win</m:t>
                  </m:r>
                </m:sub>
              </m:sSub>
              <m:r>
                <w:rPr>
                  <w:rFonts w:ascii="Cambria Math" w:hAnsi="Cambria Math"/>
                </w:rPr>
                <m:t xml:space="preserve">⋅G -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p</m:t>
                      </m:r>
                    </m:e>
                    <m:sub>
                      <m:r>
                        <w:rPr>
                          <w:rFonts w:ascii="Cambria Math" w:hAnsi="Cambria Math"/>
                        </w:rPr>
                        <m:t>win</m:t>
                      </m:r>
                    </m:sub>
                  </m:sSub>
                </m:e>
              </m:d>
              <m:r>
                <w:rPr>
                  <w:rFonts w:ascii="Cambria Math" w:hAnsi="Cambria Math"/>
                </w:rPr>
                <m:t>⋅disappointment</m:t>
              </m:r>
            </m:e>
          </m:d>
        </m:oMath>
      </m:oMathPara>
    </w:p>
    <w:p w14:paraId="0DF9E407" w14:textId="77777777" w:rsidR="00884E52" w:rsidRDefault="00884E52" w:rsidP="00884E52">
      <w:pPr>
        <w:rPr>
          <w:bCs/>
        </w:rPr>
      </w:pPr>
    </w:p>
    <w:p w14:paraId="46AD925F" w14:textId="77777777" w:rsidR="00884E52" w:rsidRDefault="00884E52" w:rsidP="00884E52">
      <w:pPr>
        <w:rPr>
          <w:bCs/>
        </w:rPr>
      </w:pPr>
      <w:r>
        <w:rPr>
          <w:bCs/>
        </w:rPr>
        <w:t xml:space="preserve">Where </w:t>
      </w:r>
      <m:oMath>
        <m:r>
          <m:rPr>
            <m:sty m:val="bi"/>
          </m:rPr>
          <w:rPr>
            <w:rFonts w:ascii="Cambria Math" w:hAnsi="Cambria Math"/>
          </w:rPr>
          <m:t>G</m:t>
        </m:r>
      </m:oMath>
      <w:r>
        <w:rPr>
          <w:bCs/>
        </w:rPr>
        <w:t xml:space="preserve"> represents the true utility of the good to a subject as in the verbal proof of the incentive-compatibility of the BDM in this chapter. Therefore, the distribution of opponent bids affects a participant’s bid. If we follow the assumptions of the BDM’s incentive compatibility, this means the distribution of opponent bids has some effect on the </w:t>
      </w:r>
      <w:r>
        <w:rPr>
          <w:bCs/>
          <w:i/>
          <w:iCs/>
        </w:rPr>
        <w:t>internal</w:t>
      </w:r>
      <w:r>
        <w:rPr>
          <w:bCs/>
        </w:rPr>
        <w:t xml:space="preserve"> subjective valuation of the good, which cannot be true. We must accept that the BDM is not necessarily incentive compatible.</w:t>
      </w:r>
    </w:p>
    <w:p w14:paraId="0BD51856" w14:textId="77777777" w:rsidR="00884E52" w:rsidRDefault="00884E52" w:rsidP="00884E52">
      <w:pPr>
        <w:rPr>
          <w:bCs/>
        </w:rPr>
      </w:pPr>
      <w:r>
        <w:rPr>
          <w:bCs/>
        </w:rPr>
        <w:t xml:space="preserve">To minimise the effects of this bias, we draw from a uniform distribution for a single opponent bid, so any bias added to the monkey’s bid should be constant across the range of possible bids. A potential rebuke of the ideas presented in </w:t>
      </w:r>
      <w:r>
        <w:rPr>
          <w:bCs/>
        </w:rPr>
        <w:fldChar w:fldCharType="begin" w:fldLock="1"/>
      </w:r>
      <w:r>
        <w:rPr>
          <w:bCs/>
        </w:rPr>
        <w:instrText>ADDIN CSL_CITATION {"citationItems":[{"id":"ITEM-1","itemData":{"DOI":"10.1016/j.econlet.2006.03.033","ISSN":"01651765","abstract":"This paper uses results from [Karni, E., Safra, Z., 1987, Preference reversals and the observability of preferences by experimental methods, Econometrica 55, 675-685] and [Karni, E., 1989, Generalized expected utility analysis of multivariate risk aversion, International Economic Review 30, 297-305] to show that the Becker-DeGroot-Marschak mechanism is not always incentive compatible, even when the item to be valued involves no uncertainty, contrary to several recent assertions. © 2006 Elsevier B.V. All rights reserved.","author":[{"dropping-particle":"","family":"Horowitz","given":"John K.","non-dropping-particle":"","parse-names":false,"suffix":""}],"container-title":"Economics Letters","id":"ITEM-1","issue":"1","issued":{"date-parts":[["2006"]]},"page":"6-11","title":"The Becker-DeGroot-Marschak mechanism is not necessarily incentive compatible, even for non-random goods","type":"article-journal","volume":"93"},"uris":["http://www.mendeley.com/documents/?uuid=f3b4fc3e-343d-4d6e-a7d8-e75d5d6ef305"]}],"mendeley":{"formattedCitation":"(Horowitz, 2006)","manualFormatting":"Horowitz, 2006","plainTextFormattedCitation":"(Horowitz, 2006)","previouslyFormattedCitation":"(Horowitz, 2006)"},"properties":{"noteIndex":0},"schema":"https://github.com/citation-style-language/schema/raw/master/csl-citation.json"}</w:instrText>
      </w:r>
      <w:r>
        <w:rPr>
          <w:bCs/>
        </w:rPr>
        <w:fldChar w:fldCharType="separate"/>
      </w:r>
      <w:r w:rsidRPr="00517EF8">
        <w:rPr>
          <w:bCs/>
          <w:noProof/>
        </w:rPr>
        <w:t>Horowitz, 2006</w:t>
      </w:r>
      <w:r>
        <w:rPr>
          <w:bCs/>
        </w:rPr>
        <w:fldChar w:fldCharType="end"/>
      </w:r>
      <w:r>
        <w:rPr>
          <w:bCs/>
        </w:rPr>
        <w:t xml:space="preserve"> and how they relate to this project is presented in appendix 2.2.</w:t>
      </w:r>
    </w:p>
    <w:p w14:paraId="09135C35" w14:textId="77777777" w:rsidR="00884E52" w:rsidRDefault="00884E52" w:rsidP="00884E52">
      <w:pPr>
        <w:rPr>
          <w:bCs/>
        </w:rPr>
      </w:pPr>
    </w:p>
    <w:p w14:paraId="46C5233D" w14:textId="77777777" w:rsidR="00884E52" w:rsidRDefault="00884E52" w:rsidP="00884E52">
      <w:pPr>
        <w:rPr>
          <w:bCs/>
        </w:rPr>
      </w:pPr>
      <w:r>
        <w:rPr>
          <w:bCs/>
        </w:rPr>
        <w:t xml:space="preserve">Findings from Prospect theory also underpin another potential concern over the incentive-compatible nature of the BDM concerns: the endowment effect. The endowment effects states that individuals place a higher value on goods they own compared to goods they do not. For instance, participants in an economic decision making task given a lottery of known value would rather keep hold of this lottery than trade it for the cash equivalent </w:t>
      </w:r>
      <w:r>
        <w:rPr>
          <w:bCs/>
        </w:rPr>
        <w:fldChar w:fldCharType="begin" w:fldLock="1"/>
      </w:r>
      <w:r>
        <w:rPr>
          <w:bCs/>
        </w:rPr>
        <w:instrText>ADDIN CSL_CITATION {"citationItems":[{"id":"ITEM-1","itemData":{"ISBN":"9781315196350","author":[{"dropping-particle":"","family":"Kahneman","given":"Daniel","non-dropping-particle":"","parse-names":false,"suffix":""},{"dropping-particle":"","family":"Knetsch","given":"Jack L.","non-dropping-particle":"","parse-names":false,"suffix":""},{"dropping-particle":"","family":"Thaler","given":"Richard H.","non-dropping-particle":"","parse-names":false,"suffix":""}],"container-title":"Experiments in Environmental Economics","id":"ITEM-1","issue":"1","issued":{"date-parts":[["1991"]]},"page":"243-256","title":"The endowment effect, Loss Aversion, and Status Quo Bias","type":"article-journal","volume":"1"},"uris":["http://www.mendeley.com/documents/?uuid=36f2e48d-508d-48e6-9f65-0172b2d40c19"]}],"mendeley":{"formattedCitation":"(Kahneman et al., 1991)","plainTextFormattedCitation":"(Kahneman et al., 1991)","previouslyFormattedCitation":"(Kahneman et al., 1991)"},"properties":{"noteIndex":0},"schema":"https://github.com/citation-style-language/schema/raw/master/csl-citation.json"}</w:instrText>
      </w:r>
      <w:r>
        <w:rPr>
          <w:bCs/>
        </w:rPr>
        <w:fldChar w:fldCharType="separate"/>
      </w:r>
      <w:r w:rsidRPr="007D49BA">
        <w:rPr>
          <w:bCs/>
          <w:noProof/>
        </w:rPr>
        <w:t>(Kahneman et al., 1991)</w:t>
      </w:r>
      <w:r>
        <w:rPr>
          <w:bCs/>
        </w:rPr>
        <w:fldChar w:fldCharType="end"/>
      </w:r>
      <w:r>
        <w:rPr>
          <w:bCs/>
        </w:rPr>
        <w:t>.</w:t>
      </w:r>
    </w:p>
    <w:p w14:paraId="13E5A7AA" w14:textId="77777777" w:rsidR="00884E52" w:rsidRDefault="00884E52" w:rsidP="00884E52">
      <w:pPr>
        <w:rPr>
          <w:bCs/>
        </w:rPr>
      </w:pPr>
    </w:p>
    <w:p w14:paraId="6C5DE9B1" w14:textId="77777777" w:rsidR="00884E52" w:rsidRDefault="00884E52" w:rsidP="00884E52">
      <w:pPr>
        <w:rPr>
          <w:bCs/>
        </w:rPr>
      </w:pPr>
      <w:r>
        <w:rPr>
          <w:bCs/>
        </w:rPr>
        <w:t xml:space="preserve">In the BDM context, this predicts that participants in an auction should place a greater value on the budget they begin each trial with, compared to an equivalent good being auctioned. Therefore, participants should lower their bids compared to their true valuation of an auction good. This can be seen in experimental tests of the BDM, where the WTP for a good is systematically lower than its inverse, the WTA </w:t>
      </w:r>
      <w:r>
        <w:rPr>
          <w:bCs/>
        </w:rPr>
        <w:fldChar w:fldCharType="begin" w:fldLock="1"/>
      </w:r>
      <w:r>
        <w:rPr>
          <w:bCs/>
        </w:rPr>
        <w:instrText>ADDIN CSL_CITATION {"citationItems":[{"id":"ITEM-1","itemData":{"DOI":"10.1037/bul0000095","ISSN":"00332909","PMID":"28263644","abstract":"A large body of empirical research has examined the impact of trading perspective on pricing of consumer products, with the typical finding being that selling prices exceed buying prices (i.e., the endowment effect). Using a meta-analytic approach, we examine to what extent the endowment effect also emerges in the pricing of monetary lotteries. As monetary lotteries have a clearly defined normative value, we also assess whether one trading perspective is more biased than the other. We consider several indicators of bias: absolute deviation from expected values, rank correlation with expected values, overall variance, and per-unit variance. The meta-analysis, which includes 35 articles, indicates that selling prices considerably exceed buying prices (Cohen's d = 0.58). Importantly, we also find that selling prices deviate less from the lotteries' expected values than buying prices, both in absolute and in relative terms. Selling prices also exhibit lower variance per unit. Hierarchical Bayesian modeling with cumulative prospect theory indicates that buyers have lower probability sensitivity and a more pronounced response bias. The finding that selling prices are more in line with normative standards than buying prices challenges the prominent account whereby sellers' valuations are upward biased due to loss aversion, and supports alternative theoretical accounts.","author":[{"dropping-particle":"","family":"Yechiam","given":"Eldad","non-dropping-particle":"","parse-names":false,"suffix":""},{"dropping-particle":"","family":"Ashby","given":"Nathaniel J.S.","non-dropping-particle":"","parse-names":false,"suffix":""}],"container-title":"Psychological Bulletin","id":"ITEM-1","issue":"5","issued":{"date-parts":[["2017"]]},"page":"543-563","title":"Who's biased? A meta-analysis of buyer-seller differences in the pricing of lotteries","type":"article-journal","volume":"143"},"uris":["http://www.mendeley.com/documents/?uuid=4211435f-188b-4efb-9321-1a1ff5dc7066"]}],"mendeley":{"formattedCitation":"(Yechiam &amp; Ashby, 2017)","plainTextFormattedCitation":"(Yechiam &amp; Ashby, 2017)","previouslyFormattedCitation":"(Yechiam &amp; Ashby, 2017)"},"properties":{"noteIndex":0},"schema":"https://github.com/citation-style-language/schema/raw/master/csl-citation.json"}</w:instrText>
      </w:r>
      <w:r>
        <w:rPr>
          <w:bCs/>
        </w:rPr>
        <w:fldChar w:fldCharType="separate"/>
      </w:r>
      <w:r w:rsidRPr="0013145A">
        <w:rPr>
          <w:bCs/>
          <w:noProof/>
        </w:rPr>
        <w:t>(Yechiam &amp; Ashby, 2017)</w:t>
      </w:r>
      <w:r>
        <w:rPr>
          <w:bCs/>
        </w:rPr>
        <w:fldChar w:fldCharType="end"/>
      </w:r>
      <w:r>
        <w:rPr>
          <w:bCs/>
        </w:rPr>
        <w:t xml:space="preserve">. </w:t>
      </w:r>
    </w:p>
    <w:p w14:paraId="69DB0955" w14:textId="77777777" w:rsidR="00884E52" w:rsidRDefault="00884E52" w:rsidP="00884E52">
      <w:pPr>
        <w:rPr>
          <w:bCs/>
        </w:rPr>
      </w:pPr>
    </w:p>
    <w:p w14:paraId="13020096" w14:textId="77777777" w:rsidR="00884E52" w:rsidRDefault="00884E52" w:rsidP="00884E52">
      <w:pPr>
        <w:rPr>
          <w:bCs/>
        </w:rPr>
      </w:pPr>
      <w:r>
        <w:rPr>
          <w:bCs/>
        </w:rPr>
        <w:t xml:space="preserve">It has been argued that the endowment effect in the BDM paradigm is simply an effect of participants not sufficiently understanding the BDM task </w:t>
      </w:r>
      <w:r>
        <w:rPr>
          <w:bCs/>
        </w:rPr>
        <w:fldChar w:fldCharType="begin" w:fldLock="1"/>
      </w:r>
      <w:r>
        <w:rPr>
          <w:bCs/>
        </w:rPr>
        <w:instrText>ADDIN CSL_CITATION {"citationItems":[{"id":"ITEM-1","itemData":{"DOI":"10.1257/aer.101.2.1012","ISSN":"00028282","author":[{"dropping-particle":"","family":"Plott","given":"Charles R.","non-dropping-particle":"","parse-names":false,"suffix":""},{"dropping-particle":"","family":"Zeiler","given":"Kathryn","non-dropping-particle":"","parse-names":false,"suffix":""}],"container-title":"American Economic Review","id":"ITEM-1","issue":"3","issued":{"date-parts":[["2005"]]},"page":"530-545","title":"The willingness to pay - Willingness to accept gap, the \"Endowment effect,\" subject misconceptions, and experimental procedures for eliciting valuations","type":"article-journal","volume":"95"},"uris":["http://www.mendeley.com/documents/?uuid=92372e8f-409a-4773-aa21-e95f3789159e"]}],"mendeley":{"formattedCitation":"(Plott &amp; Zeiler, 2005)","plainTextFormattedCitation":"(Plott &amp; Zeiler, 2005)","previouslyFormattedCitation":"(Plott &amp; Zeiler, 2005)"},"properties":{"noteIndex":0},"schema":"https://github.com/citation-style-language/schema/raw/master/csl-citation.json"}</w:instrText>
      </w:r>
      <w:r>
        <w:rPr>
          <w:bCs/>
        </w:rPr>
        <w:fldChar w:fldCharType="separate"/>
      </w:r>
      <w:r w:rsidRPr="0046265E">
        <w:rPr>
          <w:bCs/>
          <w:noProof/>
        </w:rPr>
        <w:t>(Plott &amp; Zeiler, 2005)</w:t>
      </w:r>
      <w:r>
        <w:rPr>
          <w:bCs/>
        </w:rPr>
        <w:fldChar w:fldCharType="end"/>
      </w:r>
      <w:r>
        <w:rPr>
          <w:bCs/>
        </w:rPr>
        <w:t xml:space="preserve">.  These findings remain contentious </w:t>
      </w:r>
      <w:r>
        <w:rPr>
          <w:bCs/>
        </w:rPr>
        <w:fldChar w:fldCharType="begin" w:fldLock="1"/>
      </w:r>
      <w:r>
        <w:rPr>
          <w:bCs/>
        </w:rPr>
        <w:instrText>ADDIN CSL_CITATION {"citationItems":[{"id":"ITEM-1","itemData":{"author":[{"dropping-particle":"","family":"Isoni","given":"By Andrea","non-dropping-particle":"","parse-names":false,"suffix":""},{"dropping-particle":"","family":"Loomes","given":"Graham","non-dropping-particle":"","parse-names":false,"suffix":""},{"dropping-particle":"","family":"Sugden","given":"Robert","non-dropping-particle":"","parse-names":false,"suffix":""}],"id":"ITEM-1","issue":"2","issued":{"date-parts":[["2011"]]},"page":"991-1011","title":"The Willingness to Pay — Willingness to Accept Gap , the \" Endowment Effect ,\" Subject Misconceptions , and Experimental Procedures for Eliciting Valuations : Comment Author ( s ): Andrea Isoni , Graham Loomes and Robert Sugden Source : The American Econo","type":"article-journal","volume":"101"},"uris":["http://www.mendeley.com/documents/?uuid=e9a36ab3-3702-411e-bd77-7ac58cd9f4ba"]}],"mendeley":{"formattedCitation":"(Isoni et al., 2011)","manualFormatting":"(Isoni et al., 2011","plainTextFormattedCitation":"(Isoni et al., 2011)","previouslyFormattedCitation":"(Isoni et al., 2011)"},"properties":{"noteIndex":0},"schema":"https://github.com/citation-style-language/schema/raw/master/csl-citation.json"}</w:instrText>
      </w:r>
      <w:r>
        <w:rPr>
          <w:bCs/>
        </w:rPr>
        <w:fldChar w:fldCharType="separate"/>
      </w:r>
      <w:r w:rsidRPr="0046265E">
        <w:rPr>
          <w:bCs/>
          <w:noProof/>
        </w:rPr>
        <w:t>(Isoni et al., 2011</w:t>
      </w:r>
      <w:r>
        <w:rPr>
          <w:bCs/>
        </w:rPr>
        <w:fldChar w:fldCharType="end"/>
      </w:r>
      <w:r>
        <w:rPr>
          <w:bCs/>
        </w:rPr>
        <w:t xml:space="preserve">, </w:t>
      </w:r>
      <w:r>
        <w:rPr>
          <w:bCs/>
        </w:rPr>
        <w:fldChar w:fldCharType="begin" w:fldLock="1"/>
      </w:r>
      <w:r>
        <w:rPr>
          <w:bCs/>
        </w:rPr>
        <w:instrText>ADDIN CSL_CITATION {"citationItems":[{"id":"ITEM-1","itemData":{"DOI":"10.1257/aer.101.2.1012","ISSN":"00028282","author":[{"dropping-particle":"","family":"Plott","given":"Charles R.","non-dropping-particle":"","parse-names":false,"suffix":""},{"dropping-particle":"","family":"Zeiler","given":"Kathryn","non-dropping-particle":"","parse-names":false,"suffix":""}],"container-title":"American Economic Review","id":"ITEM-1","issue":"2","issued":{"date-parts":[["2011"]]},"page":"1012-1028","title":"The willingness to pay - Willingness to accept gap, the \"Endowment effect,\" subject misconceptions, and experimental procedures for eliciting valuations: Reply","type":"article-journal","volume":"101"},"uris":["http://www.mendeley.com/documents/?uuid=eab4526d-939b-4229-9a98-04238cc09b80"]}],"mendeley":{"formattedCitation":"(Plott &amp; Zeiler, 2011)","manualFormatting":"Plott &amp; Zeiler, 2011)","plainTextFormattedCitation":"(Plott &amp; Zeiler, 2011)","previouslyFormattedCitation":"(Plott &amp; Zeiler, 2011)"},"properties":{"noteIndex":0},"schema":"https://github.com/citation-style-language/schema/raw/master/csl-citation.json"}</w:instrText>
      </w:r>
      <w:r>
        <w:rPr>
          <w:bCs/>
        </w:rPr>
        <w:fldChar w:fldCharType="separate"/>
      </w:r>
      <w:r w:rsidRPr="0013145A">
        <w:rPr>
          <w:bCs/>
          <w:noProof/>
        </w:rPr>
        <w:t>Plott &amp; Zeiler, 2011)</w:t>
      </w:r>
      <w:r>
        <w:rPr>
          <w:bCs/>
        </w:rPr>
        <w:fldChar w:fldCharType="end"/>
      </w:r>
      <w:r>
        <w:rPr>
          <w:bCs/>
        </w:rPr>
        <w:t xml:space="preserve">, especially as a meta-analysis by </w:t>
      </w:r>
      <w:r>
        <w:rPr>
          <w:bCs/>
        </w:rPr>
        <w:fldChar w:fldCharType="begin" w:fldLock="1"/>
      </w:r>
      <w:r>
        <w:rPr>
          <w:bCs/>
        </w:rPr>
        <w:instrText>ADDIN CSL_CITATION {"citationItems":[{"id":"ITEM-1","itemData":{"DOI":"10.1016/j.jeem.2014.06.001","ISSN":"10960449","abstract":"This study reports a new meta-analysis of papers that elicit willingness-to-pay (WTP) and willingness-to-accept compensation (WTA) measures of value for the same good. We investigate the effects of type of good and several survey-design features on the WTP/WTA disparity, measured as the logarithm of the ratio of mean WTA to mean WTP. Confirming Horowitz and McConnell's (2002) pioneering meta-analysis, we find the disparity is smaller for ordinary private goods than for public and non-market goods, that it is not solely an artifact of using hypothetical transactions or other weak experimental or survey methods, and that it is smaller for studies using student subjects. In addition, we find that the disparity is smaller when subjects have experience valuing the good in real markets or through repeated experimental trials. In contrast to Horowitz and McConnell, we find the disparity is significantly smaller in studies using incentive-compatible elicitation mechanisms. The disparity is smaller in more recent studies, an effect that is attributable only in part to changes in study characteristics. © 2014 Elsevier Inc.","author":[{"dropping-particle":"","family":"Tunçel","given":"Tuba","non-dropping-particle":"","parse-names":false,"suffix":""},{"dropping-particle":"","family":"Hammitt","given":"James K.","non-dropping-particle":"","parse-names":false,"suffix":""}],"container-title":"Journal of Environmental Economics and Management","id":"ITEM-1","issue":"1","issued":{"date-parts":[["2014"]]},"page":"175-187","publisher":"Elsevier","title":"A new meta-analysis on the WTP/WTA disparity","type":"article-journal","volume":"68"},"uris":["http://www.mendeley.com/documents/?uuid=691747d1-fe91-418b-b764-ad009b4ce686"]}],"mendeley":{"formattedCitation":"(Tunçel &amp; Hammitt, 2014)","manualFormatting":"Tunçel &amp; Hammitt","plainTextFormattedCitation":"(Tunçel &amp; Hammitt, 2014)","previouslyFormattedCitation":"(Tunçel &amp; Hammitt, 2014)"},"properties":{"noteIndex":0},"schema":"https://github.com/citation-style-language/schema/raw/master/csl-citation.json"}</w:instrText>
      </w:r>
      <w:r>
        <w:rPr>
          <w:bCs/>
        </w:rPr>
        <w:fldChar w:fldCharType="separate"/>
      </w:r>
      <w:r w:rsidRPr="00C4317F">
        <w:rPr>
          <w:bCs/>
          <w:noProof/>
        </w:rPr>
        <w:t>Tunçel &amp; Hammitt</w:t>
      </w:r>
      <w:r>
        <w:rPr>
          <w:bCs/>
        </w:rPr>
        <w:fldChar w:fldCharType="end"/>
      </w:r>
      <w:r>
        <w:rPr>
          <w:bCs/>
        </w:rPr>
        <w:t xml:space="preserve"> showed that the WTA-WTP disparity is </w:t>
      </w:r>
      <w:r>
        <w:rPr>
          <w:bCs/>
          <w:i/>
          <w:iCs/>
        </w:rPr>
        <w:t>greater</w:t>
      </w:r>
      <w:r>
        <w:rPr>
          <w:bCs/>
        </w:rPr>
        <w:t xml:space="preserve"> in simpler, non-incentive-compatible methods. This meta-analysis also found that when subjects had the ability to perform multiple trials to gain familiarity with the results of a BDM study, the WTP-WTA gap shrank.</w:t>
      </w:r>
    </w:p>
    <w:p w14:paraId="4EDD33E3" w14:textId="77777777" w:rsidR="00884E52" w:rsidRDefault="00884E52" w:rsidP="00884E52">
      <w:pPr>
        <w:rPr>
          <w:bCs/>
        </w:rPr>
      </w:pPr>
    </w:p>
    <w:p w14:paraId="171C6A8D" w14:textId="77777777" w:rsidR="00884E52" w:rsidRDefault="00884E52" w:rsidP="00884E52">
      <w:pPr>
        <w:rPr>
          <w:bCs/>
        </w:rPr>
      </w:pPr>
      <w:r>
        <w:rPr>
          <w:bCs/>
        </w:rPr>
        <w:t>If it is the case that a greater understanding, or at least greater experience with, the task can reduce the disparity between elicited willingness-to-pay and willingness-to-accept values, then experiments using animal participants trained on many thousands of trials should be resistant to the endowment effect. Additionally, we hypothesise that the utility signal measured neuronally in this thesis is downstream of such effects and is already ‘priced in’ to our measurements of utility.</w:t>
      </w:r>
    </w:p>
    <w:p w14:paraId="383069F5" w14:textId="77777777" w:rsidR="00884E52" w:rsidRDefault="00884E52" w:rsidP="00884E52">
      <w:pPr>
        <w:rPr>
          <w:bCs/>
        </w:rPr>
      </w:pPr>
    </w:p>
    <w:p w14:paraId="345DA177" w14:textId="77777777" w:rsidR="00884E52" w:rsidRPr="00645B74" w:rsidRDefault="00884E52" w:rsidP="00884E52">
      <w:pPr>
        <w:rPr>
          <w:bCs/>
        </w:rPr>
      </w:pPr>
      <w:r>
        <w:rPr>
          <w:bCs/>
        </w:rPr>
        <w:t xml:space="preserve">Perhaps the fundamental irony in studies of the incentive-compatible nature of the BDM is that the original 1964 paper rejects the idea of the BDM as an incentive-compatible paradigm. This is hypothesised to be due to the subject’s lack of familiarity and understanding of the task (see also </w:t>
      </w:r>
      <w:r>
        <w:rPr>
          <w:bCs/>
        </w:rPr>
        <w:fldChar w:fldCharType="begin" w:fldLock="1"/>
      </w:r>
      <w:r>
        <w:rPr>
          <w:bCs/>
        </w:rPr>
        <w:instrText>ADDIN CSL_CITATION {"citationItems":[{"id":"ITEM-1","itemData":{"DOI":"10.1086/677254","ISSN":"1537534X","abstract":"This study explores the tension between the standard economic theory of preference and nonstandard theories of preference that are motivated by an underlying theory of framing. A simple experiment fails to measure a known preference. The divergence of the measured preference from the known preference reflects a mistake, arising from some subjects’ misconception of the game form. We conclude that choice data should not be granted an unqualified interpretation of preference revelation. Mistakes in choices obscured by a possible error at the foundation of the theory of framing can masquerade as having been produced by nonstandard preferences.","author":[{"dropping-particle":"","family":"Cason","given":"Timothy N.","non-dropping-particle":"","parse-names":false,"suffix":""},{"dropping-particle":"","family":"Plott","given":"Charles R.","non-dropping-particle":"","parse-names":false,"suffix":""}],"container-title":"Journal of Political Economy","id":"ITEM-1","issue":"6","issued":{"date-parts":[["2014"]]},"page":"1235-1270","title":"Misconceptions and game form recognition: Challenges to theories of revealed preference and framing","type":"article-journal","volume":"122"},"uris":["http://www.mendeley.com/documents/?uuid=6fc21159-1462-4051-89a9-9b69d40eebcf"]}],"mendeley":{"formattedCitation":"(Cason &amp; Plott, 2014)","manualFormatting":"Cason &amp; Plott, 2014","plainTextFormattedCitation":"(Cason &amp; Plott, 2014)","previouslyFormattedCitation":"(Cason &amp; Plott, 2014)"},"properties":{"noteIndex":0},"schema":"https://github.com/citation-style-language/schema/raw/master/csl-citation.json"}</w:instrText>
      </w:r>
      <w:r>
        <w:rPr>
          <w:bCs/>
        </w:rPr>
        <w:fldChar w:fldCharType="separate"/>
      </w:r>
      <w:r w:rsidRPr="00E93067">
        <w:rPr>
          <w:bCs/>
          <w:noProof/>
        </w:rPr>
        <w:t>Cason &amp; Plott, 2014</w:t>
      </w:r>
      <w:r>
        <w:rPr>
          <w:bCs/>
        </w:rPr>
        <w:fldChar w:fldCharType="end"/>
      </w:r>
      <w:r>
        <w:rPr>
          <w:bCs/>
        </w:rPr>
        <w:t>). As the original paper concludes:</w:t>
      </w:r>
      <w:r>
        <w:rPr>
          <w:bCs/>
        </w:rPr>
        <w:br/>
      </w:r>
      <w:r>
        <w:rPr>
          <w:bCs/>
        </w:rPr>
        <w:br/>
      </w:r>
      <w:r w:rsidRPr="00645B74">
        <w:rPr>
          <w:bCs/>
          <w:i/>
          <w:iCs/>
        </w:rPr>
        <w:t>“The inconsistency of the responses of two subjects led to the rejection of the model. However, as the subjects became more familiar with the task their experience appeared to lead to more consistent behavio</w:t>
      </w:r>
      <w:r>
        <w:rPr>
          <w:bCs/>
          <w:i/>
          <w:iCs/>
        </w:rPr>
        <w:t>u</w:t>
      </w:r>
      <w:r w:rsidRPr="00645B74">
        <w:rPr>
          <w:bCs/>
          <w:i/>
          <w:iCs/>
        </w:rPr>
        <w:t>r and less deviation from the results specified by the utility model. Thus, despite the rejection of the model in the strict sense, it is felt that it does, at least, approximate the observed behavio</w:t>
      </w:r>
      <w:r>
        <w:rPr>
          <w:bCs/>
          <w:i/>
          <w:iCs/>
        </w:rPr>
        <w:t>u</w:t>
      </w:r>
      <w:r w:rsidRPr="00645B74">
        <w:rPr>
          <w:bCs/>
          <w:i/>
          <w:iCs/>
        </w:rPr>
        <w:t>r.”</w:t>
      </w:r>
    </w:p>
    <w:p w14:paraId="07081452" w14:textId="77777777" w:rsidR="00884E52" w:rsidRDefault="00884E52" w:rsidP="00884E52">
      <w:pPr>
        <w:autoSpaceDE w:val="0"/>
        <w:autoSpaceDN w:val="0"/>
        <w:adjustRightInd w:val="0"/>
        <w:rPr>
          <w:bCs/>
        </w:rPr>
      </w:pPr>
    </w:p>
    <w:p w14:paraId="5C004935" w14:textId="77777777" w:rsidR="00884E52" w:rsidRPr="00E77EEB" w:rsidRDefault="00884E52" w:rsidP="00884E52">
      <w:pPr>
        <w:rPr>
          <w:b/>
          <w:u w:val="single"/>
        </w:rPr>
      </w:pPr>
      <w:r>
        <w:rPr>
          <w:b/>
          <w:u w:val="single"/>
        </w:rPr>
        <w:t>Getting a monkey to do your bidding</w:t>
      </w:r>
    </w:p>
    <w:p w14:paraId="120551AB" w14:textId="77777777" w:rsidR="00884E52" w:rsidRDefault="00884E52" w:rsidP="00884E52">
      <w:pPr>
        <w:rPr>
          <w:bCs/>
        </w:rPr>
      </w:pPr>
    </w:p>
    <w:p w14:paraId="711AD7AC" w14:textId="77777777" w:rsidR="00884E52" w:rsidRDefault="00884E52" w:rsidP="00884E52">
      <w:pPr>
        <w:rPr>
          <w:bCs/>
        </w:rPr>
      </w:pPr>
      <w:r>
        <w:rPr>
          <w:bCs/>
        </w:rPr>
        <w:t xml:space="preserve">The incentive compatible nature of the BDM means that there is no cost and (for instance, in overcoming the endowment effect) some benefits to fully explaining the task and optimal strategies to human participants of economic research. </w:t>
      </w:r>
      <w:r>
        <w:rPr>
          <w:bCs/>
        </w:rPr>
        <w:fldChar w:fldCharType="begin" w:fldLock="1"/>
      </w:r>
      <w:r>
        <w:rPr>
          <w:bCs/>
        </w:rPr>
        <w:instrText>ADDIN CSL_CITATION {"citationItems":[{"id":"ITEM-1","itemData":{"DOI":"10.1111/j.1465-7295.1998.tb01713.x","ISSN":"00952583","abstract":"This paper reports on three laboratory experiments designed to investigate the roles of decision costs and rewards on the accuracy of economic decisions. The experimental vehicle is a purchase decision employing the Becker-DeGroot-Marshak (BDM) mechanism. The first experiment verifies the incentive-compatibility of the BDM in a pure induced-value setting; the second tests its performance under different information regimes and payoff schedules ; the third addresses the role of feedback information. Steep payoff schedules are found to be necessary to optimizing behavior only in cases where subjects must search out an optimal strategy rather than being able to deduce it from information provided. (JEL C91, D83).","author":[{"dropping-particle":"","family":"Irwin","given":"Julie R.","non-dropping-particle":"","parse-names":false,"suffix":""},{"dropping-particle":"","family":"McClelland","given":"Gary H.","non-dropping-particle":"","parse-names":false,"suffix":""},{"dropping-particle":"","family":"McKee","given":"Michael","non-dropping-particle":"","parse-names":false,"suffix":""},{"dropping-particle":"","family":"Schulze","given":"William D.","non-dropping-particle":"","parse-names":false,"suffix":""},{"dropping-particle":"","family":"Norden","given":"N. Elizabeth","non-dropping-particle":"","parse-names":false,"suffix":""}],"container-title":"Economic Inquiry","id":"ITEM-1","issue":"2","issued":{"date-parts":[["1998"]]},"page":"272-285","title":"Payoff dominance vs. cognitive transparency in decision making","type":"article-journal","volume":"36"},"uris":["http://www.mendeley.com/documents/?uuid=001557c5-860c-459d-b8df-d9c1e9c62e64"]}],"mendeley":{"formattedCitation":"(Irwin et al., 1998)","manualFormatting":"Irwin et al.","plainTextFormattedCitation":"(Irwin et al., 1998)","previouslyFormattedCitation":"(Irwin et al., 1998)"},"properties":{"noteIndex":0},"schema":"https://github.com/citation-style-language/schema/raw/master/csl-citation.json"}</w:instrText>
      </w:r>
      <w:r>
        <w:rPr>
          <w:bCs/>
        </w:rPr>
        <w:fldChar w:fldCharType="separate"/>
      </w:r>
      <w:r w:rsidRPr="00FC0890">
        <w:rPr>
          <w:bCs/>
          <w:noProof/>
        </w:rPr>
        <w:t>Irwin et al.</w:t>
      </w:r>
      <w:r>
        <w:rPr>
          <w:bCs/>
        </w:rPr>
        <w:fldChar w:fldCharType="end"/>
      </w:r>
      <w:r>
        <w:rPr>
          <w:bCs/>
        </w:rPr>
        <w:t xml:space="preserve"> studied the effect of this explanation upon WTP values elicited from the BDM by providing one set of participants with ‘full information’ about the task, including the value of the good they were bidding for, the distribution of the randomly drawn computer bid, and the results of each trial (the computer bid, whether they won or lost, and the total payoff for that trial). Full information subjects start with bids around half a dollar (from a range of $6) from optimal and over 13 rounds of bidding steadily improve their bidding until within $0.25 of the optimal bid. In contrast, a second group of ‘minimal information’ subjects receiving only the payoff from each trial (even excluding information signalling whether they won or lost the auction) were unable to produce optimal bidding.</w:t>
      </w:r>
    </w:p>
    <w:p w14:paraId="2DD0D76C" w14:textId="77777777" w:rsidR="00884E52" w:rsidRDefault="00884E52" w:rsidP="00884E52">
      <w:pPr>
        <w:rPr>
          <w:bCs/>
        </w:rPr>
      </w:pPr>
    </w:p>
    <w:p w14:paraId="3FE5207A" w14:textId="77777777" w:rsidR="00884E52" w:rsidRDefault="00884E52" w:rsidP="00884E52">
      <w:pPr>
        <w:rPr>
          <w:bCs/>
        </w:rPr>
      </w:pPr>
      <w:r>
        <w:rPr>
          <w:bCs/>
        </w:rPr>
        <w:t>The project presented in this thesis required the recording of deep brain structures, and therefore the use of non-human primates as subjects, precluding the possibility of a verbal explanation of strategies</w:t>
      </w:r>
      <w:r>
        <w:rPr>
          <w:rStyle w:val="FootnoteReference"/>
          <w:bCs/>
        </w:rPr>
        <w:footnoteReference w:id="33"/>
      </w:r>
      <w:r>
        <w:rPr>
          <w:bCs/>
        </w:rPr>
        <w:t xml:space="preserve">. Instead, we were forced to rely on reinforcement learning to guide the monkeys to the optimal strategy for the BDM. Decision policies that yield positive utility per trial should be reinforced and used on subsequent </w:t>
      </w:r>
      <w:r>
        <w:rPr>
          <w:bCs/>
        </w:rPr>
        <w:lastRenderedPageBreak/>
        <w:t xml:space="preserve">trials by the animal whereas those that yield a less than desirable outcome should be penalised. Our monkeys face conditions much more analogous to a separate experiment conducted by </w:t>
      </w:r>
      <w:r>
        <w:rPr>
          <w:bCs/>
        </w:rPr>
        <w:fldChar w:fldCharType="begin" w:fldLock="1"/>
      </w:r>
      <w:r>
        <w:rPr>
          <w:bCs/>
        </w:rPr>
        <w:instrText>ADDIN CSL_CITATION {"citationItems":[{"id":"ITEM-1","itemData":{"author":[{"dropping-particle":"","family":"Shogren","given":"Jason F","non-dropping-particle":"","parse-names":false,"suffix":""},{"dropping-particle":"","family":"Margolis","given":"Michael","non-dropping-particle":"","parse-names":false,"suffix":""},{"dropping-particle":"","family":"Koo","given":"Cannon","non-dropping-particle":"","parse-names":false,"suffix":""},{"dropping-particle":"","family":"List","given":"John A","non-dropping-particle":"","parse-names":false,"suffix":""}],"id":"ITEM-1","issued":{"date-parts":[["2001"]]},"page":"409-421","title":"A random n th-price auction","type":"article-journal","volume":"46"},"uris":["http://www.mendeley.com/documents/?uuid=9d8c73d9-a118-4f6f-9968-bb1485cd668f"]}],"mendeley":{"formattedCitation":"(Shogren et al., 2001)","manualFormatting":"Shogren et al.","plainTextFormattedCitation":"(Shogren et al., 2001)","previouslyFormattedCitation":"(Shogren et al., 2001)"},"properties":{"noteIndex":0},"schema":"https://github.com/citation-style-language/schema/raw/master/csl-citation.json"}</w:instrText>
      </w:r>
      <w:r>
        <w:rPr>
          <w:bCs/>
        </w:rPr>
        <w:fldChar w:fldCharType="separate"/>
      </w:r>
      <w:r w:rsidRPr="00AE3497">
        <w:rPr>
          <w:bCs/>
          <w:noProof/>
        </w:rPr>
        <w:t>Shogren et al.</w:t>
      </w:r>
      <w:r>
        <w:rPr>
          <w:bCs/>
        </w:rPr>
        <w:fldChar w:fldCharType="end"/>
      </w:r>
      <w:r>
        <w:rPr>
          <w:bCs/>
        </w:rPr>
        <w:t xml:space="preserve"> Subjects were kept in the ‘minimal information’ paradigm and asked to bid for tokens of an induced value of cash</w:t>
      </w:r>
      <w:r>
        <w:rPr>
          <w:rStyle w:val="FootnoteReference"/>
          <w:bCs/>
        </w:rPr>
        <w:footnoteReference w:id="34"/>
      </w:r>
      <w:r>
        <w:rPr>
          <w:bCs/>
        </w:rPr>
        <w:t xml:space="preserve"> but also were given information about the result of each trial (the second price and thus whether they won or lost the auction). In this setting, participants quickly approached the optimal strategy, and within 15 trials mean bids shaded the induced value of the auctioned good by $0.2 in a bidding range of $12. So long as the monkey has equivalent information about the setup (the good being auctioned and the budget range) and the outcome (the result of the auction and experience of the payoffs), they should similarly be able to learn the optimal BDM strategy.</w:t>
      </w:r>
    </w:p>
    <w:p w14:paraId="541BC4C8" w14:textId="77777777" w:rsidR="00884E52" w:rsidRDefault="00884E52" w:rsidP="00884E52">
      <w:pPr>
        <w:rPr>
          <w:bCs/>
        </w:rPr>
      </w:pPr>
    </w:p>
    <w:p w14:paraId="48590C0A" w14:textId="77777777" w:rsidR="00884E52" w:rsidRDefault="00884E52" w:rsidP="00884E52">
      <w:pPr>
        <w:rPr>
          <w:bCs/>
        </w:rPr>
      </w:pPr>
      <w:r>
        <w:rPr>
          <w:bCs/>
        </w:rPr>
        <w:t xml:space="preserve">When learning an economic task by reinforcement, our monkeys also have the advantage of being trained over many thousands of trials. Humans have a much greater choice when choosing to participate in decision making research and generally must be tempted with (expensive) monetary rewards. In human studies of the BDM, therefore, task design is a trade of between maximising the number of trials for greater sample size or maximising the incentive for participants to pay attention to the task at hand. This has traditionally been resolved by producing trials with hypothetically large incentives for truthful bidding, of which, one is randomly selected to be resolved at the end of the experiment </w:t>
      </w:r>
      <w:r>
        <w:rPr>
          <w:bCs/>
        </w:rPr>
        <w:fldChar w:fldCharType="begin" w:fldLock="1"/>
      </w:r>
      <w:r>
        <w:rPr>
          <w:bCs/>
        </w:rPr>
        <w:instrText>ADDIN CSL_CITATION {"citationItems":[{"id":"ITEM-1","itemData":{"author":[{"dropping-particle":"","family":"Jutta","given":"Roosen","non-dropping-particle":"","parse-names":false,"suffix":""},{"dropping-particle":"","family":"Marette","given":"Stephan","non-dropping-particle":"","parse-names":false,"suffix":""},{"dropping-particle":"","family":"Sandrine","given":"Blanchemanche","non-dropping-particle":"","parse-names":false,"suffix":""}],"container-title":"Economics Bulletin","id":"ITEM-1","issue":"2","issued":{"date-parts":[["2010"]]},"page":"1554-1563","title":"Value Elicitation using BDM and a Discrete Choice Mechanism Volume 30 , Issue 2 Value Elicitation using BDM and a Discrete Choice Mechanism","type":"article-journal","volume":"30"},"uris":["http://www.mendeley.com/documents/?uuid=dc44c45e-9bf1-4451-b118-a3a3dfc6c29e"]}],"mendeley":{"formattedCitation":"(Jutta et al., 2010)","plainTextFormattedCitation":"(Jutta et al., 2010)","previouslyFormattedCitation":"(Jutta et al., 2010)"},"properties":{"noteIndex":0},"schema":"https://github.com/citation-style-language/schema/raw/master/csl-citation.json"}</w:instrText>
      </w:r>
      <w:r>
        <w:rPr>
          <w:bCs/>
        </w:rPr>
        <w:fldChar w:fldCharType="separate"/>
      </w:r>
      <w:r w:rsidRPr="00353883">
        <w:rPr>
          <w:bCs/>
          <w:noProof/>
        </w:rPr>
        <w:t>(Jutta et al., 2010)</w:t>
      </w:r>
      <w:r>
        <w:rPr>
          <w:bCs/>
        </w:rPr>
        <w:fldChar w:fldCharType="end"/>
      </w:r>
      <w:r>
        <w:rPr>
          <w:bCs/>
        </w:rPr>
        <w:t xml:space="preserve">. However, this decouples the decision made by a subject from the reinforcing reward signal, as the payoff only comes at the end of each session. Using liquid-controlled monkeys bidding for juice rewards spending a (taste neutral) water budget allows us to circumvent this limitation; trained primates will regularly complete hundreds of trials for small amounts of liquid payment </w:t>
      </w:r>
      <w:r>
        <w:rPr>
          <w:bCs/>
        </w:rPr>
        <w:fldChar w:fldCharType="begin" w:fldLock="1"/>
      </w:r>
      <w:r>
        <w:rPr>
          <w:bCs/>
        </w:rPr>
        <w:instrText>ADDIN CSL_CITATION {"citationItems":[{"id":"ITEM-1","itemData":{"DOI":"10.1523/ENEURO.0195-16.2016","ISSN":"23732822","abstract":"Rhesus macaques are an important model in behavioral neuroscience due to their advanced cognitive abilities. To motivate animals to engage in complex tasks, fluid rewards, in conjunction with fluid control protocols, are often used. The impact of these protocols on animal welfare is controversial. We compared two fluid control protocols against a protocol providing free access to water and evaluated the impacts on physiological states of hydration, behavioral measures of welfare, and scientific output. Blood physiology did not significantly differ between any of the protocols, and urine measures were indicative of well functioning, healthy kidneys. Changes in behaviors were limited, the main one being an increase in motivation to drink on the stricter fluid control protocol, and improved task performance early in the week. Overall, fluid control protocols had little measurable impact on the welfare of rhesus macaques while ensuring that scientific data of high quality could be obtained.","author":[{"dropping-particle":"","family":"Gray","given":"Helen","non-dropping-particle":"","parse-names":false,"suffix":""},{"dropping-particle":"","family":"Bertrand","given":"Henri","non-dropping-particle":"","parse-names":false,"suffix":""},{"dropping-particle":"","family":"Mindus","given":"Claire","non-dropping-particle":"","parse-names":false,"suffix":""},{"dropping-particle":"","family":"Flecknell","given":"Paul","non-dropping-particle":"","parse-names":false,"suffix":""},{"dropping-particle":"","family":"Rowe","given":"Candy","non-dropping-particle":"","parse-names":false,"suffix":""},{"dropping-particle":"","family":"Thiele","given":"Alexander","non-dropping-particle":"","parse-names":false,"suffix":""}],"container-title":"eNeuro","id":"ITEM-1","issue":"4","issued":{"date-parts":[["2016"]]},"page":"1-15","title":"Physiological, behavioral, and scientific impact of different fluid control protocols in the rhesus macaque (Macaca mulatta)","type":"article-journal","volume":"3"},"uris":["http://www.mendeley.com/documents/?uuid=6da10ec9-21c7-4945-ae50-563b0b84b430"]}],"mendeley":{"formattedCitation":"(Gray et al., 2016)","plainTextFormattedCitation":"(Gray et al., 2016)","previouslyFormattedCitation":"(Gray et al., 2016)"},"properties":{"noteIndex":0},"schema":"https://github.com/citation-style-language/schema/raw/master/csl-citation.json"}</w:instrText>
      </w:r>
      <w:r>
        <w:rPr>
          <w:bCs/>
        </w:rPr>
        <w:fldChar w:fldCharType="separate"/>
      </w:r>
      <w:r w:rsidRPr="005B3664">
        <w:rPr>
          <w:bCs/>
          <w:noProof/>
        </w:rPr>
        <w:t>(Gray et al., 2016)</w:t>
      </w:r>
      <w:r>
        <w:rPr>
          <w:bCs/>
        </w:rPr>
        <w:fldChar w:fldCharType="end"/>
      </w:r>
      <w:r>
        <w:rPr>
          <w:bCs/>
        </w:rPr>
        <w:t xml:space="preserve">.  </w:t>
      </w:r>
    </w:p>
    <w:p w14:paraId="1B2FBE3E" w14:textId="77777777" w:rsidR="00884E52" w:rsidRDefault="00884E52" w:rsidP="00884E52">
      <w:pPr>
        <w:rPr>
          <w:bCs/>
        </w:rPr>
      </w:pPr>
    </w:p>
    <w:p w14:paraId="11A20580" w14:textId="77777777" w:rsidR="00884E52" w:rsidRDefault="00884E52" w:rsidP="00884E52">
      <w:pPr>
        <w:rPr>
          <w:bCs/>
        </w:rPr>
      </w:pPr>
      <w:r>
        <w:rPr>
          <w:bCs/>
        </w:rPr>
        <w:t>Despite the promising findings of Shogren et al. and Irwin et al., we might still expect to require training the primates across many hundreds, if not thousands, of trials due to the shallow payoff gradient present in the BDM. Figure 2.3 shows the expected payoff for subjects making bids on a range of 0-10 for goods in the same range (0-8.75 in steps of 1.25) against 3 different strategies of randomly drawn computer bids. The units for the bids, good and (therefore) expected payoff are in unitless ‘utils’ in this graph, but for comprehension’s sake, it may be easier to imagine dollar amounts.</w:t>
      </w:r>
    </w:p>
    <w:p w14:paraId="0FB9C317" w14:textId="77777777" w:rsidR="00884E52" w:rsidRDefault="00884E52" w:rsidP="00884E52">
      <w:pPr>
        <w:rPr>
          <w:bCs/>
        </w:rPr>
      </w:pPr>
    </w:p>
    <w:p w14:paraId="647DF6AF" w14:textId="77777777" w:rsidR="00884E52" w:rsidRDefault="00884E52" w:rsidP="00884E52">
      <w:pPr>
        <w:rPr>
          <w:bCs/>
        </w:rPr>
      </w:pPr>
      <w:r>
        <w:rPr>
          <w:bCs/>
        </w:rPr>
        <w:t xml:space="preserve">Regardless of the computer bid distribution, the optimal bid is always bidding one’s true utility. This can be seen with the red dots which indicate the maximum expected payoff for each good falling exactly on the breaks of the graph equal to the utility level of the auctioned good. However, the distribution of the computer bids </w:t>
      </w:r>
      <w:r>
        <w:rPr>
          <w:bCs/>
          <w:i/>
          <w:iCs/>
        </w:rPr>
        <w:t>does</w:t>
      </w:r>
      <w:r>
        <w:rPr>
          <w:bCs/>
        </w:rPr>
        <w:t xml:space="preserve"> alter the maximum expected payoff as the computer bid determines the payoff for the win condition. Namely:</w:t>
      </w:r>
      <w:r>
        <w:rPr>
          <w:bCs/>
        </w:rPr>
        <w:br/>
      </w:r>
    </w:p>
    <w:p w14:paraId="4F6D93A8" w14:textId="77777777" w:rsidR="00884E52" w:rsidRDefault="00884E52" w:rsidP="00884E52">
      <w:pPr>
        <w:pStyle w:val="Caption"/>
        <w:keepNext/>
      </w:pPr>
      <w:r>
        <w:t>Equation 2.</w:t>
      </w:r>
      <w:r w:rsidR="004540CE">
        <w:fldChar w:fldCharType="begin"/>
      </w:r>
      <w:r w:rsidR="004540CE">
        <w:instrText xml:space="preserve"> SEQ Equation \* ARABIC </w:instrText>
      </w:r>
      <w:r w:rsidR="004540CE">
        <w:fldChar w:fldCharType="separate"/>
      </w:r>
      <w:r>
        <w:rPr>
          <w:noProof/>
        </w:rPr>
        <w:t>4</w:t>
      </w:r>
      <w:r w:rsidR="004540CE">
        <w:rPr>
          <w:noProof/>
        </w:rPr>
        <w:fldChar w:fldCharType="end"/>
      </w:r>
    </w:p>
    <w:p w14:paraId="39C66614" w14:textId="77777777" w:rsidR="00884E52" w:rsidRDefault="004540CE" w:rsidP="00884E52">
      <w:pPr>
        <w:rPr>
          <w:bCs/>
        </w:rPr>
      </w:pPr>
      <m:oMathPara>
        <m:oMath>
          <m:bar>
            <m:barPr>
              <m:pos m:val="top"/>
              <m:ctrlPr>
                <w:rPr>
                  <w:rFonts w:ascii="Cambria Math" w:hAnsi="Cambria Math"/>
                  <w:bCs/>
                </w:rPr>
              </m:ctrlPr>
            </m:barPr>
            <m:e>
              <m:r>
                <w:rPr>
                  <w:rFonts w:ascii="Cambria Math" w:hAnsi="Cambria Math"/>
                </w:rPr>
                <m:t>P</m:t>
              </m:r>
            </m:e>
          </m:ba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d>
            <m:dPr>
              <m:ctrlPr>
                <w:rPr>
                  <w:rFonts w:ascii="Cambria Math" w:hAnsi="Cambria Math"/>
                  <w:i/>
                </w:rPr>
              </m:ctrlPr>
            </m:d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m:t>
                      </m:r>
                    </m:sub>
                  </m:sSub>
                </m:e>
              </m:d>
            </m:e>
          </m:d>
        </m:oMath>
      </m:oMathPara>
    </w:p>
    <w:p w14:paraId="0B46E323" w14:textId="77777777" w:rsidR="00884E52" w:rsidRDefault="00884E52" w:rsidP="00884E52">
      <w:pPr>
        <w:rPr>
          <w:bCs/>
        </w:rPr>
      </w:pPr>
    </w:p>
    <w:p w14:paraId="39846F56" w14:textId="77777777" w:rsidR="00884E52" w:rsidRDefault="00884E52" w:rsidP="00884E52">
      <w:pPr>
        <w:rPr>
          <w:bCs/>
        </w:rPr>
      </w:pPr>
      <w:r>
        <w:rPr>
          <w:bCs/>
        </w:rPr>
        <w:t xml:space="preserve">Where </w:t>
      </w:r>
      <m:oMath>
        <m:r>
          <m:rPr>
            <m:sty m:val="bi"/>
          </m:rPr>
          <w:rPr>
            <w:rFonts w:ascii="Cambria Math" w:hAnsi="Cambria Math"/>
          </w:rPr>
          <m:t>G</m:t>
        </m:r>
      </m:oMath>
      <w:r>
        <w:rPr>
          <w:bCs/>
        </w:rPr>
        <w:t xml:space="preserve"> is the utility of a good being auctioned in terms of the currency of the budget used to bid for it (i.e. the numeraire).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max</m:t>
            </m:r>
          </m:sub>
        </m:sSub>
      </m:oMath>
      <w:r>
        <w:rPr>
          <w:b/>
        </w:rPr>
        <w:t xml:space="preserve"> </w:t>
      </w:r>
      <w:r w:rsidRPr="00920E5F">
        <w:rPr>
          <w:bCs/>
        </w:rPr>
        <w:t>i</w:t>
      </w:r>
      <w:r>
        <w:rPr>
          <w:bCs/>
        </w:rPr>
        <w:t xml:space="preserve">s the maximum possible bid a subject can make (assuming the lowest bid is zero, this is equal to the range of the budget).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computer</m:t>
            </m:r>
          </m:sub>
        </m:sSub>
      </m:oMath>
      <w:r>
        <w:rPr>
          <w:b/>
        </w:rPr>
        <w:t xml:space="preserve"> </w:t>
      </w:r>
      <w:r>
        <w:rPr>
          <w:bCs/>
        </w:rPr>
        <w:t xml:space="preserve">is the computer bid, as the subject will pay this </w:t>
      </w:r>
      <w:r>
        <w:rPr>
          <w:bCs/>
        </w:rPr>
        <w:lastRenderedPageBreak/>
        <w:t xml:space="preserve">second price from their total budget in the win condition. To calculate the </w:t>
      </w:r>
      <w:r>
        <w:rPr>
          <w:bCs/>
          <w:i/>
          <w:iCs/>
        </w:rPr>
        <w:t>expected</w:t>
      </w:r>
      <w:r>
        <w:rPr>
          <w:bCs/>
        </w:rPr>
        <w:t xml:space="preserve"> payoff, </w:t>
      </w:r>
      <m:oMath>
        <m:acc>
          <m:accPr>
            <m:chr m:val="̅"/>
            <m:ctrlPr>
              <w:rPr>
                <w:rFonts w:ascii="Cambria Math" w:hAnsi="Cambria Math"/>
                <w:bCs/>
                <w:i/>
              </w:rPr>
            </m:ctrlPr>
          </m:accPr>
          <m:e>
            <m:r>
              <m:rPr>
                <m:sty m:val="bi"/>
              </m:rPr>
              <w:rPr>
                <w:rFonts w:ascii="Cambria Math" w:hAnsi="Cambria Math"/>
              </w:rPr>
              <m:t>P</m:t>
            </m:r>
          </m:e>
        </m:acc>
      </m:oMath>
      <w:r>
        <w:rPr>
          <w:bCs/>
        </w:rPr>
        <w:t xml:space="preserve">, in this equation we use the </w:t>
      </w:r>
      <w:r>
        <w:rPr>
          <w:bCs/>
          <w:i/>
          <w:iCs/>
        </w:rPr>
        <w:t>expected</w:t>
      </w:r>
      <w:r>
        <w:rPr>
          <w:bCs/>
        </w:rPr>
        <w:t xml:space="preserve"> computer bid (</w:t>
      </w:r>
      <m:oMath>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B</m:t>
                </m:r>
              </m:e>
            </m:acc>
          </m:e>
          <m:sub>
            <m:r>
              <m:rPr>
                <m:sty m:val="bi"/>
              </m:rPr>
              <w:rPr>
                <w:rFonts w:ascii="Cambria Math" w:hAnsi="Cambria Math"/>
              </w:rPr>
              <m:t>computer</m:t>
            </m:r>
          </m:sub>
        </m:sSub>
      </m:oMath>
      <w:r>
        <w:rPr>
          <w:bCs/>
        </w:rPr>
        <w:t>). This expected payoff is then equal to the expected magnitude of the payoff to be won multiplied by a probability,</w:t>
      </w:r>
      <w:r>
        <w:rPr>
          <w:b/>
        </w:rPr>
        <w:t xml:space="preserve"> </w:t>
      </w:r>
      <m:oMath>
        <m:sSub>
          <m:sSubPr>
            <m:ctrlPr>
              <w:rPr>
                <w:rFonts w:ascii="Cambria Math" w:hAnsi="Cambria Math"/>
                <w:b/>
                <w:i/>
              </w:rPr>
            </m:ctrlPr>
          </m:sSubPr>
          <m:e>
            <m:r>
              <m:rPr>
                <m:sty m:val="bi"/>
              </m:rPr>
              <w:rPr>
                <w:rFonts w:ascii="Cambria Math" w:hAnsi="Cambria Math"/>
              </w:rPr>
              <m:t>p</m:t>
            </m:r>
          </m:e>
          <m:sub>
            <m:r>
              <m:rPr>
                <m:sty m:val="bi"/>
              </m:rPr>
              <w:rPr>
                <w:rFonts w:ascii="Cambria Math" w:hAnsi="Cambria Math"/>
              </w:rPr>
              <m:t>win</m:t>
            </m:r>
          </m:sub>
        </m:sSub>
      </m:oMath>
      <w:r>
        <w:rPr>
          <w:bCs/>
        </w:rPr>
        <w:t xml:space="preserve">. </w:t>
      </w:r>
    </w:p>
    <w:p w14:paraId="28B003DF" w14:textId="77777777" w:rsidR="00884E52" w:rsidRDefault="00884E52" w:rsidP="00884E52">
      <w:pPr>
        <w:rPr>
          <w:bCs/>
        </w:rPr>
      </w:pPr>
    </w:p>
    <w:p w14:paraId="03913C63" w14:textId="77777777" w:rsidR="00884E52" w:rsidRDefault="00884E52" w:rsidP="00884E52">
      <w:pPr>
        <w:rPr>
          <w:bCs/>
        </w:rPr>
      </w:pPr>
      <w:r>
        <w:rPr>
          <w:bCs/>
        </w:rPr>
        <w:t>When the computer bid is drawn from a uniform distribution across the bidding range, this chance of winning is equal to the percentage of maximum possible bid that the subject bids, and the expected payment is exactly equal to half of the subjects bid</w:t>
      </w:r>
      <w:r>
        <w:rPr>
          <w:rStyle w:val="FootnoteReference"/>
          <w:bCs/>
        </w:rPr>
        <w:footnoteReference w:id="35"/>
      </w:r>
      <w:r>
        <w:rPr>
          <w:bCs/>
        </w:rPr>
        <w:t xml:space="preserve">. For any rational bidder who seeks to maximise the payoff for any trial, the greatest possible expected payoff occurs when the good, </w:t>
      </w:r>
      <m:oMath>
        <m:r>
          <m:rPr>
            <m:sty m:val="bi"/>
          </m:rPr>
          <w:rPr>
            <w:rFonts w:ascii="Cambria Math" w:hAnsi="Cambria Math"/>
          </w:rPr>
          <m:t>G</m:t>
        </m:r>
      </m:oMath>
      <w:r w:rsidRPr="00AF5406">
        <w:rPr>
          <w:bCs/>
        </w:rPr>
        <w:t>,</w:t>
      </w:r>
      <w:r>
        <w:rPr>
          <w:b/>
        </w:rPr>
        <w:t xml:space="preserve"> </w:t>
      </w:r>
      <w:r>
        <w:rPr>
          <w:bCs/>
        </w:rPr>
        <w:t xml:space="preserve">being auctioned has a utility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(G)</m:t>
        </m:r>
      </m:oMath>
      <w:r w:rsidRPr="00AF5406">
        <w:rPr>
          <w:b/>
          <w:bCs/>
          <w:i/>
        </w:rPr>
        <w:t xml:space="preserve"> = B</w:t>
      </w:r>
      <w:r w:rsidRPr="00AF5406">
        <w:rPr>
          <w:b/>
          <w:bCs/>
          <w:i/>
          <w:vertAlign w:val="subscript"/>
        </w:rPr>
        <w:t>max</w:t>
      </w:r>
      <w:r w:rsidRPr="00A9357D">
        <w:rPr>
          <w:rStyle w:val="FootnoteReference"/>
          <w:bCs/>
        </w:rPr>
        <w:footnoteReference w:id="36"/>
      </w:r>
      <w:r>
        <w:rPr>
          <w:bCs/>
        </w:rPr>
        <w:t xml:space="preserve">, and the smallest possible expected payoff occurs when the good has a utility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bCs/>
        </w:rPr>
        <w:t>(</w:t>
      </w:r>
      <w:r>
        <w:rPr>
          <w:b/>
        </w:rPr>
        <w:t>G</w:t>
      </w:r>
      <w:r>
        <w:rPr>
          <w:bCs/>
        </w:rPr>
        <w:t>) = 0. Such a bidder therefore has an expected payoff on any trial of</w:t>
      </w:r>
    </w:p>
    <w:p w14:paraId="75C6422E" w14:textId="77777777" w:rsidR="00884E52" w:rsidRDefault="00884E52" w:rsidP="00884E52">
      <w:pPr>
        <w:pStyle w:val="Caption"/>
        <w:keepNext/>
      </w:pPr>
    </w:p>
    <w:p w14:paraId="51E5E2F5" w14:textId="77777777" w:rsidR="00884E52" w:rsidRDefault="00884E52" w:rsidP="00884E52">
      <w:pPr>
        <w:pStyle w:val="Caption"/>
        <w:keepNext/>
      </w:pPr>
      <w:r>
        <w:t>Equation 2.</w:t>
      </w:r>
      <w:r w:rsidR="004540CE">
        <w:fldChar w:fldCharType="begin"/>
      </w:r>
      <w:r w:rsidR="004540CE">
        <w:instrText xml:space="preserve"> SEQ Equation \* ARABIC </w:instrText>
      </w:r>
      <w:r w:rsidR="004540CE">
        <w:fldChar w:fldCharType="separate"/>
      </w:r>
      <w:r>
        <w:rPr>
          <w:noProof/>
        </w:rPr>
        <w:t>5</w:t>
      </w:r>
      <w:r w:rsidR="004540CE">
        <w:rPr>
          <w:noProof/>
        </w:rPr>
        <w:fldChar w:fldCharType="end"/>
      </w:r>
    </w:p>
    <w:p w14:paraId="7B40C1C5" w14:textId="77777777" w:rsidR="00884E52" w:rsidRPr="00351454" w:rsidRDefault="004540CE" w:rsidP="00884E52">
      <m:oMathPara>
        <m:oMath>
          <m:bar>
            <m:barPr>
              <m:pos m:val="top"/>
              <m:ctrlPr>
                <w:rPr>
                  <w:rFonts w:ascii="Cambria Math" w:hAnsi="Cambria Math"/>
                  <w:bCs/>
                </w:rPr>
              </m:ctrlPr>
            </m:barPr>
            <m:e>
              <m:r>
                <w:rPr>
                  <w:rFonts w:ascii="Cambria Math" w:hAnsi="Cambria Math"/>
                </w:rPr>
                <m:t>P</m:t>
              </m:r>
            </m:e>
          </m:ba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(G)=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m:t>
                  </m:r>
                </m:e>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(G)=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0</m:t>
                  </m:r>
                </m:e>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otherwise</m:t>
                  </m:r>
                </m:e>
              </m:eqArr>
            </m:e>
          </m:d>
        </m:oMath>
      </m:oMathPara>
    </w:p>
    <w:p w14:paraId="7E568A90" w14:textId="77777777" w:rsidR="00884E52" w:rsidRDefault="00884E52" w:rsidP="00884E52">
      <w:pPr>
        <w:rPr>
          <w:bCs/>
        </w:rPr>
      </w:pPr>
    </w:p>
    <w:p w14:paraId="590EBB02" w14:textId="77777777" w:rsidR="00884E52" w:rsidRDefault="00884E52" w:rsidP="00884E52">
      <w:pPr>
        <w:rPr>
          <w:bCs/>
        </w:rPr>
      </w:pPr>
      <w:r>
        <w:rPr>
          <w:bCs/>
        </w:rPr>
        <w:t>The derivation for these formulae can be found in appendix 2.3.</w:t>
      </w:r>
    </w:p>
    <w:p w14:paraId="25292FF1" w14:textId="77777777" w:rsidR="00884E52" w:rsidRDefault="00884E52" w:rsidP="00884E52">
      <w:pPr>
        <w:rPr>
          <w:bCs/>
        </w:rPr>
      </w:pPr>
    </w:p>
    <w:p w14:paraId="3820FFD3" w14:textId="77777777" w:rsidR="00884E52" w:rsidRDefault="00884E52" w:rsidP="00884E52">
      <w:pPr>
        <w:rPr>
          <w:bCs/>
        </w:rPr>
      </w:pPr>
      <w:r>
        <w:rPr>
          <w:bCs/>
        </w:rPr>
        <w:t>For an unvalued good, any participant on a BDM trial can simply bid the minimum possible amount to keep the budget and maximise their earnings. If the same bidder later faces the best possible trial (for a good which is valued at the maximum possible bid) they can expect to make a profit of one and a half times the bidding range. Therefore, any hyper-rational participant in the BDM task knows that before any trial the maximum possible amount that a good can change the expected payoff is by half the bidding range- a relatively small incentive given the attention and cognition demanded by the BDM paradigm.</w:t>
      </w:r>
    </w:p>
    <w:p w14:paraId="6503223C" w14:textId="77777777" w:rsidR="00884E52" w:rsidRDefault="00884E52" w:rsidP="00884E52">
      <w:pPr>
        <w:rPr>
          <w:bCs/>
        </w:rPr>
      </w:pPr>
    </w:p>
    <w:p w14:paraId="444536CE" w14:textId="77777777" w:rsidR="00884E52" w:rsidRDefault="00884E52" w:rsidP="00884E52">
      <w:pPr>
        <w:rPr>
          <w:bCs/>
        </w:rPr>
      </w:pPr>
      <w:r>
        <w:rPr>
          <w:bCs/>
        </w:rPr>
        <w:t xml:space="preserve">This payoff gradient can also be expressed in an inverse manner as the expected ‘cost of misbehaviour’ for a participant deviating from an optimal bid on a BDM trial. As a comparison to figure 2.3, the cost of misbehaviour of a bid, given the utility of a good and the same distributions of computer bids, is shown in figure 2.4. On the BDM task the expected cost of misbehaviour is obviously zero when a participant bids exactly their internal utility of a good (red circles) and rises as bids deviate from this point. </w:t>
      </w:r>
    </w:p>
    <w:p w14:paraId="2E5462F7" w14:textId="77777777" w:rsidR="00884E52" w:rsidRDefault="00884E52" w:rsidP="00884E52">
      <w:pPr>
        <w:rPr>
          <w:bCs/>
        </w:rPr>
      </w:pPr>
    </w:p>
    <w:p w14:paraId="7665674F" w14:textId="77777777" w:rsidR="00884E52" w:rsidRDefault="00884E52" w:rsidP="00884E52">
      <w:pPr>
        <w:rPr>
          <w:bCs/>
        </w:rPr>
      </w:pPr>
      <w:r>
        <w:rPr>
          <w:bCs/>
        </w:rPr>
        <w:t xml:space="preserve">As figure 2.4 points out, only under very poor bidding does this cost of misbehaviour rise to a significant proportion of initial endowment of 10 utils. Thus, the reinforcing regret signal a monkey might receive when overpaying for a good, or missing out on a potential profit, is weak. There are two implications of this. Firstly, when learning to perform the BDM, monkeys might require intensive training to become </w:t>
      </w:r>
      <w:r>
        <w:rPr>
          <w:bCs/>
        </w:rPr>
        <w:lastRenderedPageBreak/>
        <w:t>reinforced on the optimal strategy. Secondly, that even once trained we might expect both human and non-human bids contain a degree of stochasticity around a true utility for any good.</w:t>
      </w:r>
    </w:p>
    <w:p w14:paraId="2B3929C7" w14:textId="77777777" w:rsidR="00884E52" w:rsidRDefault="00884E52" w:rsidP="00884E52">
      <w:pPr>
        <w:rPr>
          <w:bCs/>
        </w:rPr>
      </w:pPr>
    </w:p>
    <w:p w14:paraId="4B04764F" w14:textId="77777777" w:rsidR="00884E52" w:rsidRDefault="00884E52" w:rsidP="00884E52">
      <w:pPr>
        <w:rPr>
          <w:bCs/>
        </w:rPr>
      </w:pPr>
      <w:r>
        <w:rPr>
          <w:bCs/>
        </w:rPr>
        <w:t>As the expected payoff and the expected cost of misbehaviour in the BDM task depends upon the computer bid faced by a participant, the selection of an appropriate distribution of opposing bids is important. Figures 2.5a and 2.5b show the expected payoff and cost of misbehaviour for a distribution of possible participant and computer bids for a good of a chosen value (6.25 utils), showing how the shape of these functions are dependent upon the distribution of computer bids. Distributions of computer bid which follow a normal distribution with a mean either at the midpoint of the budget (‘normal’, sky blue) or the utility of a good (‘matched normal’, green), have a sharper cost of misbehaviour as the participant deviates slightly from their optimal bid, though the ‘uniform’ distribution of computer bids (purple) has a greater cost of misbehaviour at extreme outlier bids.</w:t>
      </w:r>
    </w:p>
    <w:p w14:paraId="053B8553" w14:textId="77777777" w:rsidR="00884E52" w:rsidRDefault="00884E52" w:rsidP="00884E52">
      <w:pPr>
        <w:rPr>
          <w:bCs/>
        </w:rPr>
      </w:pPr>
    </w:p>
    <w:p w14:paraId="577685B6" w14:textId="77777777" w:rsidR="00884E52" w:rsidRDefault="00884E52" w:rsidP="00884E52">
      <w:r>
        <w:rPr>
          <w:bCs/>
        </w:rPr>
        <w:t xml:space="preserve">As this difference in cost of misbehaviour is slight between the uniform and normal distributions of computer bid, we decided to use a uniform distribution of computer bids as it provides a greater expected payoff to incentivise the primate per trial, and also for ease of interpreting our neuronal data. A greater behavioural interrogation of the effect of different distributions of computer bid on the bidding behaviour of both human and non-human participants would be an interesting avenue of potential research, though from the literature of human economic studies it’s seems to have little to no effect </w:t>
      </w:r>
      <w:r>
        <w:rPr>
          <w:bCs/>
        </w:rPr>
        <w:fldChar w:fldCharType="begin" w:fldLock="1"/>
      </w:r>
      <w:r>
        <w:rPr>
          <w:bCs/>
        </w:rPr>
        <w:instrText>ADDIN CSL_CITATION {"citationItems":[{"id":"ITEM-1","itemData":{"DOI":"10.1111/j.1465-7295.1998.tb01713.x","ISSN":"00952583","abstract":"This paper reports on three laboratory experiments designed to investigate the roles of decision costs and rewards on the accuracy of economic decisions. The experimental vehicle is a purchase decision employing the Becker-DeGroot-Marshak (BDM) mechanism. The first experiment verifies the incentive-compatibility of the BDM in a pure induced-value setting; the second tests its performance under different information regimes and payoff schedules ; the third addresses the role of feedback information. Steep payoff schedules are found to be necessary to optimizing behavior only in cases where subjects must search out an optimal strategy rather than being able to deduce it from information provided. (JEL C91, D83).","author":[{"dropping-particle":"","family":"Irwin","given":"Julie R.","non-dropping-particle":"","parse-names":false,"suffix":""},{"dropping-particle":"","family":"McClelland","given":"Gary H.","non-dropping-particle":"","parse-names":false,"suffix":""},{"dropping-particle":"","family":"McKee","given":"Michael","non-dropping-particle":"","parse-names":false,"suffix":""},{"dropping-particle":"","family":"Schulze","given":"William D.","non-dropping-particle":"","parse-names":false,"suffix":""},{"dropping-particle":"","family":"Norden","given":"N. Elizabeth","non-dropping-particle":"","parse-names":false,"suffix":""}],"container-title":"Economic Inquiry","id":"ITEM-1","issue":"2","issued":{"date-parts":[["1998"]]},"page":"272-285","title":"Payoff dominance vs. cognitive transparency in decision making","type":"article-journal","volume":"36"},"uris":["http://www.mendeley.com/documents/?uuid=001557c5-860c-459d-b8df-d9c1e9c62e64"]}],"mendeley":{"formattedCitation":"(Irwin et al., 1998)","plainTextFormattedCitation":"(Irwin et al., 1998)","previouslyFormattedCitation":"(Irwin et al., 1998)"},"properties":{"noteIndex":0},"schema":"https://github.com/citation-style-language/schema/raw/master/csl-citation.json"}</w:instrText>
      </w:r>
      <w:r>
        <w:rPr>
          <w:bCs/>
        </w:rPr>
        <w:fldChar w:fldCharType="separate"/>
      </w:r>
      <w:r w:rsidRPr="00A84C92">
        <w:rPr>
          <w:bCs/>
          <w:noProof/>
        </w:rPr>
        <w:t>(Irwin et al., 1998)</w:t>
      </w:r>
      <w:r>
        <w:rPr>
          <w:bCs/>
        </w:rPr>
        <w:fldChar w:fldCharType="end"/>
      </w:r>
      <w:r>
        <w:rPr>
          <w:bCs/>
        </w:rPr>
        <w:t>.</w:t>
      </w:r>
    </w:p>
    <w:p w14:paraId="78F478AC" w14:textId="77777777" w:rsidR="00884E52" w:rsidRDefault="00884E52" w:rsidP="00884E52">
      <w:pPr>
        <w:rPr>
          <w:b/>
          <w:bCs/>
          <w:u w:val="single"/>
        </w:rPr>
      </w:pPr>
    </w:p>
    <w:p w14:paraId="55C64B5B" w14:textId="77777777" w:rsidR="00884E52" w:rsidRDefault="00884E52" w:rsidP="00884E52">
      <w:pPr>
        <w:rPr>
          <w:b/>
          <w:bCs/>
          <w:u w:val="single"/>
        </w:rPr>
      </w:pPr>
      <w:r>
        <w:rPr>
          <w:b/>
          <w:bCs/>
          <w:u w:val="single"/>
        </w:rPr>
        <w:t>The BDM as a neuroscientific task</w:t>
      </w:r>
    </w:p>
    <w:p w14:paraId="3345B90D" w14:textId="77777777" w:rsidR="00884E52" w:rsidRDefault="00884E52" w:rsidP="00884E52">
      <w:pPr>
        <w:rPr>
          <w:b/>
          <w:bCs/>
          <w:u w:val="single"/>
        </w:rPr>
      </w:pPr>
    </w:p>
    <w:p w14:paraId="14D8FD25" w14:textId="77777777" w:rsidR="00884E52" w:rsidRPr="00DA3239" w:rsidRDefault="00884E52" w:rsidP="00884E52">
      <w:r>
        <w:t xml:space="preserve">For the most part, research into the BDM has been undertaken in an economic context, to access a human’s utility function, e.g. to study preference for risk </w:t>
      </w:r>
      <w:r>
        <w:fldChar w:fldCharType="begin" w:fldLock="1"/>
      </w:r>
      <w:r>
        <w:instrText>ADDIN CSL_CITATION {"citationItems":[{"id":"ITEM-1","itemData":{"DOI":"10.1007/BF00056371","ISSN":"08955646","abstract":"The Becker-DeGroot-Marschak mechanism is widely used to elicit decision makers' selling prices of lotteries. This mechanism leads, however, to the preference reversal phenomenon, which seemed to indicate nontransitive preferences. To solve this puzzle, Karni and Safra (1987) introduced a new interpretation of this mechanism based on two-stage lotteries without the independence axiom. In this article, we suggest a set of empirically testable hypotheses based on their interpretation of the mechanism. One of these tests can be used to find the utility and the probability transformation functions of an anticipated utility maximizer. © 1990 Kluwer Academic Publishers.","author":[{"dropping-particle":"","family":"Safra","given":"Zvi","non-dropping-particle":"","parse-names":false,"suffix":""},{"dropping-particle":"","family":"Segal","given":"Uzi","non-dropping-particle":"","parse-names":false,"suffix":""},{"dropping-particle":"","family":"Spivak","given":"Avia","non-dropping-particle":"","parse-names":false,"suffix":""}],"container-title":"Journal of Risk and Uncertainty","id":"ITEM-1","issue":"2","issued":{"date-parts":[["1990"]]},"page":"177-190","title":"The Becker-DeGroot-Marschak mechanism and nonexpected utility: A testable approach","type":"article-journal","volume":"3"},"uris":["http://www.mendeley.com/documents/?uuid=4caf11e8-4724-4107-9714-97bf7b108e97"]}],"mendeley":{"formattedCitation":"(Safra et al., 1990)","plainTextFormattedCitation":"(Safra et al., 1990)","previouslyFormattedCitation":"(Safra et al., 1990)"},"properties":{"noteIndex":0},"schema":"https://github.com/citation-style-language/schema/raw/master/csl-citation.json"}</w:instrText>
      </w:r>
      <w:r>
        <w:fldChar w:fldCharType="separate"/>
      </w:r>
      <w:r w:rsidRPr="0017319F">
        <w:rPr>
          <w:noProof/>
        </w:rPr>
        <w:t>(Safra et al., 1990)</w:t>
      </w:r>
      <w:r>
        <w:fldChar w:fldCharType="end"/>
      </w:r>
      <w:r>
        <w:t xml:space="preserve">, or in marketing to elicit usable prices for goods to be later sold </w:t>
      </w:r>
      <w:r>
        <w:fldChar w:fldCharType="begin" w:fldLock="1"/>
      </w:r>
      <w:r>
        <w:instrText xml:space="preserve">ADDIN CSL_CITATION {"citationItems":[{"id":"ITEM-1","itemData":{"author":[{"dropping-particle":"","family":"Bohm","given":"Peter;","non-dropping-particle":"","parse-names":false,"suffix":""},{"dropping-particle":"","family":"Linden","given":"Johan;","non-dropping-particle":"","parse-names":false,"suffix":""},{"dropping-particle":"","family":"Sonnegaard","given":"Joakim","non-dropping-particle":"","parse-names":false,"suffix":""}],"container-title":"The Economic Journal","id":"ITEM-1","issued":{"date-parts":[["1997"]]},"page":"1079-1089","title":"ELICITING RESERVATION PRICES: BECKER–DeGROOT–MARSCHAK MECHANISMS </w:instrText>
      </w:r>
      <w:r>
        <w:rPr>
          <w:rFonts w:cs="Times New Roman"/>
        </w:rPr>
        <w:instrText>Š</w:instrText>
      </w:r>
      <w:r>
        <w:instrText>s. MARKETS","type":"article-journal","volume":"107"},"uris":["http://www.mendeley.com/documents/?uuid=cf620ab9-b14d-4d1e-8520-682bd555e415"]}],"mendeley":{"formattedCitation":"(Bohm et al., 1997)","plainTextFormattedCitation":"(Bohm et al., 1997)","previouslyFormattedCitation":"(Bohm et al., 1997)"},"properties":{"noteIndex":0},"schema":"https://github.com/citation-style-language/schema/raw/master/csl-citation.json"}</w:instrText>
      </w:r>
      <w:r>
        <w:fldChar w:fldCharType="separate"/>
      </w:r>
      <w:r w:rsidRPr="00E87DF4">
        <w:rPr>
          <w:noProof/>
        </w:rPr>
        <w:t>(Bohm et al., 1997)</w:t>
      </w:r>
      <w:r>
        <w:fldChar w:fldCharType="end"/>
      </w:r>
      <w:r>
        <w:t>. We conclude this chapter discussing recent papers studying the neural basis of decision making which have employed the paradigm.</w:t>
      </w:r>
    </w:p>
    <w:p w14:paraId="63742A9D" w14:textId="77777777" w:rsidR="00884E52" w:rsidRDefault="00884E52" w:rsidP="00884E52">
      <w:pPr>
        <w:rPr>
          <w:b/>
          <w:bCs/>
          <w:u w:val="single"/>
        </w:rPr>
      </w:pPr>
    </w:p>
    <w:p w14:paraId="7A93AF62" w14:textId="77777777" w:rsidR="00884E52" w:rsidRDefault="00884E52" w:rsidP="00884E52">
      <w:r>
        <w:t xml:space="preserve">The BDM is especially suited to neuroscientific research where signals of interest change on a moment-to-moment basis as participants make individual choices. For example </w:t>
      </w:r>
      <w:r>
        <w:fldChar w:fldCharType="begin" w:fldLock="1"/>
      </w:r>
      <w:r>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2007","plainTextFormattedCitation":"(Grether et al., 2007)","previouslyFormattedCitation":"(Grether et al., 2007)"},"properties":{"noteIndex":0},"schema":"https://github.com/citation-style-language/schema/raw/master/csl-citation.json"}</w:instrText>
      </w:r>
      <w:r>
        <w:fldChar w:fldCharType="separate"/>
      </w:r>
      <w:r w:rsidRPr="00BE4911">
        <w:rPr>
          <w:noProof/>
        </w:rPr>
        <w:t>Grether et al., 2007</w:t>
      </w:r>
      <w:r>
        <w:fldChar w:fldCharType="end"/>
      </w:r>
      <w:r>
        <w:t xml:space="preserve"> use the BDM in a functional magnetic resonance imaging (fMRI) study of humans performing sequential BDM auctions to study the changes in blood-oxygen-level-dependent (BOLD) signal across the brain as subjects learn the best task strategy and converge towards an (‘Nash equilibrium’) optimal bid.</w:t>
      </w:r>
    </w:p>
    <w:p w14:paraId="0EBC4774" w14:textId="77777777" w:rsidR="00884E52" w:rsidRDefault="00884E52" w:rsidP="00884E52"/>
    <w:p w14:paraId="680DE290" w14:textId="77777777" w:rsidR="00884E52" w:rsidRDefault="00884E52" w:rsidP="00884E52">
      <w:r>
        <w:t>Though this study reports only tentative changes in BOLD activation of brain areas between the ‘learning’ and ‘equilibrium’ phase of the experiment, it shows us three distinct behavioural reasons why we believe the BDM to be a natural paradigm for neuroscientific research:</w:t>
      </w:r>
    </w:p>
    <w:p w14:paraId="77B99BB4" w14:textId="77777777" w:rsidR="00884E52" w:rsidRDefault="00884E52" w:rsidP="00884E52">
      <w:pPr>
        <w:pStyle w:val="ListParagraph"/>
        <w:widowControl w:val="0"/>
        <w:numPr>
          <w:ilvl w:val="0"/>
          <w:numId w:val="11"/>
        </w:numPr>
        <w:suppressAutoHyphens/>
        <w:spacing w:before="240" w:after="0" w:line="240" w:lineRule="auto"/>
      </w:pPr>
      <w:r>
        <w:t xml:space="preserve">The BDM is a cognitively demanding task with a rich behavioural output. For each bid, the participant is calculating both the value of the good and the probability of winning or losing the auction, instead of ‘simply’ picking an option. Each small increase in a participants bid contributes to their chance of winning an auction but also their chance of overpaying for a good and so a precise calibration between risk and reward is necessary, even when the auction is for a good with a certain payout. Compare this to the binary choice paradigm where the value offered goods also must be compared but may differ wildly; there are no easy ‘black or white’ choices on the BDM, </w:t>
      </w:r>
      <w:r>
        <w:lastRenderedPageBreak/>
        <w:t xml:space="preserve">and instead an animal must choose </w:t>
      </w:r>
      <w:r>
        <w:rPr>
          <w:i/>
          <w:iCs/>
        </w:rPr>
        <w:t>how much</w:t>
      </w:r>
      <w:r>
        <w:t xml:space="preserve"> of a budget good to invest in order to achieve a goal (winning the offered good).</w:t>
      </w:r>
    </w:p>
    <w:p w14:paraId="26975016" w14:textId="77777777" w:rsidR="00884E52" w:rsidRDefault="00884E52" w:rsidP="00884E52">
      <w:pPr>
        <w:pStyle w:val="ListParagraph"/>
        <w:spacing w:before="240"/>
      </w:pPr>
    </w:p>
    <w:p w14:paraId="15E83409" w14:textId="77777777" w:rsidR="00884E52" w:rsidRDefault="00884E52" w:rsidP="00884E52">
      <w:pPr>
        <w:pStyle w:val="ListParagraph"/>
        <w:spacing w:before="240"/>
      </w:pPr>
      <w:r>
        <w:fldChar w:fldCharType="begin" w:fldLock="1"/>
      </w:r>
      <w:r>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","plainTextFormattedCitation":"(Grether et al., 2007)","previouslyFormattedCitation":"(Grether et al., 2007)"},"properties":{"noteIndex":0},"schema":"https://github.com/citation-style-language/schema/raw/master/csl-citation.json"}</w:instrText>
      </w:r>
      <w:r>
        <w:fldChar w:fldCharType="separate"/>
      </w:r>
      <w:r w:rsidRPr="00931644">
        <w:rPr>
          <w:noProof/>
        </w:rPr>
        <w:t xml:space="preserve">Grether et al. </w:t>
      </w:r>
      <w:r>
        <w:fldChar w:fldCharType="end"/>
      </w:r>
      <w:r>
        <w:t xml:space="preserve">report increases in BOLD signal increases in Brodmann’s Area 10 between the two phases of the experiment. Area 10 makes up a significant proportion of the human analogue of the primate medial orbitofrontal cortex which has previously been found to track multiple decision variables including value of the chosen good, the probability of winning the chosen good, and the cost involved with that choice </w:t>
      </w:r>
      <w:r>
        <w:fldChar w:fldCharType="begin" w:fldLock="1"/>
      </w:r>
      <w:r>
        <w:instrText>ADDIN CSL_CITATION {"citationItems":[{"id":"ITEM-1","itemData":{"DOI":"10.1162/jocn.2009.21100","ISSN":"0898929X","PMID":"18752411","abstract":"A central question in behavioral science is how we select among choice alternatives to obtain consistently the most beneficial outcomes. Three variables are particularly important when making a decision: the potential payoff, the probability of success, and the cost in terms of time and effort. A key brain region in decision making is the frontal cortex as damage here impairs the ability to make optimal choices across a range of decision types. We simultaneously recorded the activity of multiple single neurons in the frontal cortex while subjects made choices involving the three aforementioned decision variables. This enabled us to contrast the relative contribution of the anterior cingulate cortex (ACC), the orbito-frontal cortex, and the lateral prefrontal cortex to the decision-making process. Neurons in all three areas encoded value relating to choices involving probability, payoff, or cost manipulations. However, the most significant signals were in the ACC, where neurons encoded multiplexed representations of the three different decision variables. This supports the notion that the ACC is an important component of the neural circuitry underlying optimal decision making. © 2008 Massachusetts Institute of Technology.","author":[{"dropping-particle":"","family":"Kennerley","given":"Steven W.","non-dropping-particle":"","parse-names":false,"suffix":""},{"dropping-particle":"","family":"Dahmubed","given":"Aspandiar F.","non-dropping-particle":"","parse-names":false,"suffix":""},{"dropping-particle":"","family":"Lara","given":"Antonio H.","non-dropping-particle":"","parse-names":false,"suffix":""},{"dropping-particle":"","family":"Wallis","given":"Jonathan D.","non-dropping-particle":"","parse-names":false,"suffix":""}],"container-title":"Journal of Cognitive Neuroscience","id":"ITEM-1","issue":"6","issued":{"date-parts":[["2009"]]},"page":"1162-1178","title":"Neurons in the frontal lobe encode the value of multiple decision variables","type":"article-journal","volume":"21"},"uris":["http://www.mendeley.com/documents/?uuid=13c48084-934c-48c6-beb9-c80e7d2794ec"]}],"mendeley":{"formattedCitation":"(Kennerley et al., 2009)","plainTextFormattedCitation":"(Kennerley et al., 2009)","previouslyFormattedCitation":"(Kennerley et al., 2009)"},"properties":{"noteIndex":0},"schema":"https://github.com/citation-style-language/schema/raw/master/csl-citation.json"}</w:instrText>
      </w:r>
      <w:r>
        <w:fldChar w:fldCharType="separate"/>
      </w:r>
      <w:r w:rsidRPr="003A3848">
        <w:rPr>
          <w:noProof/>
        </w:rPr>
        <w:t>(Kennerley et al., 2009)</w:t>
      </w:r>
      <w:r>
        <w:fldChar w:fldCharType="end"/>
      </w:r>
      <w:r>
        <w:t xml:space="preserve">. </w:t>
      </w:r>
    </w:p>
    <w:p w14:paraId="08210129" w14:textId="77777777" w:rsidR="00884E52" w:rsidRDefault="00884E52" w:rsidP="00884E52">
      <w:pPr>
        <w:pStyle w:val="ListParagraph"/>
        <w:spacing w:before="240"/>
      </w:pPr>
    </w:p>
    <w:p w14:paraId="753624BC" w14:textId="77777777" w:rsidR="00884E52" w:rsidRDefault="00884E52" w:rsidP="00884E52">
      <w:pPr>
        <w:pStyle w:val="ListParagraph"/>
        <w:widowControl w:val="0"/>
        <w:numPr>
          <w:ilvl w:val="0"/>
          <w:numId w:val="11"/>
        </w:numPr>
        <w:suppressAutoHyphens/>
        <w:spacing w:before="240" w:after="0" w:line="240" w:lineRule="auto"/>
      </w:pPr>
      <w:r>
        <w:t>The bidding strategy per subject is clear to see even over only 8 trials</w:t>
      </w:r>
      <w:r>
        <w:rPr>
          <w:rStyle w:val="FootnoteReference"/>
        </w:rPr>
        <w:footnoteReference w:id="37"/>
      </w:r>
      <w:r>
        <w:t xml:space="preserve">; the mean bids of the majority of subjects line up with the known value of the offered good. A binary-choice paradigm requiring the averaging of choices to find an individual’s utility function would almost certainly require </w:t>
      </w:r>
      <w:r>
        <w:rPr>
          <w:i/>
          <w:iCs/>
        </w:rPr>
        <w:t xml:space="preserve">at least </w:t>
      </w:r>
      <w:r>
        <w:t>all 32 choices to be made under the same strategy to find a useful indifference point (e.g see figure 2.7 redrawn from Mosteller and Nogee). Moreover, instead of using multiple trials per combination of offered goods to calculate a precise and accurate indifference point for each in a binary choice paradigm, an experimenter could instead test a greater range of offered goods to generate a richer description of how an animal/brain region/neuron calculates value over a greater sample of contexts</w:t>
      </w:r>
      <w:r>
        <w:rPr>
          <w:rStyle w:val="FootnoteReference"/>
        </w:rPr>
        <w:footnoteReference w:id="38"/>
      </w:r>
      <w:r>
        <w:t xml:space="preserve">. </w:t>
      </w:r>
    </w:p>
    <w:p w14:paraId="392C2BE5" w14:textId="77777777" w:rsidR="00884E52" w:rsidRDefault="00884E52" w:rsidP="00884E52">
      <w:pPr>
        <w:pStyle w:val="ListParagraph"/>
        <w:spacing w:before="240"/>
      </w:pPr>
    </w:p>
    <w:p w14:paraId="6E9CC3BC" w14:textId="77777777" w:rsidR="00884E52" w:rsidRDefault="00884E52" w:rsidP="00884E52">
      <w:pPr>
        <w:pStyle w:val="ListParagraph"/>
        <w:widowControl w:val="0"/>
        <w:numPr>
          <w:ilvl w:val="0"/>
          <w:numId w:val="11"/>
        </w:numPr>
        <w:suppressAutoHyphens/>
        <w:spacing w:before="240" w:after="0" w:line="240" w:lineRule="auto"/>
      </w:pPr>
      <w:r>
        <w:t xml:space="preserve">The </w:t>
      </w:r>
      <w:r w:rsidRPr="00B4268C">
        <w:rPr>
          <w:i/>
          <w:iCs/>
        </w:rPr>
        <w:t>changes</w:t>
      </w:r>
      <w:r>
        <w:t xml:space="preserve"> in bidding strategy over sets of 8 trials is also plain to see as subjects learn and become familiar with the BDM. Though we might not expect NHPs which have been trained extensively on the BDM task to show such large learning-related changes in strategy, we would expect liquid-controlled animals to show changes in strategy (e.g.) as they become stated with liquid. In the introduction to this thesis we discuss Bernoulli’s formulation of utility theory around the marginal utility of money to an already-rich man. In experiments where animal subjects which receive the good as they bid for/choose it, we might expect sated, non-thirsty animals to ‘spend’ liquid volume to receive a ‘more expensive’ liquid taste. There are myriad reasons why a participant might change their choice/bidding behaviour during an experiment, which could occur over a wide range of timescales, so being able to place each single trial within a context of observed behaviour is crucial. As might be expected, </w:t>
      </w:r>
      <w:r>
        <w:fldChar w:fldCharType="begin" w:fldLock="1"/>
      </w:r>
      <w:r>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","plainTextFormattedCitation":"(Grether et al., 2007)","previouslyFormattedCitation":"(Grether et al., 2007)"},"properties":{"noteIndex":0},"schema":"https://github.com/citation-style-language/schema/raw/master/csl-citation.json"}</w:instrText>
      </w:r>
      <w:r>
        <w:fldChar w:fldCharType="separate"/>
      </w:r>
      <w:r w:rsidRPr="00495D27">
        <w:rPr>
          <w:noProof/>
        </w:rPr>
        <w:t xml:space="preserve">Grether et al. </w:t>
      </w:r>
      <w:r>
        <w:fldChar w:fldCharType="end"/>
      </w:r>
      <w:r>
        <w:t>found that these changes in bidding strategy were accompanied by changes in patterns of brain activity measured via the BOLD signal.</w:t>
      </w:r>
    </w:p>
    <w:p w14:paraId="0F0DF172" w14:textId="77777777" w:rsidR="00884E52" w:rsidRDefault="00884E52" w:rsidP="00884E52">
      <w:pPr>
        <w:spacing w:before="240"/>
      </w:pPr>
      <w:r>
        <w:t xml:space="preserve">The changes in bidding strategy under an intervention were further studied by </w:t>
      </w:r>
      <w:r>
        <w:fldChar w:fldCharType="begin" w:fldLock="1"/>
      </w:r>
      <w:r>
        <w:instrText>ADDIN CSL_CITATION {"citationItems":[{"id":"ITEM-1","itemData":{"DOI":"10.1523/JNEUROSCI.2051-14.2014","ISSN":"15292401","PMID":"25505337","abstract":"Although there is a rich literature on the role of dopamine in value learning, much less is known about its role in using established value estimations to shape decision-making. Here we investigated the effect of dopaminergic modulation on value-based decision-making for food items in fasted healthy human participants. The Becker-deGroot-Marschak auction, which assesses subjective value, was examined in conjunction with pharmacological fMRI using a dopaminergic agonist and an antagonist. We found that dopamine enhanced the neural response to value in the inferior parietal gyrus/intraparietal sulcus, and that this effect predominated toward the end of the valuation process when an action was needed to record the value. Our results suggest that dopamine is involved in acting upon the decision, providing additional insight to the mechanisms underlying impaired decision-making in healthy individuals and clinical populations with reduced dopamine levels.","author":[{"dropping-particle":"","family":"Medic","given":"Nenad","non-dropping-particle":"","parse-names":false,"suffix":""},{"dropping-particle":"","family":"Ziauddeen","given":"Hisham","non-dropping-particle":"","parse-names":false,"suffix":""},{"dropping-particle":"","family":"Vestergaard","given":"Martin D.","non-dropping-particle":"","parse-names":false,"suffix":""},{"dropping-particle":"","family":"Henning","given":"Elana","non-dropping-particle":"","parse-names":false,"suffix":""},{"dropping-particle":"","family":"Schultz","given":"Wolfram","non-dropping-particle":"","parse-names":false,"suffix":""},{"dropping-particle":"","family":"Sadaf Farooqi","given":"I.","non-dropping-particle":"","parse-names":false,"suffix":""},{"dropping-particle":"","family":"Fletcher","given":"Paul C.","non-dropping-particle":"","parse-names":false,"suffix":""}],"container-title":"Journal of Neuroscience","id":"ITEM-1","issue":"50","issued":{"date-parts":[["2014"]]},"page":"16856-16864","title":"Dopamine modulates the neural representation of subjective value of food in hungry subjects","type":"article-journal","volume":"34"},"uris":["http://www.mendeley.com/documents/?uuid=e9856e95-5762-4798-89b6-b975b86d5479"]}],"mendeley":{"formattedCitation":"(Medic et al., 2014)","manualFormatting":"Medic et al., 2014","plainTextFormattedCitation":"(Medic et al., 2014)","previouslyFormattedCitation":"(Medic et al., 2014)"},"properties":{"noteIndex":0},"schema":"https://github.com/citation-style-language/schema/raw/master/csl-citation.json"}</w:instrText>
      </w:r>
      <w:r>
        <w:fldChar w:fldCharType="separate"/>
      </w:r>
      <w:r w:rsidRPr="00983E9D">
        <w:rPr>
          <w:noProof/>
        </w:rPr>
        <w:t>Medic et al., 2014</w:t>
      </w:r>
      <w:r>
        <w:fldChar w:fldCharType="end"/>
      </w:r>
      <w:r>
        <w:t>. Forty-six hungry human subjects in an fMRI machine were shown images of appealing foods and asked to place bids with the chance to win (and eat) the foods directly after a recording session. These subjects were also split into groups of sixteen, each receiving either a dose of a D2 receptor antagonist sulpiride, a D2 receptor agonist bromocriptine, or a placebo. Again, results from this study were relatively weak, without a significant change in mean bids between condition</w:t>
      </w:r>
      <w:r>
        <w:rPr>
          <w:rStyle w:val="FootnoteReference"/>
        </w:rPr>
        <w:footnoteReference w:id="39"/>
      </w:r>
      <w:r>
        <w:t xml:space="preserve"> (frustratingly, the intervention means results can only compared between treatment groups and not within single subjects), and though the authors find </w:t>
      </w:r>
      <w:r>
        <w:lastRenderedPageBreak/>
        <w:t>increases in the BOLD signal in the ventromedial prefrontal cortex, there is no effect of the treatment on this signal</w:t>
      </w:r>
      <w:r>
        <w:rPr>
          <w:rStyle w:val="FootnoteReference"/>
        </w:rPr>
        <w:footnoteReference w:id="40"/>
      </w:r>
      <w:r>
        <w:t>.</w:t>
      </w:r>
    </w:p>
    <w:p w14:paraId="24F4567E" w14:textId="77777777" w:rsidR="00884E52" w:rsidRDefault="00884E52" w:rsidP="00884E52">
      <w:pPr>
        <w:spacing w:before="240"/>
      </w:pPr>
      <w:r>
        <w:t xml:space="preserve">The findings of </w:t>
      </w:r>
      <w:r>
        <w:fldChar w:fldCharType="begin" w:fldLock="1"/>
      </w:r>
      <w:r>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al.","plainTextFormattedCitation":"(Grether et al., 2007)","previouslyFormattedCitation":"(Grether et al., 2007)"},"properties":{"noteIndex":0},"schema":"https://github.com/citation-style-language/schema/raw/master/csl-citation.json"}</w:instrText>
      </w:r>
      <w:r>
        <w:fldChar w:fldCharType="separate"/>
      </w:r>
      <w:r w:rsidRPr="0058433B">
        <w:rPr>
          <w:noProof/>
        </w:rPr>
        <w:t>Grether et al.</w:t>
      </w:r>
      <w:r>
        <w:fldChar w:fldCharType="end"/>
      </w:r>
      <w:r>
        <w:t xml:space="preserve"> and </w:t>
      </w:r>
      <w:r>
        <w:fldChar w:fldCharType="begin" w:fldLock="1"/>
      </w:r>
      <w:r>
        <w:instrText>ADDIN CSL_CITATION {"citationItems":[{"id":"ITEM-1","itemData":{"DOI":"10.1523/JNEUROSCI.2051-14.2014","ISSN":"15292401","PMID":"25505337","abstract":"Although there is a rich literature on the role of dopamine in value learning, much less is known about its role in using established value estimations to shape decision-making. Here we investigated the effect of dopaminergic modulation on value-based decision-making for food items in fasted healthy human participants. The Becker-deGroot-Marschak auction, which assesses subjective value, was examined in conjunction with pharmacological fMRI using a dopaminergic agonist and an antagonist. We found that dopamine enhanced the neural response to value in the inferior parietal gyrus/intraparietal sulcus, and that this effect predominated toward the end of the valuation process when an action was needed to record the value. Our results suggest that dopamine is involved in acting upon the decision, providing additional insight to the mechanisms underlying impaired decision-making in healthy individuals and clinical populations with reduced dopamine levels.","author":[{"dropping-particle":"","family":"Medic","given":"Nenad","non-dropping-particle":"","parse-names":false,"suffix":""},{"dropping-particle":"","family":"Ziauddeen","given":"Hisham","non-dropping-particle":"","parse-names":false,"suffix":""},{"dropping-particle":"","family":"Vestergaard","given":"Martin D.","non-dropping-particle":"","parse-names":false,"suffix":""},{"dropping-particle":"","family":"Henning","given":"Elana","non-dropping-particle":"","parse-names":false,"suffix":""},{"dropping-particle":"","family":"Schultz","given":"Wolfram","non-dropping-particle":"","parse-names":false,"suffix":""},{"dropping-particle":"","family":"Sadaf Farooqi","given":"I.","non-dropping-particle":"","parse-names":false,"suffix":""},{"dropping-particle":"","family":"Fletcher","given":"Paul C.","non-dropping-particle":"","parse-names":false,"suffix":""}],"container-title":"Journal of Neuroscience","id":"ITEM-1","issue":"50","issued":{"date-parts":[["2014"]]},"page":"16856-16864","title":"Dopamine modulates the neural representation of subjective value of food in hungry subjects","type":"article-journal","volume":"34"},"uris":["http://www.mendeley.com/documents/?uuid=e9856e95-5762-4798-89b6-b975b86d5479"]}],"mendeley":{"formattedCitation":"(Medic et al., 2014)","manualFormatting":"Medic et al., ","plainTextFormattedCitation":"(Medic et al., 2014)","previouslyFormattedCitation":"(Medic et al., 2014)"},"properties":{"noteIndex":0},"schema":"https://github.com/citation-style-language/schema/raw/master/csl-citation.json"}</w:instrText>
      </w:r>
      <w:r>
        <w:fldChar w:fldCharType="separate"/>
      </w:r>
      <w:r w:rsidRPr="0058433B">
        <w:rPr>
          <w:noProof/>
        </w:rPr>
        <w:t xml:space="preserve">Medic et al., </w:t>
      </w:r>
      <w:r>
        <w:fldChar w:fldCharType="end"/>
      </w:r>
      <w:r>
        <w:t xml:space="preserve">that humans participating in BDM auctions show BOLD activity in the prefrontal cortex has been repeated across further studies </w:t>
      </w:r>
      <w:r>
        <w:fldChar w:fldCharType="begin" w:fldLock="1"/>
      </w:r>
      <w:r>
        <w:instrText>ADDIN CSL_CITATION {"citationItems":[{"id":"ITEM-1","itemData":{"DOI":"10.1523/JNEUROSCI.2131-07.2007","ISSN":"02706474","PMID":"17855612","abstract":"An essential component of every economic transaction is a willingness-to-pay (WTP) computation in which buyers calculate the maximum amount of financial resources that they are willing to give up in exchange for the object being sold. Despite its pervasiveness, little is known about how the brain makes this computation. We investigated the neural basis of the WTP computation by scanning hungry subjects' brains using functional magnetic resonance imaging while they placed real bids for the right to eat different foods. We found that activity in the medial orbitofrontal cortex and in the dorsolateral prefrontal cortex encodes subjects' WTP for the items. Our results support the hypothesis that the medial orbitofrontal cortex encodes the value of goals in decision making. Copyright © 2007 Society for Neuroscience.","author":[{"dropping-particle":"","family":"Plassmann","given":"Hilke","non-dropping-particle":"","parse-names":false,"suffix":""},{"dropping-particle":"","family":"O'Doherty","given":"John","non-dropping-particle":"","parse-names":false,"suffix":""},{"dropping-particle":"","family":"Rangel","given":"Antonio","non-dropping-particle":"","parse-names":false,"suffix":""}],"container-title":"Journal of Neuroscience","id":"ITEM-1","issue":"37","issued":{"date-parts":[["2007"]]},"page":"9984-9988","title":"Orbitofrontal cortex encodes willingness to pay in everyday economic transactions","type":"article-journal","volume":"27"},"uris":["http://www.mendeley.com/documents/?uuid=42f30921-b7af-4640-a1cc-3388530fa748"]},{"id":"ITEM-2","itemData":{"DOI":"10.1523/JNEUROSCI.4832-08.2009","ISSN":"02706474","PMID":"19321780","abstract":"A key focus of current research in neuroeconomics concerns how the human brain computes value. Although, value has generally been viewed as an absolute measure (e.g., expected value, reward magnitude), much evidence suggests that value is more often computed with respect to a changing reference point, rather than in isolation. Here, we present the results of a study aimed to dissociate brain regions involved in reference-independent (i.e., \"absolute\") value computations, from those involved in value computations relative to a reference point. During functional magnetic resonance imaging, subjects acted as buyers and sellers during a market exchange of lottery tickets. At a behavioral level, we demonstrate that subjects systematically accorded a higher value to objects they owned relative to those they did not, an effect that results from a shift in reference point (i.e., status quo bias or endowment effect). Our results show that activity in orbitofrontal cortex and dorsal striatum track parameters such as the expected value of lottery tickets indicating the computation of reference-independent value. In contrast, activity in ventral striatum indexed the degree to which stated prices, at a within-subjects and between-subjects level, were distorted with respect to a reference point. The findings speak to the neurobiological underpinnings of reference dependency during real market value computations. Copyright © 2009 Society for Neuroscience.","author":[{"dropping-particle":"","family":"Martino","given":"Benedetto","non-dropping-particle":"De","parse-names":false,"suffix":""},{"dropping-particle":"","family":"Kumaran","given":"Dharshan","non-dropping-particle":"","parse-names":false,"suffix":""},{"dropping-particle":"","family":"Holt","given":"Beatrice","non-dropping-particle":"","parse-names":false,"suffix":""},{"dropping-particle":"","family":"Dolan","given":"Raymond J.","non-dropping-particle":"","parse-names":false,"suffix":""}],"container-title":"Journal of Neuroscience","id":"ITEM-2","issue":"12","issued":{"date-parts":[["2009"]]},"page":"3833-3842","title":"The neurobiology of reference-dependent value computation","type":"article-journal","volume":"29"},"uris":["http://www.mendeley.com/documents/?uuid=090c6baa-185d-47dc-a716-8f6a0e1de965"]},{"id":"ITEM-3","itemData":{"DOI":"10.1523/JNEUROSCI.1309-08.2008","ISSN":"02706474","PMID":"18509023","abstract":"To make sound economic decisions, the brain needs to compute several different value-related signals. These include goal values that measure the predicted reward that results from the outcome generated by each of the actions under consideration, decision values that measure the net value of taking the different actions, and prediction errors that measure deviations from individuals' previous reward expectations. We used functional magnetic resonance imaging and a novel decision-making paradigm to dissociate the neural basis of these three computations. Our results show that they are supported by different neural substrates: goal values are correlated with activity in the medial orbitofrontal cortex, decision values are correlated with activity in the central orbitofrontal cortex, and prediction errors are correlated with activity in the ventral striatum. Copyright © 2008 Society for Neuroscience.","author":[{"dropping-particle":"","family":"Hare","given":"Todd A.","non-dropping-particle":"","parse-names":false,"suffix":""},{"dropping-particle":"","family":"O'Doherty","given":"John","non-dropping-particle":"","parse-names":false,"suffix":""},{"dropping-particle":"","family":"Camerer","given":"Colin F.","non-dropping-particle":"","parse-names":false,"suffix":""},{"dropping-particle":"","family":"Schultz","given":"Wolfram","non-dropping-particle":"","parse-names":false,"suffix":""},{"dropping-particle":"","family":"Rangel","given":"Antonio","non-dropping-particle":"","parse-names":false,"suffix":""}],"container-title":"Journal of Neuroscience","id":"ITEM-3","issue":"22","issued":{"date-parts":[["2008"]]},"page":"5623-5630","title":"Dissociating the role of the orbitofrontal cortex and the striatum in the computation of goal values and prediction errors","type":"article-journal","volume":"28"},"uris":["http://www.mendeley.com/documents/?uuid=6c50fe6d-8b4d-4914-8508-dc92d0770c3b"]},{"id":"ITEM-4","itemData":{"DOI":"10.1523/JNEUROSCI.2575-09.2009","ISSN":"02706474","PMID":"19793990","abstract":"To make economic choices between goods, the brain needs to compute representations of their values. A great deal of research has been performed to determine the neural correlates of value representations in the human brain. However, it is still unknown whether there exists a region of the brain that commonly encodes decision values for different types of goods, or if, in contrast, the values of different types of goods are represented in distinct brain regions. We addressed this question by scanning subjects with functional magnetic resonance imaging while they made real purchasing decisions among different categories of goods (food, nonfood consumables, and monetary gambles). We found activity in a key brain region previously implicated in encoding goal-values: the ventromedial prefrontal cortex (vmPFC) was correlated with the subjects' value for each category of good. Moreover, we found a single area in vmPFC to be correlated with the subjects' valuations for all categories of goods. Our results provide evidence that the brain encodes a \"common currency\" that allows for a shared valuation for different categories of goods. Copyright © 2009 Society for Neuroscience.","author":[{"dropping-particle":"","family":"Chib","given":"Vikram S.","non-dropping-particle":"","parse-names":false,"suffix":""},{"dropping-particle":"","family":"Rangel","given":"Antonio","non-dropping-particle":"","parse-names":false,"suffix":""},{"dropping-particle":"","family":"Shimojo","given":"Shinsuke","non-dropping-particle":"","parse-names":false,"suffix":""},{"dropping-particle":"","family":"O'Doherty","given":"John P.","non-dropping-particle":"","parse-names":false,"suffix":""}],"container-title":"Journal of Neuroscience","id":"ITEM-4","issue":"39","issued":{"date-parts":[["2009"]]},"page":"12315-12320","title":"Evidence for a common representation of decision values for dissimilar goods in human ventromedial prefrontal cortex","type":"article-journal","volume":"29"},"uris":["http://www.mendeley.com/documents/?uuid=45b2d169-3e14-4c7a-8b75-0c75028c6201"]}],"mendeley":{"formattedCitation":"(Chib et al., 2009; De Martino et al., 2009; Hare et al., 2008; Plassmann et al., 2007)","plainTextFormattedCitation":"(Chib et al., 2009; De Martino et al., 2009; Hare et al., 2008; Plassmann et al., 2007)","previouslyFormattedCitation":"(Chib et al., 2009; De Martino et al., 2009; Hare et al., 2008; Plassmann et al., 2007)"},"properties":{"noteIndex":0},"schema":"https://github.com/citation-style-language/schema/raw/master/csl-citation.json"}</w:instrText>
      </w:r>
      <w:r>
        <w:fldChar w:fldCharType="separate"/>
      </w:r>
      <w:r w:rsidRPr="00C00D73">
        <w:rPr>
          <w:noProof/>
        </w:rPr>
        <w:t>(Chib et al., 2009; De Martino et al., 2009; Hare et al., 2008; Plassmann et al., 2007)</w:t>
      </w:r>
      <w:r>
        <w:fldChar w:fldCharType="end"/>
      </w:r>
      <w:r>
        <w:t>. These findings might be of little surprise; in the appendix 2.3</w:t>
      </w:r>
      <w:r>
        <w:rPr>
          <w:rStyle w:val="FootnoteReference"/>
        </w:rPr>
        <w:footnoteReference w:id="41"/>
      </w:r>
      <w:r>
        <w:t xml:space="preserve"> of this thesis we discussed at how single neurons in the orbitofrontal cortex of macaques have been shown to encode economic value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500DA2">
        <w:rPr>
          <w:noProof/>
        </w:rPr>
        <w:t>(Padoa-Schioppa &amp; Assad, 2006)</w:t>
      </w:r>
      <w:r>
        <w:fldChar w:fldCharType="end"/>
      </w:r>
      <w:r>
        <w:t xml:space="preserve">. Though the evidence for differential activity in economic decision-making between vmPFC in humans and OFC in non-human primate studies is confusing </w:t>
      </w:r>
      <w:r>
        <w:fldChar w:fldCharType="begin" w:fldLock="1"/>
      </w:r>
      <w:r>
        <w:instrText>ADDIN CSL_CITATION {"citationItems":[{"id":"ITEM-1","itemData":{"DOI":"10.1016/j.neuron.2017.09.031.Orbitofrontal","author":[{"dropping-particle":"","family":"Padoa-Schioppa","given":"Camillo","non-dropping-particle":"","parse-names":false,"suffix":""},{"dropping-particle":"","family":"Conen","given":"Katherine E.","non-dropping-particle":"","parse-names":false,"suffix":""}],"container-title":"Neuron","id":"ITEM-1","issue":"96","issued":{"date-parts":[["2017"]]},"page":"736-754","title":"Orbitofrontal Cortex: A Neural Circuit for Economic Decisions","type":"article-journal","volume":"15"},"uris":["http://www.mendeley.com/documents/?uuid=36c9fe20-3e1a-4586-b9d2-0c5658031bb3"]}],"mendeley":{"formattedCitation":"(Padoa-Schioppa &amp; Conen, 2017)","plainTextFormattedCitation":"(Padoa-Schioppa &amp; Conen, 2017)","previouslyFormattedCitation":"(Padoa-Schioppa &amp; Conen, 2017)"},"properties":{"noteIndex":0},"schema":"https://github.com/citation-style-language/schema/raw/master/csl-citation.json"}</w:instrText>
      </w:r>
      <w:r>
        <w:fldChar w:fldCharType="separate"/>
      </w:r>
      <w:r w:rsidRPr="002D2540">
        <w:rPr>
          <w:noProof/>
        </w:rPr>
        <w:t>(Padoa-Schioppa &amp; Conen, 2017)</w:t>
      </w:r>
      <w:r>
        <w:fldChar w:fldCharType="end"/>
      </w:r>
      <w:r>
        <w:t xml:space="preserve">, explanations have been offered as to why this might occur. </w:t>
      </w:r>
      <w:r>
        <w:fldChar w:fldCharType="begin" w:fldLock="1"/>
      </w:r>
      <w:r>
        <w:instrText>ADDIN CSL_CITATION {"citationItems":[{"id":"ITEM-1","itemData":{"DOI":"10.1038/nn.2956","ISSN":"10976256","PMID":"22101646","abstract":"Recent work has emphasized the role that orbitofrontal cortex (OFC) has in value-based decision-making. However, it is also clear that a number of discrepancies have arisen when comparing the findings from animal models to those from humans. Here, we examine several possibilities that might explain these discrepancies, including anatomical difference between species, the behavioral tasks used to probe decision-making and the methodologies used to assess neural function. Understanding how these differences affect the interpretation of experimental results will help us to better integrate future results from animal models. This will enable us to fully realize the benefits of using multiple approaches to understand OFC function. © 2012 Nature America, Inc. All rights reserved.","author":[{"dropping-particle":"","family":"Wallis","given":"Jonathan D.","non-dropping-particle":"","parse-names":false,"suffix":""}],"container-title":"Nature Neuroscience","id":"ITEM-1","issue":"1","issued":{"date-parts":[["2012"]]},"page":"13-19","publisher":"Nature Publishing Group","title":"Cross-species studies of orbitofrontal cortex and value-based decision-making","type":"article-journal","volume":"15"},"uris":["http://www.mendeley.com/documents/?uuid=56955601-1728-48fd-a308-c95979f3e3c3"]}],"mendeley":{"formattedCitation":"(Wallis, 2012)","manualFormatting":"Wallis, 2012","plainTextFormattedCitation":"(Wallis, 2012)","previouslyFormattedCitation":"(Wallis, 2012)"},"properties":{"noteIndex":0},"schema":"https://github.com/citation-style-language/schema/raw/master/csl-citation.json"}</w:instrText>
      </w:r>
      <w:r>
        <w:fldChar w:fldCharType="separate"/>
      </w:r>
      <w:r w:rsidRPr="00091CCE">
        <w:rPr>
          <w:noProof/>
        </w:rPr>
        <w:t>Wallis, 2012</w:t>
      </w:r>
      <w:r>
        <w:fldChar w:fldCharType="end"/>
      </w:r>
      <w:r>
        <w:t xml:space="preserve"> posits that anatomical differences between species, or differences between the tasks presented might account for the differences in brain region activity.</w:t>
      </w:r>
    </w:p>
    <w:p w14:paraId="4CA6DC77" w14:textId="77777777" w:rsidR="00884E52" w:rsidRDefault="00884E52" w:rsidP="00884E52">
      <w:pPr>
        <w:spacing w:before="240"/>
      </w:pPr>
      <w:r>
        <w:t xml:space="preserve">Perhaps more surprisingly, these studies </w:t>
      </w:r>
      <w:r>
        <w:rPr>
          <w:i/>
          <w:iCs/>
        </w:rPr>
        <w:t>did not</w:t>
      </w:r>
      <w:r>
        <w:t xml:space="preserve"> show value correlated BOLD activity in the dopaminergic midbrain. Single dopamine neuron recordings in this area have shown cells to encode the marginal utility of a choice across multiple reward dimensions on a moment to moment basis </w:t>
      </w:r>
      <w:r>
        <w:fldChar w:fldCharType="begin" w:fldLock="1"/>
      </w:r>
      <w:r>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utility","type":"article-journal","volume":"24"},"uris":["http://www.mendeley.com/documents/?uuid=7c4277a4-4814-491b-afd5-67ddc993078e"]},{"id":"ITEM-2","itemData":{"DOI":"10.1073/pnas.1321596111","ISBN":"1321596111","ISSN":"00278424","PMID":"24453218","abstract":"Prediction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America","id":"ITEM-2","issue":"6","issued":{"date-parts":[["2014"]]},"page":"2343-2348","title":"Dopamine prediction error responses integrate subjective value from different reward dimensions","type":"article-journal","volume":"111"},"uris":["http://www.mendeley.com/documents/?uuid=5cb1b60f-88f0-41e1-8202-49439bfc522b"]}],"mendeley":{"formattedCitation":"(Lak et al., 2014; Stauffer et al., 2014)","plainTextFormattedCitation":"(Lak et al., 2014; Stauffer et al., 2014)","previouslyFormattedCitation":"(Lak et al., 2014; Stauffer et al., 2014)"},"properties":{"noteIndex":0},"schema":"https://github.com/citation-style-language/schema/raw/master/csl-citation.json"}</w:instrText>
      </w:r>
      <w:r>
        <w:fldChar w:fldCharType="separate"/>
      </w:r>
      <w:r w:rsidRPr="006E57AA">
        <w:rPr>
          <w:noProof/>
        </w:rPr>
        <w:t>(Lak et al., 2014; Stauffer et al., 2014)</w:t>
      </w:r>
      <w:r>
        <w:fldChar w:fldCharType="end"/>
      </w:r>
      <w:r>
        <w:t>. We would expect activity in these neurons to correlate with the with the utility of an offered good (and thus the bid made by a participant), just as activity in the prefrontal cortex seems to.</w:t>
      </w:r>
    </w:p>
    <w:p w14:paraId="3864A004" w14:textId="77777777" w:rsidR="00884E52" w:rsidRDefault="00884E52" w:rsidP="00884E52">
      <w:pPr>
        <w:spacing w:before="240"/>
      </w:pPr>
      <w:r>
        <w:t xml:space="preserve">Some suggestions for why these crucial, utility-signalling neurons might not show up as regions of interest in analysis of the BOLD signal in fMRI studies of human decision making are outlined in </w:t>
      </w:r>
      <w:r>
        <w:fldChar w:fldCharType="begin" w:fldLock="1"/>
      </w:r>
      <w:r>
        <w:instrText>ADDIN CSL_CITATION {"citationItems":[{"id":"ITEM-1","itemData":{"author":[{"dropping-particle":"","family":"D’Ardenne","given":"Kimberlee","non-dropping-particle":"","parse-names":false,"suffix":""},{"dropping-particle":"","family":"McClure","given":"Samuel M","non-dropping-particle":"","parse-names":false,"suffix":""},{"dropping-particle":"","family":"Nystrom","given":"Leigh E","non-dropping-particle":"","parse-names":false,"suffix":""},{"dropping-particle":"","family":"Cohen","given":"Jonathan D","non-dropping-particle":"","parse-names":false,"suffix":""}],"container-title":"Science","id":"ITEM-1","issue":"February","issued":{"date-parts":[["2008"]]},"page":"1264-1267","title":"BOLD Responses Reflecting Dopaminergic Signals in the Human Ventral Tegmental Area","type":"article-journal","volume":"319"},"uris":["http://www.mendeley.com/documents/?uuid=2945e8cd-f67a-45e2-86c5-27fbe65f45bc"]}],"mendeley":{"formattedCitation":"(D’Ardenne et al., 2008)","manualFormatting":"D’Ardenne et al., 2008","plainTextFormattedCitation":"(D’Ardenne et al., 2008)","previouslyFormattedCitation":"(D’Ardenne et al., 2008)"},"properties":{"noteIndex":0},"schema":"https://github.com/citation-style-language/schema/raw/master/csl-citation.json"}</w:instrText>
      </w:r>
      <w:r>
        <w:fldChar w:fldCharType="separate"/>
      </w:r>
      <w:r w:rsidRPr="00383822">
        <w:rPr>
          <w:noProof/>
        </w:rPr>
        <w:t>D’Ardenne et al., 2008</w:t>
      </w:r>
      <w:r>
        <w:fldChar w:fldCharType="end"/>
      </w:r>
      <w:r>
        <w:t xml:space="preserve">. Midbrain dopaminergic nuclei are extremely small and located near large blood vessels whose pulses create movement artefacts. Even using a simple paradigm of imaging human brains under the expected or unexpected receipt of monetary rewards, only small effect sizes were seen in the change of BOLD signal. </w:t>
      </w:r>
    </w:p>
    <w:p w14:paraId="075B8AAE" w14:textId="77777777" w:rsidR="00884E52" w:rsidRPr="00322410" w:rsidRDefault="00884E52" w:rsidP="00884E52">
      <w:pPr>
        <w:spacing w:before="240"/>
      </w:pPr>
      <w:r>
        <w:t xml:space="preserve">Futhermore, the BOLD signal reported by fMRI is known to have significantly greater variability than electrophysiological recordings at the same location </w:t>
      </w:r>
      <w:r>
        <w:fldChar w:fldCharType="begin" w:fldLock="1"/>
      </w:r>
      <w:r>
        <w:instrText>ADDIN CSL_CITATION {"citationItems":[{"id":"ITEM-1","itemData":{"DOI":"10.1098/rstb.2002.1114","ISSN":"09628436","PMID":"12217171","abstract":"Magnetic resonance imaging (MRI) has rapidly become an important tool in clinical medicine and biological research. Its functional variant (functional magnetic resonance imaging; fMRI) is currently the most widely used method for brain mapping and studying the neural basis of human cognition. While the method is widespread, there is insufficient knowledge of the physiological basis of the fMRI signal to interpret the data confidently with respect to neural activity. This paper reviews the basic principles of MRI and fMRI, and subsequently discusses in some detail the relationship between the blood-oxygen-level-dependent (BOLD) fMRI signal and the neural activity elicited during sensory stimulation. To examine this relationship, we conducted the first simultaneous intracortical recordings of neural signals and BOLD responses. Depending on the temporal characteristics of the stimulus, a moderate to strong correlation was found between the neural activity measured with microelectrodes and the BOLD signal averaged over a small area around the microelectrode tips. However, the BOLD signal had significantly higher variability than the neural activity, indicating that human fMRI combined with traditional statistical methods underestimates the reliability of the neuronal activity. To understand the relative contribution of several types of neuronal signals to the haemodynamic response, we compared local field potentials (LFPs), single- and multi-unit activity (MUA) with high spatio-temporal fMRI responses recorded simultaneously in monkey visual cortex. At recording sites characterized by transient responses, only the LFP signal was significantly correlated with the haemodynamic response. Furthermore, the LFPs had the largest magnitude signal and linear systems analysis showed that the LFPs were better than the MUAs at predicting the fMRI responses. These findings, together with an analysis of the neural signals, indicate that the BOLD signal primarily measures the input and processing of neuronal information within a region and not the output signal transmitted to other brain regions.","author":[{"dropping-particle":"","family":"Logothetis","given":"Nikos K.","non-dropping-particle":"","parse-names":false,"suffix":""}],"container-title":"Philosophical Transactions of the Royal Society B: Biological Sciences","id":"ITEM-1","issue":"1424","issued":{"date-parts":[["2002"]]},"page":"1003-1037","title":"The neural basis of the blood-oxygen-level-dependent functional magnetic resonance imaging signal","type":"article-journal","volume":"357"},"uris":["http://www.mendeley.com/documents/?uuid=82361c53-7557-4900-a542-c92566576df7"]}],"mendeley":{"formattedCitation":"(Logothetis, 2002)","plainTextFormattedCitation":"(Logothetis, 2002)","previouslyFormattedCitation":"(Logothetis, 2002)"},"properties":{"noteIndex":0},"schema":"https://github.com/citation-style-language/schema/raw/master/csl-citation.json"}</w:instrText>
      </w:r>
      <w:r>
        <w:fldChar w:fldCharType="separate"/>
      </w:r>
      <w:r w:rsidRPr="001A2549">
        <w:rPr>
          <w:noProof/>
        </w:rPr>
        <w:t>(Logothetis, 2002)</w:t>
      </w:r>
      <w:r>
        <w:fldChar w:fldCharType="end"/>
      </w:r>
      <w:r>
        <w:t xml:space="preserve"> and so is not as suitable for studying the sparser density and subtler phasic activity of midbrain dopaminergic neurons. This may in part be because the BOLD signal reflects the synaptic, rather than spiking, activity of neurons </w:t>
      </w:r>
      <w:r>
        <w:fldChar w:fldCharType="begin" w:fldLock="1"/>
      </w:r>
      <w:r>
        <w:instrText>ADDIN CSL_CITATION {"citationItems":[{"id":"ITEM-1","itemData":{"DOI":"10.1038/nn1977","ISSN":"10976256","PMID":"17828254","abstract":"In noninvasive neuroimaging, neural activity is inferred from local fluctuations in deoxyhemoglobin. A fundamental question of functional magnetic resonance imaging (fMRI) is whether the inferred neural activity is driven primarily by synaptic or spiking activity. The answer is critical for the interpretation of the blood oxygen level-dependent (BOLD) signal in fMRI. Here, we have used well-established visual-system circuitry to create a stimulus that elicits synaptic activity without associated spike discharge. In colocalized recordings of neural and metabolic activity in cat primary visual cortex, we observed strong coupling between local field potentials (LFPs) and changes in tissue oxygen concentration in the absence of spikes. These results imply that the BOLD signal is more closely coupled to synaptic activity. © 2007 Nature Publishing Group.","author":[{"dropping-particle":"","family":"Viswanathan","given":"Ahalya","non-dropping-particle":"","parse-names":false,"suffix":""},{"dropping-particle":"","family":"Freeman","given":"Ralph D.","non-dropping-particle":"","parse-names":false,"suffix":""}],"container-title":"Nature Neuroscience","id":"ITEM-1","issue":"10","issued":{"date-parts":[["2007"]]},"page":"1308-1312","title":"Neurometabolic coupling in cerebral cortex reflects synaptic more than spiking activity","type":"article-journal","volume":"10"},"uris":["http://www.mendeley.com/documents/?uuid=47bc5beb-1c73-4428-8afe-ded0023ed6bd"]}],"mendeley":{"formattedCitation":"(Viswanathan &amp; Freeman, 2007)","plainTextFormattedCitation":"(Viswanathan &amp; Freeman, 2007)","previouslyFormattedCitation":"(Viswanathan &amp; Freeman, 2007)"},"properties":{"noteIndex":0},"schema":"https://github.com/citation-style-language/schema/raw/master/csl-citation.json"}</w:instrText>
      </w:r>
      <w:r>
        <w:fldChar w:fldCharType="separate"/>
      </w:r>
      <w:r w:rsidRPr="00322410">
        <w:rPr>
          <w:noProof/>
        </w:rPr>
        <w:t>(Viswanathan &amp; Freeman, 2007)</w:t>
      </w:r>
      <w:r>
        <w:fldChar w:fldCharType="end"/>
      </w:r>
      <w:r>
        <w:t xml:space="preserve">, which may be of considerable interest when studying striatal dopamine signalling where only one third of dopaminergic varicosities may contain the key scaffolding proteins required for release of the neurotransmitter and synaptic signalling </w:t>
      </w:r>
      <w:r>
        <w:fldChar w:fldCharType="begin" w:fldLock="1"/>
      </w:r>
      <w:r>
        <w:instrText xml:space="preserve">ADDIN CSL_CITATION {"citationItems":[{"id":"ITEM-1","itemData":{"DOI":"10.1016/j.cell.2018.01.008","ISSN":"10974172","PMID":"29398114","abstract":"Dopamine controls essential brain functions through volume transmission. Different from fast synaptic transmission, where neurotransmitter release and receptor activation are tightly coupled by an active zone, dopamine transmission is widespread and may not necessitate these organized release sites. Here, we determine whether striatal dopamine secretion employs specialized machinery for release. Using super resolution microscopy, we identified co-clustering of the active zone scaffolding proteins bassoon, RIM and ELKS in </w:instrText>
      </w:r>
      <w:r>
        <w:rPr>
          <w:rFonts w:ascii="Cambria Math" w:hAnsi="Cambria Math" w:cs="Cambria Math"/>
        </w:rPr>
        <w:instrText>∼</w:instrText>
      </w:r>
      <w:r>
        <w:instrText>30% of dopamine varicosities. Conditional RIM knockout disrupted this scaffold and, unexpectedly, abolished dopamine release, while ELKS knockout had no effect. Optogenetic experiments revealed that dopamine release was fast and had a high release probability, indicating the presence of protein scaffolds for coupling Ca2+ influx to vesicle fusion. Hence, dopamine secretion is mediated by sparse, mechanistically specialized active zone-like release sites. This architecture supports spatially and temporally precise coding for dopamine and provides molecular machinery for regulation. Secretion of dopamine requires specialized release machinery.","author":[{"dropping-particle":"","family":"Liu","given":"Changliang","non-dropping-particle":"","parse-names":false,"suffix":""},{"dropping-particle":"","family":"Kershberg","given":"Lauren","non-dropping-particle":"","parse-names":false,"suffix":""},{"dropping-particle":"","family":"Wang","given":"Jiexin","non-dropping-particle":"","parse-names":false,"suffix":""},{"dropping-particle":"","family":"Schneeberger","given":"Shirin","non-dropping-particle":"","parse-names":false,"suffix":""},{"dropping-particle":"","family":"Kaeser","given":"Pascal S.","non-dropping-particle":"","parse-names":false,"suffix":""}],"container-title":"Cell","id":"ITEM-1","issue":"4","issued":{"date-parts":[["2018"]]},"page":"706-718.e15","publisher":"Elsevier Inc.","title":"Dopamine Secretion Is Mediated by Sparse Active Zone-like Release Sites","type":"article-journal","volume":"172"},"uris":["http://www.mendeley.com/documents/?uuid=520327ef-2f4a-47c6-91b3-cbd5f0c388de"]}],"mendeley":{"formattedCitation":"(Liu et al., 2018)","plainTextFormattedCitation":"(Liu et al., 2018)","previouslyFormattedCitation":"(Liu et al., 2018)"},"properties":{"noteIndex":0},"schema":"https://github.com/citation-style-language/schema/raw/master/csl-citation.json"}</w:instrText>
      </w:r>
      <w:r>
        <w:fldChar w:fldCharType="separate"/>
      </w:r>
      <w:r w:rsidRPr="00322410">
        <w:rPr>
          <w:noProof/>
        </w:rPr>
        <w:t>(Liu et al., 2018)</w:t>
      </w:r>
      <w:r>
        <w:fldChar w:fldCharType="end"/>
      </w:r>
      <w:r>
        <w:t>.</w:t>
      </w:r>
    </w:p>
    <w:p w14:paraId="5DE3E4CA" w14:textId="77777777" w:rsidR="00884E52" w:rsidRPr="009375DE" w:rsidRDefault="00884E52" w:rsidP="00884E52">
      <w:pPr>
        <w:spacing w:before="240"/>
        <w:rPr>
          <w:noProof/>
          <w:u w:val="single"/>
        </w:rPr>
      </w:pPr>
      <w:r>
        <w:t>Recording the spiking activity of these midbrain dopaminergic cells requires direct access to the brain and precludes recording from humans</w:t>
      </w:r>
      <w:r>
        <w:rPr>
          <w:rStyle w:val="FootnoteReference"/>
        </w:rPr>
        <w:footnoteReference w:id="42"/>
      </w:r>
      <w:r>
        <w:t xml:space="preserve">. </w:t>
      </w:r>
      <w:r w:rsidRPr="009375DE">
        <w:t xml:space="preserve">By training non-human primates on the BDM task we could overcome </w:t>
      </w:r>
      <w:r>
        <w:t>the</w:t>
      </w:r>
      <w:r w:rsidRPr="009375DE">
        <w:t xml:space="preserve"> limitations </w:t>
      </w:r>
      <w:r>
        <w:t xml:space="preserve">of fMRI </w:t>
      </w:r>
      <w:r w:rsidRPr="009375DE">
        <w:t xml:space="preserve">and gain direct access to the single-cell neuronal signal of midbrain dopaminergic neurons. </w:t>
      </w:r>
      <w:r>
        <w:rPr>
          <w:noProof/>
        </w:rPr>
        <w:t>In the following chapter we present a task designed to be suitable for primate learning and behvaioural data showing that trained macaques are able to understand the BDM paradigm.</w:t>
      </w:r>
      <w:r w:rsidRPr="009375DE">
        <w:rPr>
          <w:noProof/>
          <w:u w:val="single"/>
        </w:rPr>
        <w:br w:type="page"/>
      </w:r>
    </w:p>
    <w:p w14:paraId="0ACD0056" w14:textId="77777777" w:rsidR="00884E52" w:rsidRPr="00E177BC" w:rsidRDefault="00884E52" w:rsidP="00884E52">
      <w:r w:rsidRPr="00E177BC">
        <w:rPr>
          <w:noProof/>
          <w:u w:val="single"/>
        </w:rPr>
        <w:lastRenderedPageBreak/>
        <mc:AlternateContent>
          <mc:Choice Requires="wps">
            <w:drawing>
              <wp:anchor distT="45720" distB="45720" distL="114300" distR="114300" simplePos="0" relativeHeight="251677696" behindDoc="0" locked="0" layoutInCell="1" allowOverlap="1" wp14:anchorId="3F360D38" wp14:editId="17A5EE1F">
                <wp:simplePos x="0" y="0"/>
                <wp:positionH relativeFrom="margin">
                  <wp:align>left</wp:align>
                </wp:positionH>
                <wp:positionV relativeFrom="paragraph">
                  <wp:posOffset>5389245</wp:posOffset>
                </wp:positionV>
                <wp:extent cx="5770245" cy="2508250"/>
                <wp:effectExtent l="0" t="0" r="20955" b="2540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0245" cy="2508738"/>
                        </a:xfrm>
                        <a:prstGeom prst="rect">
                          <a:avLst/>
                        </a:prstGeom>
                        <a:solidFill>
                          <a:srgbClr val="FFFFFF"/>
                        </a:solidFill>
                        <a:ln w="9525">
                          <a:solidFill>
                            <a:srgbClr val="000000"/>
                          </a:solidFill>
                          <a:miter lim="800000"/>
                          <a:headEnd/>
                          <a:tailEnd/>
                        </a:ln>
                      </wps:spPr>
                      <wps:txbx>
                        <w:txbxContent>
                          <w:p w14:paraId="0A9E0D4B" w14:textId="77777777" w:rsidR="00270682" w:rsidRPr="00330E57" w:rsidRDefault="00270682" w:rsidP="00884E52">
                            <w:r w:rsidRPr="009B278B">
                              <w:rPr>
                                <w:b/>
                                <w:bCs/>
                              </w:rPr>
                              <w:t xml:space="preserve">Figures </w:t>
                            </w:r>
                            <w:r>
                              <w:rPr>
                                <w:b/>
                                <w:bCs/>
                              </w:rPr>
                              <w:t>2.</w:t>
                            </w:r>
                            <w:r w:rsidRPr="009B278B">
                              <w:rPr>
                                <w:b/>
                                <w:bCs/>
                              </w:rPr>
                              <w:t>1a-d): The repeated binary choice paradigm has multiple undesirable features.</w:t>
                            </w:r>
                            <w:r>
                              <w:rPr>
                                <w:b/>
                                <w:bCs/>
                              </w:rPr>
                              <w:t xml:space="preserve"> </w:t>
                            </w:r>
                            <w:r>
                              <w:t>All four figures show a simulated indifference curve (black) of hypothetical choices between a sure 10 utils and an offered good whose utility varies from 0 – 20 utils. We assume that the ‘true’ indifference point of a participant is when they must choose between the sure 10 utils and an offered 10 utils (dashed red line at 50% proportion of choices). Figure 2.1a) shows average choices (blue circles) which follow a perfect logistic distribution, though with an indifference point that is not directly sampled by the offered choices. Figures 2.1b) and 2.1c) show the constraint of 300 trials (a reasonable session for a trained non-human primate) where a researcher is faced with a trade-off between maximising accuracy by reducing the number of distinct choices (2.1b) or precision by reducing the number of choices made at each distinct offered choice (2.1c). Figure 2.1d) shows a hypothetical effect of satiety on the choices of a participant, where the value of the offered good decreases by 15% relative to the sure 10 utils after each block of 75 trials.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360D38" id="_x0000_s1034" type="#_x0000_t202" style="position:absolute;margin-left:0;margin-top:424.35pt;width:454.35pt;height:197.5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">
                <v:textbox>
                  <w:txbxContent>
                    <w:p w14:paraId="0A9E0D4B" w14:textId="77777777" w:rsidR="00270682" w:rsidRPr="00330E57" w:rsidRDefault="00270682" w:rsidP="00884E52">
                      <w:r w:rsidRPr="009B278B">
                        <w:rPr>
                          <w:b/>
                          <w:bCs/>
                        </w:rPr>
                        <w:t xml:space="preserve">Figures </w:t>
                      </w:r>
                      <w:r>
                        <w:rPr>
                          <w:b/>
                          <w:bCs/>
                        </w:rPr>
                        <w:t>2.</w:t>
                      </w:r>
                      <w:r w:rsidRPr="009B278B">
                        <w:rPr>
                          <w:b/>
                          <w:bCs/>
                        </w:rPr>
                        <w:t>1a-d): The repeated binary choice paradigm has multiple undesirable features.</w:t>
                      </w:r>
                      <w:r>
                        <w:rPr>
                          <w:b/>
                          <w:bCs/>
                        </w:rPr>
                        <w:t xml:space="preserve"> </w:t>
                      </w:r>
                      <w:r>
                        <w:t>All four figures show a simulated indifference curve (black) of hypothetical choices between a sure 10 utils and an offered good whose utility varies from 0 – 20 utils. We assume that the ‘true’ indifference point of a participant is when they must choose between the sure 10 utils and an offered 10 utils (dashed red line at 50% proportion of choices). Figure 2.1a) shows average choices (blue circles) which follow a perfect logistic distribution, though with an indifference point that is not directly sampled by the offered choices. Figures 2.1b) and 2.1c) show the constraint of 300 trials (a reasonable session for a trained non-human primate) where a researcher is faced with a trade-off between maximising accuracy by reducing the number of distinct choices (2.1b) or precision by reducing the number of choices made at each distinct offered choice (2.1c). Figure 2.1d) shows a hypothetical effect of satiety on the choices of a participant, where the value of the offered good decreases by 15% relative to the sure 10 utils after each block of 75 trials.</w:t>
                      </w:r>
                    </w:p>
                  </w:txbxContent>
                </v:textbox>
                <w10:wrap type="square" anchorx="margin"/>
              </v:shape>
            </w:pict>
          </mc:Fallback>
        </mc:AlternateContent>
      </w:r>
      <w:r>
        <w:rPr>
          <w:noProof/>
        </w:rPr>
        <w:drawing>
          <wp:inline distT="0" distB="0" distL="0" distR="0" wp14:anchorId="53ACC765" wp14:editId="266A4702">
            <wp:extent cx="5731510" cy="5089525"/>
            <wp:effectExtent l="0" t="0" r="2540" b="0"/>
            <wp:docPr id="17" name="Picture 1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7592ACBE" w14:textId="77777777" w:rsidR="00884E52" w:rsidRDefault="00884E52" w:rsidP="00884E52">
      <w:pPr>
        <w:rPr>
          <w:noProof/>
          <w:u w:val="single"/>
        </w:rPr>
      </w:pPr>
    </w:p>
    <w:p w14:paraId="16F9FC7F" w14:textId="77777777" w:rsidR="00884E52" w:rsidRDefault="00884E52" w:rsidP="00884E52">
      <w:pPr>
        <w:rPr>
          <w:noProof/>
          <w:u w:val="single"/>
        </w:rPr>
      </w:pPr>
      <w:r>
        <w:rPr>
          <w:noProof/>
          <w:u w:val="single"/>
        </w:rPr>
        <w:br w:type="page"/>
      </w:r>
    </w:p>
    <w:p w14:paraId="0F585733" w14:textId="77777777" w:rsidR="00884E52" w:rsidRDefault="00884E52" w:rsidP="00884E52">
      <w:pPr>
        <w:rPr>
          <w:noProof/>
          <w:u w:val="single"/>
        </w:rPr>
      </w:pPr>
      <w:r w:rsidRPr="00963719">
        <w:rPr>
          <w:noProof/>
        </w:rPr>
        <w:lastRenderedPageBreak/>
        <mc:AlternateContent>
          <mc:Choice Requires="wps">
            <w:drawing>
              <wp:anchor distT="45720" distB="45720" distL="114300" distR="114300" simplePos="0" relativeHeight="251679744" behindDoc="0" locked="0" layoutInCell="1" allowOverlap="1" wp14:anchorId="5632DEFB" wp14:editId="78A1396B">
                <wp:simplePos x="0" y="0"/>
                <wp:positionH relativeFrom="margin">
                  <wp:align>right</wp:align>
                </wp:positionH>
                <wp:positionV relativeFrom="paragraph">
                  <wp:posOffset>5810250</wp:posOffset>
                </wp:positionV>
                <wp:extent cx="5715000" cy="3009900"/>
                <wp:effectExtent l="0" t="0" r="19050"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009900"/>
                        </a:xfrm>
                        <a:prstGeom prst="rect">
                          <a:avLst/>
                        </a:prstGeom>
                        <a:solidFill>
                          <a:srgbClr val="FFFFFF"/>
                        </a:solidFill>
                        <a:ln w="9525">
                          <a:solidFill>
                            <a:srgbClr val="000000"/>
                          </a:solidFill>
                          <a:miter lim="800000"/>
                          <a:headEnd/>
                          <a:tailEnd/>
                        </a:ln>
                      </wps:spPr>
                      <wps:txbx>
                        <w:txbxContent>
                          <w:p w14:paraId="3845FA3A" w14:textId="77777777" w:rsidR="00270682" w:rsidRPr="006D2CCD" w:rsidRDefault="00270682" w:rsidP="00884E52">
                            <w:r w:rsidRPr="00314CA8">
                              <w:rPr>
                                <w:b/>
                                <w:bCs/>
                              </w:rPr>
                              <w:t>Figure</w:t>
                            </w:r>
                            <w:r>
                              <w:rPr>
                                <w:b/>
                                <w:bCs/>
                              </w:rPr>
                              <w:t>s</w:t>
                            </w:r>
                            <w:r w:rsidRPr="00314CA8">
                              <w:rPr>
                                <w:b/>
                                <w:bCs/>
                              </w:rPr>
                              <w:t xml:space="preserve"> </w:t>
                            </w:r>
                            <w:r>
                              <w:rPr>
                                <w:b/>
                                <w:bCs/>
                              </w:rPr>
                              <w:t>2.2a-g)</w:t>
                            </w:r>
                            <w:r w:rsidRPr="00314CA8">
                              <w:rPr>
                                <w:b/>
                                <w:bCs/>
                              </w:rPr>
                              <w:t xml:space="preserve">: </w:t>
                            </w:r>
                            <w:r>
                              <w:rPr>
                                <w:b/>
                                <w:bCs/>
                              </w:rPr>
                              <w:t xml:space="preserve">The optimal strategy in a sealed-second price auction such as the BDM is to bid one’s true utility. </w:t>
                            </w:r>
                            <w:r>
                              <w:t xml:space="preserve">In a hypothetical bidding range between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t>and</w:t>
                            </w:r>
                            <w:r w:rsidRPr="006D2CCD">
                              <w:rPr>
                                <w:b/>
                                <w:bCs/>
                              </w:rPr>
                              <w:t xml:space="preserve">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max</m:t>
                                  </m:r>
                                </m:sub>
                              </m:sSub>
                            </m:oMath>
                            <w:r>
                              <w:rPr>
                                <w:b/>
                                <w:bCs/>
                              </w:rPr>
                              <w:t xml:space="preserve"> </w:t>
                            </w:r>
                            <w:r>
                              <w:t>(represented here as a grey bar, for comparison with the task we present to monkeys in chapter 3), a subject</w:t>
                            </w:r>
                            <w:r w:rsidRPr="006D2CCD">
                              <w:rPr>
                                <w:b/>
                                <w:bCs/>
                              </w:rPr>
                              <w:t xml:space="preserve">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1</m:t>
                                  </m:r>
                                </m:sub>
                              </m:sSub>
                            </m:oMath>
                            <w:r>
                              <w:t xml:space="preserve">has a utility for an auctioned good that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rPr>
                                <w:b/>
                                <w:bCs/>
                              </w:rPr>
                              <w:t xml:space="preserve"> </w:t>
                            </w:r>
                            <w:r w:rsidRPr="00764A51">
                              <w:t>(blue bar in a) and in subsequent panels)</w:t>
                            </w:r>
                            <w:r w:rsidRPr="006D2CCD">
                              <w:t>.</w:t>
                            </w:r>
                            <w:r>
                              <w:t xml:space="preserve"> A subject can place their bid anywhere along the bidding range, but optimally should bid their utility for the auctioned good. In b) the subject’s bid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which is higher than the highest opposing bid</w:t>
                            </w:r>
                            <w:r w:rsidRPr="00764A51">
                              <w:rPr>
                                <w:b/>
                                <w:bCs/>
                              </w:rPr>
                              <w:t xml:space="preserv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(orange bar), so the subject wins the auction and pays the ‘second-price’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 xml:space="preserve">). In c) the subject makes the same,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but this is lower than the largest opposing bid, so the subject does not win the auctioned good but keeps their entire endowment. In d-g) the subject deviates from their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(blue bar as previously) to raise their bid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oMath>
                            <w:r>
                              <w:t>, d-e)), or lower their bid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 f-g)), represented by a green bar. In d) raising one’s bid has no effect on the outcome, but in e) we can see that this means risking overpaying for the good when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 In f-g) the subject decides instead to lower their bid to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(green bar again), which has no effect on the outcome when the subject loses the auction, but gives rise to the possibility of missing out on profit when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2DEFB" id="_x0000_s1035" type="#_x0000_t202" style="position:absolute;margin-left:398.8pt;margin-top:457.5pt;width:450pt;height:237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">
                <v:textbox>
                  <w:txbxContent>
                    <w:p w14:paraId="3845FA3A" w14:textId="77777777" w:rsidR="00270682" w:rsidRPr="006D2CCD" w:rsidRDefault="00270682" w:rsidP="00884E52">
                      <w:r w:rsidRPr="00314CA8">
                        <w:rPr>
                          <w:b/>
                          <w:bCs/>
                        </w:rPr>
                        <w:t>Figure</w:t>
                      </w:r>
                      <w:r>
                        <w:rPr>
                          <w:b/>
                          <w:bCs/>
                        </w:rPr>
                        <w:t>s</w:t>
                      </w:r>
                      <w:r w:rsidRPr="00314CA8">
                        <w:rPr>
                          <w:b/>
                          <w:bCs/>
                        </w:rPr>
                        <w:t xml:space="preserve"> </w:t>
                      </w:r>
                      <w:r>
                        <w:rPr>
                          <w:b/>
                          <w:bCs/>
                        </w:rPr>
                        <w:t>2.2a-g)</w:t>
                      </w:r>
                      <w:r w:rsidRPr="00314CA8">
                        <w:rPr>
                          <w:b/>
                          <w:bCs/>
                        </w:rPr>
                        <w:t xml:space="preserve">: </w:t>
                      </w:r>
                      <w:r>
                        <w:rPr>
                          <w:b/>
                          <w:bCs/>
                        </w:rPr>
                        <w:t xml:space="preserve">The optimal strategy in a sealed-second price auction such as the BDM is to bid one’s true utility. </w:t>
                      </w:r>
                      <w:r>
                        <w:t xml:space="preserve">In a hypothetical bidding range between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t>and</w:t>
                      </w:r>
                      <w:r w:rsidRPr="006D2CCD">
                        <w:rPr>
                          <w:b/>
                          <w:bCs/>
                        </w:rPr>
                        <w:t xml:space="preserve">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max</m:t>
                            </m:r>
                          </m:sub>
                        </m:sSub>
                      </m:oMath>
                      <w:r>
                        <w:rPr>
                          <w:b/>
                          <w:bCs/>
                        </w:rPr>
                        <w:t xml:space="preserve"> </w:t>
                      </w:r>
                      <w:r>
                        <w:t>(represented here as a grey bar, for comparison with the task we present to monkeys in chapter 3), a subject</w:t>
                      </w:r>
                      <w:r w:rsidRPr="006D2CCD">
                        <w:rPr>
                          <w:b/>
                          <w:bCs/>
                        </w:rPr>
                        <w:t xml:space="preserve">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1</m:t>
                            </m:r>
                          </m:sub>
                        </m:sSub>
                      </m:oMath>
                      <w:r>
                        <w:t xml:space="preserve">has a utility for an auctioned good that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rPr>
                          <w:b/>
                          <w:bCs/>
                        </w:rPr>
                        <w:t xml:space="preserve"> </w:t>
                      </w:r>
                      <w:r w:rsidRPr="00764A51">
                        <w:t>(blue bar in a) and in subsequent panels)</w:t>
                      </w:r>
                      <w:r w:rsidRPr="006D2CCD">
                        <w:t>.</w:t>
                      </w:r>
                      <w:r>
                        <w:t xml:space="preserve"> A subject can place their bid anywhere along the bidding range, but optimally should bid their utility for the auctioned good. In b) the subject’s bid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which is higher than the highest opposing bid</w:t>
                      </w:r>
                      <w:r w:rsidRPr="00764A51">
                        <w:rPr>
                          <w:b/>
                          <w:bCs/>
                        </w:rPr>
                        <w:t xml:space="preserv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(orange bar), so the subject wins the auction and pays the ‘second-price’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 xml:space="preserve">). In c) the subject makes the same,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but this is lower than the largest opposing bid, so the subject does not win the auctioned good but keeps their entire endowment. In d-g) the subject deviates from their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(blue bar as previously) to raise their bid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oMath>
                      <w:r>
                        <w:t>, d-e)), or lower their bid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 f-g)), represented by a green bar. In d) raising one’s bid has no effect on the outcome, but in e) we can see that this means risking overpaying for the good when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 In f-g) the subject decides instead to lower their bid to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(green bar again), which has no effect on the outcome when the subject loses the auction, but gives rise to the possibility of missing out on profit when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w:t>
                      </w:r>
                    </w:p>
                  </w:txbxContent>
                </v:textbox>
                <w10:wrap type="square" anchorx="margin"/>
              </v:shape>
            </w:pict>
          </mc:Fallback>
        </mc:AlternateContent>
      </w:r>
      <w:r w:rsidRPr="00CB0F88">
        <w:rPr>
          <w:noProof/>
        </w:rPr>
        <w:drawing>
          <wp:inline distT="0" distB="0" distL="0" distR="0" wp14:anchorId="5C24AFD6" wp14:editId="067A893A">
            <wp:extent cx="5731510" cy="5740400"/>
            <wp:effectExtent l="0" t="0" r="0" b="0"/>
            <wp:docPr id="21" name="Picture 2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740400"/>
                    </a:xfrm>
                    <a:prstGeom prst="rect">
                      <a:avLst/>
                    </a:prstGeom>
                  </pic:spPr>
                </pic:pic>
              </a:graphicData>
            </a:graphic>
          </wp:inline>
        </w:drawing>
      </w:r>
      <w:r>
        <w:rPr>
          <w:noProof/>
          <w:u w:val="single"/>
        </w:rPr>
        <w:br w:type="page"/>
      </w:r>
    </w:p>
    <w:p w14:paraId="4B1608CF" w14:textId="77777777" w:rsidR="00884E52" w:rsidRDefault="00884E52" w:rsidP="00884E52">
      <w:pPr>
        <w:rPr>
          <w:noProof/>
          <w:u w:val="single"/>
        </w:rPr>
      </w:pPr>
    </w:p>
    <w:p w14:paraId="275CB967" w14:textId="77777777" w:rsidR="00884E52" w:rsidRPr="00963719" w:rsidRDefault="00884E52" w:rsidP="00884E52">
      <w:pPr>
        <w:rPr>
          <w:noProof/>
        </w:rPr>
      </w:pPr>
      <w:r w:rsidRPr="00963719">
        <w:rPr>
          <w:noProof/>
        </w:rPr>
        <w:drawing>
          <wp:inline distT="0" distB="0" distL="0" distR="0" wp14:anchorId="25EF1970" wp14:editId="60AFAD56">
            <wp:extent cx="5731510" cy="5089525"/>
            <wp:effectExtent l="0" t="0" r="2540" b="0"/>
            <wp:docPr id="2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2B4173D8" w14:textId="77777777" w:rsidR="00884E52" w:rsidRDefault="00884E52" w:rsidP="00884E52">
      <w:r w:rsidRPr="00963719">
        <w:rPr>
          <w:noProof/>
        </w:rPr>
        <mc:AlternateContent>
          <mc:Choice Requires="wps">
            <w:drawing>
              <wp:anchor distT="45720" distB="45720" distL="114300" distR="114300" simplePos="0" relativeHeight="251674624" behindDoc="0" locked="0" layoutInCell="1" allowOverlap="1" wp14:anchorId="4E99994D" wp14:editId="759B0FBD">
                <wp:simplePos x="0" y="0"/>
                <wp:positionH relativeFrom="margin">
                  <wp:align>left</wp:align>
                </wp:positionH>
                <wp:positionV relativeFrom="paragraph">
                  <wp:posOffset>221615</wp:posOffset>
                </wp:positionV>
                <wp:extent cx="5440680" cy="3025140"/>
                <wp:effectExtent l="0" t="0" r="26670" b="2286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0680" cy="3025140"/>
                        </a:xfrm>
                        <a:prstGeom prst="rect">
                          <a:avLst/>
                        </a:prstGeom>
                        <a:solidFill>
                          <a:srgbClr val="FFFFFF"/>
                        </a:solidFill>
                        <a:ln w="9525">
                          <a:solidFill>
                            <a:srgbClr val="000000"/>
                          </a:solidFill>
                          <a:miter lim="800000"/>
                          <a:headEnd/>
                          <a:tailEnd/>
                        </a:ln>
                      </wps:spPr>
                      <wps:txbx>
                        <w:txbxContent>
                          <w:p w14:paraId="00A0C3BD" w14:textId="77777777" w:rsidR="00270682" w:rsidRPr="00556AFC" w:rsidRDefault="00270682" w:rsidP="00884E52">
                            <w:r w:rsidRPr="00314CA8">
                              <w:rPr>
                                <w:b/>
                                <w:bCs/>
                              </w:rPr>
                              <w:t xml:space="preserve">Figure </w:t>
                            </w:r>
                            <w:r>
                              <w:rPr>
                                <w:b/>
                                <w:bCs/>
                              </w:rPr>
                              <w:t>2.</w:t>
                            </w:r>
                            <w:r w:rsidRPr="00314CA8">
                              <w:rPr>
                                <w:b/>
                                <w:bCs/>
                              </w:rPr>
                              <w:t>3: The expected payoff for a BDM auction given an initial endowment of 10 utils.</w:t>
                            </w:r>
                            <w:r>
                              <w:t xml:space="preserve"> Expected payoff is calculated analytically and is the mean total utility received at the end of a trial from a potentially won good and what remains of the initial endowment.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Red circles indicate the maximum possible payoff per situation and are found when a participant’s bid is equal to the utility of the good. The dashed black line is at 10 utils, indicating the utility a participant would gain if they could simply keep their endowment and not participate in the auction.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9994D" id="_x0000_s1036" type="#_x0000_t202" style="position:absolute;margin-left:0;margin-top:17.45pt;width:428.4pt;height:238.2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">
                <v:textbox>
                  <w:txbxContent>
                    <w:p w14:paraId="00A0C3BD" w14:textId="77777777" w:rsidR="00270682" w:rsidRPr="00556AFC" w:rsidRDefault="00270682" w:rsidP="00884E52">
                      <w:r w:rsidRPr="00314CA8">
                        <w:rPr>
                          <w:b/>
                          <w:bCs/>
                        </w:rPr>
                        <w:t xml:space="preserve">Figure </w:t>
                      </w:r>
                      <w:r>
                        <w:rPr>
                          <w:b/>
                          <w:bCs/>
                        </w:rPr>
                        <w:t>2.</w:t>
                      </w:r>
                      <w:r w:rsidRPr="00314CA8">
                        <w:rPr>
                          <w:b/>
                          <w:bCs/>
                        </w:rPr>
                        <w:t>3: The expected payoff for a BDM auction given an initial endowment of 10 utils.</w:t>
                      </w:r>
                      <w:r>
                        <w:t xml:space="preserve"> Expected payoff is calculated analytically and is the mean total utility received at the end of a trial from a potentially won good and what remains of the initial endowment.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Red circles indicate the maximum possible payoff per situation and are found when a participant’s bid is equal to the utility of the good. The dashed black line is at 10 utils, indicating the utility a participant would gain if they could simply keep their endowment and not participate in the auction.</w:t>
                      </w:r>
                    </w:p>
                  </w:txbxContent>
                </v:textbox>
                <w10:wrap type="square" anchorx="margin"/>
              </v:shape>
            </w:pict>
          </mc:Fallback>
        </mc:AlternateContent>
      </w:r>
      <w:r>
        <w:tab/>
      </w:r>
    </w:p>
    <w:p w14:paraId="0905EDA1" w14:textId="77777777" w:rsidR="00884E52" w:rsidRDefault="00884E52" w:rsidP="00884E52"/>
    <w:p w14:paraId="4379E9E4" w14:textId="77777777" w:rsidR="00884E52" w:rsidRPr="003C4203" w:rsidRDefault="00884E52" w:rsidP="00884E52">
      <w:pPr>
        <w:tabs>
          <w:tab w:val="left" w:pos="7236"/>
        </w:tabs>
      </w:pPr>
      <w:r w:rsidRPr="00963719">
        <w:rPr>
          <w:noProof/>
        </w:rPr>
        <w:lastRenderedPageBreak/>
        <mc:AlternateContent>
          <mc:Choice Requires="wps">
            <w:drawing>
              <wp:anchor distT="45720" distB="45720" distL="114300" distR="114300" simplePos="0" relativeHeight="251675648" behindDoc="0" locked="0" layoutInCell="1" allowOverlap="1" wp14:anchorId="58B7ADA9" wp14:editId="198E0ABB">
                <wp:simplePos x="0" y="0"/>
                <wp:positionH relativeFrom="margin">
                  <wp:align>left</wp:align>
                </wp:positionH>
                <wp:positionV relativeFrom="paragraph">
                  <wp:posOffset>5212715</wp:posOffset>
                </wp:positionV>
                <wp:extent cx="5440680" cy="3284220"/>
                <wp:effectExtent l="0" t="0" r="26670" b="1143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0680" cy="3284220"/>
                        </a:xfrm>
                        <a:prstGeom prst="rect">
                          <a:avLst/>
                        </a:prstGeom>
                        <a:solidFill>
                          <a:srgbClr val="FFFFFF"/>
                        </a:solidFill>
                        <a:ln w="9525">
                          <a:solidFill>
                            <a:srgbClr val="000000"/>
                          </a:solidFill>
                          <a:miter lim="800000"/>
                          <a:headEnd/>
                          <a:tailEnd/>
                        </a:ln>
                      </wps:spPr>
                      <wps:txbx>
                        <w:txbxContent>
                          <w:p w14:paraId="39B468E8" w14:textId="77777777" w:rsidR="00270682" w:rsidRPr="00556AFC" w:rsidRDefault="00270682" w:rsidP="00884E52">
                            <w:r w:rsidRPr="00314CA8">
                              <w:rPr>
                                <w:b/>
                                <w:bCs/>
                              </w:rPr>
                              <w:t xml:space="preserve">Figure </w:t>
                            </w:r>
                            <w:r>
                              <w:rPr>
                                <w:b/>
                                <w:bCs/>
                              </w:rPr>
                              <w:t>2.</w:t>
                            </w:r>
                            <w:r w:rsidRPr="00314CA8">
                              <w:rPr>
                                <w:b/>
                                <w:bCs/>
                              </w:rPr>
                              <w:t>4: The expected cost of misbehaviour in a BDM auction given an initial endowment of 10 utils.</w:t>
                            </w:r>
                            <w:r>
                              <w:t xml:space="preserve"> Expected cost of misbehaviour is calculated analytically and represents the difference between the expected payoff from a trial given the participants bid, and the expected payoff of a trial where the participant bids optimally (bid == utility). Red circles indicate the cost of misbehaviour for a hyper-rational bidder who always bids their utility and show an expected cost of misbehaviour equal to zero.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The dashed black line is at 10 utils, indicating the maximum possible misbehaviour of a participant who refuses to interact with the task and does not get to keep their ‘endowment’.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7ADA9" id="_x0000_s1037" type="#_x0000_t202" style="position:absolute;margin-left:0;margin-top:410.45pt;width:428.4pt;height:258.6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QsdJwIAAE0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">
                <v:textbox>
                  <w:txbxContent>
                    <w:p w14:paraId="39B468E8" w14:textId="77777777" w:rsidR="00270682" w:rsidRPr="00556AFC" w:rsidRDefault="00270682" w:rsidP="00884E52">
                      <w:r w:rsidRPr="00314CA8">
                        <w:rPr>
                          <w:b/>
                          <w:bCs/>
                        </w:rPr>
                        <w:t xml:space="preserve">Figure </w:t>
                      </w:r>
                      <w:r>
                        <w:rPr>
                          <w:b/>
                          <w:bCs/>
                        </w:rPr>
                        <w:t>2.</w:t>
                      </w:r>
                      <w:r w:rsidRPr="00314CA8">
                        <w:rPr>
                          <w:b/>
                          <w:bCs/>
                        </w:rPr>
                        <w:t>4: The expected cost of misbehaviour in a BDM auction given an initial endowment of 10 utils.</w:t>
                      </w:r>
                      <w:r>
                        <w:t xml:space="preserve"> Expected cost of misbehaviour is calculated analytically and represents the difference between the expected payoff from a trial given the participants bid, and the expected payoff of a trial where the participant bids optimally (bid == utility). Red circles indicate the cost of misbehaviour for a hyper-rational bidder who always bids their utility and show an expected cost of misbehaviour equal to zero.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The dashed black line is at 10 utils, indicating the maximum possible misbehaviour of a participant who refuses to interact with the task and does not get to keep their ‘endowment’.</w:t>
                      </w:r>
                    </w:p>
                  </w:txbxContent>
                </v:textbox>
                <w10:wrap type="square" anchorx="margin"/>
              </v:shape>
            </w:pict>
          </mc:Fallback>
        </mc:AlternateContent>
      </w:r>
      <w:r>
        <w:rPr>
          <w:noProof/>
        </w:rPr>
        <w:drawing>
          <wp:inline distT="0" distB="0" distL="0" distR="0" wp14:anchorId="793E75B5" wp14:editId="6C368F6C">
            <wp:extent cx="5731510" cy="5089525"/>
            <wp:effectExtent l="0" t="0" r="2540" b="0"/>
            <wp:docPr id="23" name="Picture 2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hist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370EB6B5" w14:textId="77777777" w:rsidR="00884E52" w:rsidRPr="003C4203" w:rsidRDefault="00884E52" w:rsidP="00884E52"/>
    <w:p w14:paraId="4A84004A" w14:textId="77777777" w:rsidR="00884E52" w:rsidRPr="003C4203" w:rsidRDefault="00884E52" w:rsidP="00884E52">
      <w:r>
        <w:rPr>
          <w:noProof/>
        </w:rPr>
        <w:lastRenderedPageBreak/>
        <mc:AlternateContent>
          <mc:Choice Requires="wps">
            <w:drawing>
              <wp:anchor distT="45720" distB="45720" distL="114300" distR="114300" simplePos="0" relativeHeight="251676672" behindDoc="0" locked="0" layoutInCell="1" allowOverlap="1" wp14:anchorId="04290704" wp14:editId="34FEE3C5">
                <wp:simplePos x="0" y="0"/>
                <wp:positionH relativeFrom="margin">
                  <wp:align>left</wp:align>
                </wp:positionH>
                <wp:positionV relativeFrom="paragraph">
                  <wp:posOffset>5273040</wp:posOffset>
                </wp:positionV>
                <wp:extent cx="5623560" cy="2735580"/>
                <wp:effectExtent l="0" t="0" r="15240" b="2667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2735580"/>
                        </a:xfrm>
                        <a:prstGeom prst="rect">
                          <a:avLst/>
                        </a:prstGeom>
                        <a:solidFill>
                          <a:srgbClr val="FFFFFF"/>
                        </a:solidFill>
                        <a:ln w="9525">
                          <a:solidFill>
                            <a:srgbClr val="000000"/>
                          </a:solidFill>
                          <a:miter lim="800000"/>
                          <a:headEnd/>
                          <a:tailEnd/>
                        </a:ln>
                      </wps:spPr>
                      <wps:txbx>
                        <w:txbxContent>
                          <w:p w14:paraId="25468924" w14:textId="77777777" w:rsidR="00270682" w:rsidRPr="006B4AC2" w:rsidRDefault="00270682" w:rsidP="00884E52">
                            <w:r>
                              <w:rPr>
                                <w:b/>
                                <w:bCs/>
                              </w:rPr>
                              <w:t xml:space="preserve">Figures 2.5a-c): How the distribution of computer bids defines the shape of the payoff and cost curves for a good of known utility. </w:t>
                            </w:r>
                            <w:r>
                              <w:t>In a) and b) a good of known utility of 6.25 utils and show the expected payoff from a BDM auction where a participant is endowed with a budget of 10 utils. Payoffs and cost of misbehaviour are calculated as in figures 2.3 and 2.4. Red circles indicate the maximum payoffs (a) and minimum expected cost of misbehaviour (b). These are observed where the participant bids the exact value of the offered good (6.25 utils). Expected payoff and cost of misbehaviour curves are shown for the three different distributions of computer bids described in figures 2.3 and 2.4. In c) the mean cost of misbehaviour for a monkey which bids uniformly randomly across the endowment budget range is shown for a range of offered good utilities. Colours of bars indicate the opposing computer bid distribution and error bars represent the standard error of the mean. The ‘matched normal’ distribution of bids is not shown in c) as it requires a separate distribution for each given utility of an offered good.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290704" id="_x0000_s1038" type="#_x0000_t202" style="position:absolute;margin-left:0;margin-top:415.2pt;width:442.8pt;height:215.4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">
                <v:textbox>
                  <w:txbxContent>
                    <w:p w14:paraId="25468924" w14:textId="77777777" w:rsidR="00270682" w:rsidRPr="006B4AC2" w:rsidRDefault="00270682" w:rsidP="00884E52">
                      <w:r>
                        <w:rPr>
                          <w:b/>
                          <w:bCs/>
                        </w:rPr>
                        <w:t xml:space="preserve">Figures 2.5a-c): How the distribution of computer bids defines the shape of the payoff and cost curves for a good of known utility. </w:t>
                      </w:r>
                      <w:r>
                        <w:t>In a) and b) a good of known utility of 6.25 utils and show the expected payoff from a BDM auction where a participant is endowed with a budget of 10 utils. Payoffs and cost of misbehaviour are calculated as in figures 2.3 and 2.4. Red circles indicate the maximum payoffs (a) and minimum expected cost of misbehaviour (b). These are observed where the participant bids the exact value of the offered good (6.25 utils). Expected payoff and cost of misbehaviour curves are shown for the three different distributions of computer bids described in figures 2.3 and 2.4. In c) the mean cost of misbehaviour for a monkey which bids uniformly randomly across the endowment budget range is shown for a range of offered good utilities. Colours of bars indicate the opposing computer bid distribution and error bars represent the standard error of the mean. The ‘matched normal’ distribution of bids is not shown in c) as it requires a separate distribution for each given utility of an offered good.</w:t>
                      </w:r>
                    </w:p>
                  </w:txbxContent>
                </v:textbox>
                <w10:wrap type="square" anchorx="margin"/>
              </v:shape>
            </w:pict>
          </mc:Fallback>
        </mc:AlternateContent>
      </w:r>
      <w:r>
        <w:rPr>
          <w:noProof/>
        </w:rPr>
        <w:drawing>
          <wp:inline distT="0" distB="0" distL="0" distR="0" wp14:anchorId="3174C2B3" wp14:editId="675E2777">
            <wp:extent cx="5731510" cy="5089525"/>
            <wp:effectExtent l="0" t="0" r="2540" b="0"/>
            <wp:docPr id="24" name="Picture 2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450BFC1C" w14:textId="77777777" w:rsidR="00884E52" w:rsidRPr="003C4203" w:rsidRDefault="00884E52" w:rsidP="00884E52"/>
    <w:p w14:paraId="77D3A738" w14:textId="77777777" w:rsidR="00884E52" w:rsidRPr="003C4203" w:rsidRDefault="00884E52" w:rsidP="00884E52"/>
    <w:p w14:paraId="0DC30283" w14:textId="77777777" w:rsidR="00884E52" w:rsidRDefault="00884E52" w:rsidP="00884E52">
      <w:r>
        <w:br w:type="page"/>
      </w:r>
    </w:p>
    <w:p w14:paraId="0D44161D" w14:textId="77777777" w:rsidR="00884E52" w:rsidRPr="00B61776" w:rsidRDefault="00884E52" w:rsidP="00884E52">
      <w:pPr>
        <w:rPr>
          <w:b/>
        </w:rPr>
      </w:pPr>
      <w:r w:rsidRPr="00B61776">
        <w:rPr>
          <w:b/>
        </w:rPr>
        <w:lastRenderedPageBreak/>
        <w:t xml:space="preserve">Appendix </w:t>
      </w:r>
      <w:r>
        <w:rPr>
          <w:b/>
        </w:rPr>
        <w:t>2.1</w:t>
      </w:r>
      <w:r w:rsidRPr="00B61776">
        <w:rPr>
          <w:b/>
        </w:rPr>
        <w:t xml:space="preserve">- </w:t>
      </w:r>
      <w:r>
        <w:rPr>
          <w:b/>
        </w:rPr>
        <w:t>Derivations of payoff and expected cost of misbehaviour on a BDM auction trial</w:t>
      </w:r>
      <w:r w:rsidRPr="00B61776">
        <w:rPr>
          <w:b/>
        </w:rPr>
        <w:t xml:space="preserve"> </w:t>
      </w:r>
    </w:p>
    <w:p w14:paraId="081104B2" w14:textId="77777777" w:rsidR="00884E52" w:rsidRDefault="00884E52" w:rsidP="00884E52"/>
    <w:p w14:paraId="0FEDCFF2" w14:textId="380B4FC7" w:rsidR="00884E52" w:rsidRDefault="00884E52" w:rsidP="00884E52">
      <w:r>
        <w:t xml:space="preserve">For a more formal proof of the incentive-compatibility of the BDM task, we present a proof, originally adapted from </w:t>
      </w:r>
      <w:r>
        <w:fldChar w:fldCharType="begin" w:fldLock="1"/>
      </w:r>
      <w:r w:rsidR="00C87A17">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J.","non-dropping-particle":"","parse-names":false,"suffix":""}],"container-title":"Econometrica","id":"ITEM-1","issue":"5","issued":{"date-parts":[["1982"]]},"page":"1089-1122","title":"A Theory of Auctions and Competitive Bidding","type":"article-journal","volume":"50"},"uris":["http://www.mendeley.com/documents/?uuid=8903396c-902b-4159-bd65-b9839cd2de96"]}],"mendeley":{"formattedCitation":"(Milgrom &amp; Weber, 1982)","manualFormatting":"Milgrom &amp; Weber, 1982","plainTextFormattedCitation":"(Milgrom &amp; Weber, 1982)","previouslyFormattedCitation":"(Milgrom &amp; Weber, 1982)"},"properties":{"noteIndex":0},"schema":"https://github.com/citation-style-language/schema/raw/master/csl-citation.json"}</w:instrText>
      </w:r>
      <w:r>
        <w:fldChar w:fldCharType="separate"/>
      </w:r>
      <w:r w:rsidRPr="00AF5259">
        <w:rPr>
          <w:noProof/>
        </w:rPr>
        <w:t>Milgrom &amp; Weber, 1982</w:t>
      </w:r>
      <w:r>
        <w:fldChar w:fldCharType="end"/>
      </w:r>
      <w:r>
        <w:t xml:space="preserve"> in </w:t>
      </w:r>
      <w:r>
        <w:fldChar w:fldCharType="begin" w:fldLock="1"/>
      </w:r>
      <w: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fldChar w:fldCharType="separate"/>
      </w:r>
      <w:r w:rsidRPr="00AF5259">
        <w:rPr>
          <w:noProof/>
        </w:rPr>
        <w:t>Al-Mohammad &amp; Schultz, 2019</w:t>
      </w:r>
      <w:r>
        <w:fldChar w:fldCharType="end"/>
      </w:r>
      <w:r>
        <w:t>. Terms have been edited slightly to reflect their usage in this thesis, but the proof otherwise remains the same.</w:t>
      </w:r>
    </w:p>
    <w:p w14:paraId="314F41FE" w14:textId="77777777" w:rsidR="00884E52" w:rsidRDefault="00884E52" w:rsidP="00884E52"/>
    <w:p w14:paraId="48A38743" w14:textId="77777777" w:rsidR="00884E52" w:rsidRDefault="00884E52" w:rsidP="00884E52">
      <w:r>
        <w:t xml:space="preserve">We assume that any participant has smooth, continuous, and differentiable utility function. An example is shown in figure 2.6, where the red lines shows the expected utility of hypothetical participants for bids increasing along the x axis. The black straight lines show the differentiation of this utility function with respect to bid at certain points along this curve. </w:t>
      </w:r>
    </w:p>
    <w:p w14:paraId="4488F4F3" w14:textId="77777777" w:rsidR="00884E52" w:rsidRDefault="00884E52" w:rsidP="00884E52"/>
    <w:p w14:paraId="5529DF6C" w14:textId="77777777" w:rsidR="00884E52" w:rsidRDefault="00884E52" w:rsidP="00884E52">
      <w:r>
        <w:t>We know that the expected utility a participant has is the expected utility of winning the auction multiplied by the probability of winning the auction, plus the expected utility of losing the auction multiplied by the chance of losing the auction.</w:t>
      </w:r>
    </w:p>
    <w:p w14:paraId="426D2792" w14:textId="77777777" w:rsidR="00884E52" w:rsidRDefault="00884E52" w:rsidP="00884E52"/>
    <w:p w14:paraId="7093F71C" w14:textId="77777777" w:rsidR="00884E52" w:rsidRDefault="00884E52" w:rsidP="00884E52"/>
    <w:p w14:paraId="777BDCAA" w14:textId="77777777" w:rsidR="00884E52" w:rsidRDefault="00884E52" w:rsidP="00884E52">
      <w:pPr>
        <w:pStyle w:val="Caption"/>
        <w:keepNext/>
      </w:pPr>
      <w:r>
        <w:t>Equation 2.</w:t>
      </w:r>
      <w:r w:rsidR="004540CE">
        <w:fldChar w:fldCharType="begin"/>
      </w:r>
      <w:r w:rsidR="004540CE">
        <w:instrText xml:space="preserve"> SEQ Equation \* ARABIC </w:instrText>
      </w:r>
      <w:r w:rsidR="004540CE">
        <w:fldChar w:fldCharType="separate"/>
      </w:r>
      <w:r>
        <w:rPr>
          <w:noProof/>
        </w:rPr>
        <w:t>6</w:t>
      </w:r>
      <w:r w:rsidR="004540CE">
        <w:rPr>
          <w:noProof/>
        </w:rPr>
        <w:fldChar w:fldCharType="end"/>
      </w:r>
    </w:p>
    <w:p w14:paraId="65CD4A62" w14:textId="77777777" w:rsidR="00884E52" w:rsidRPr="00017524" w:rsidRDefault="004540CE" w:rsidP="00884E52">
      <w:pPr>
        <w:rPr>
          <w:bCs/>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 xml:space="preserve"> + (1 - </m:t>
          </m:r>
          <m:sSub>
            <m:sSubPr>
              <m:ctrlPr>
                <w:rPr>
                  <w:rFonts w:ascii="Cambria Math" w:hAnsi="Cambria Math"/>
                  <w:i/>
                </w:rPr>
              </m:ctrlPr>
            </m:sSubPr>
            <m:e>
              <m:r>
                <w:rPr>
                  <w:rFonts w:ascii="Cambria Math" w:hAnsi="Cambria Math"/>
                </w:rPr>
                <m:t>p</m:t>
              </m:r>
            </m:e>
            <m:sub>
              <m:r>
                <w:rPr>
                  <w:rFonts w:ascii="Cambria Math" w:hAnsi="Cambria Math"/>
                </w:rPr>
                <m:t>win</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|loss</m:t>
              </m:r>
            </m:e>
          </m:d>
        </m:oMath>
      </m:oMathPara>
    </w:p>
    <w:p w14:paraId="0FAB8FB6" w14:textId="77777777" w:rsidR="00884E52" w:rsidRDefault="00884E52" w:rsidP="00884E52">
      <w:pPr>
        <w:rPr>
          <w:bCs/>
        </w:rPr>
      </w:pPr>
    </w:p>
    <w:p w14:paraId="43B4E121" w14:textId="77777777" w:rsidR="00884E52" w:rsidRDefault="00884E52" w:rsidP="00884E52">
      <w:pPr>
        <w:rPr>
          <w:bCs/>
        </w:rPr>
      </w:pPr>
      <w:r>
        <w:rPr>
          <w:bCs/>
        </w:rPr>
        <w:t xml:space="preserve">In the main text of Chapter 2, and in appendix 2.3 we discuss the closed form solutions to this expected utility when participants make bids against one computer randomly drawing its bid from a uniform distribution. Here we consider a participant bidding in a ‘life-like’ auction where a participant bids against any number of other bidders with unknown utility functions of their own. </w:t>
      </w:r>
    </w:p>
    <w:p w14:paraId="0D2D88AE" w14:textId="77777777" w:rsidR="00884E52" w:rsidRDefault="00884E52" w:rsidP="00884E52">
      <w:pPr>
        <w:rPr>
          <w:bCs/>
        </w:rPr>
      </w:pPr>
    </w:p>
    <w:p w14:paraId="26E13EF3" w14:textId="77777777" w:rsidR="00884E52" w:rsidRDefault="00884E52" w:rsidP="00884E52">
      <w:r>
        <w:rPr>
          <w:bCs/>
        </w:rPr>
        <w:t xml:space="preserve">This participant places a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B0104A">
        <w:t>,</w:t>
      </w:r>
      <w:r>
        <w:t xml:space="preserve"> which determines whether they win an auction against any number of other bids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opps</m:t>
            </m:r>
          </m:sub>
        </m:sSub>
      </m:oMath>
      <w:r w:rsidRPr="00B0104A">
        <w:t>,</w:t>
      </w:r>
      <w:r>
        <w:t xml:space="preserve"> where the maximum of these,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B</m:t>
                </m:r>
              </m:e>
            </m:acc>
          </m:e>
          <m:sub>
            <m:r>
              <m:rPr>
                <m:sty m:val="bi"/>
              </m:rPr>
              <w:rPr>
                <w:rFonts w:ascii="Cambria Math" w:hAnsi="Cambria Math"/>
              </w:rPr>
              <m:t>opps</m:t>
            </m:r>
          </m:sub>
        </m:sSub>
      </m:oMath>
      <w:r>
        <w:rPr>
          <w:b/>
          <w:bCs/>
        </w:rPr>
        <w:t xml:space="preserve"> </w:t>
      </w:r>
      <w:r w:rsidRPr="008A2BB2">
        <w:t>determines</w:t>
      </w:r>
      <w:r>
        <w:t xml:space="preserve"> the price paid in the event of the participant winning the auction. The probability of winning or losing any auction trial is therefore a cumulative distribution function of the opposing bids, </w:t>
      </w:r>
      <m:oMath>
        <m:r>
          <w:rPr>
            <w:rFonts w:ascii="Cambria Math" w:hAnsi="Cambria Math"/>
          </w:rPr>
          <m:t>f</m:t>
        </m:r>
      </m:oMath>
      <w:r>
        <w:t>(</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t xml:space="preserve">) bounded by the minimum possible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rsidRPr="00B0104A">
        <w:t>,</w:t>
      </w:r>
      <w:r>
        <w:t xml:space="preserve"> and the subjects bid.</w:t>
      </w:r>
    </w:p>
    <w:p w14:paraId="2A38AB8C" w14:textId="77777777" w:rsidR="00884E52" w:rsidRPr="00B0104A" w:rsidRDefault="00884E52" w:rsidP="00884E52">
      <w:pPr>
        <w:rPr>
          <w:iCs/>
        </w:rPr>
      </w:pPr>
    </w:p>
    <w:p w14:paraId="5B19E755" w14:textId="77777777" w:rsidR="00884E52" w:rsidRDefault="00884E52" w:rsidP="00884E52">
      <w:pPr>
        <w:pStyle w:val="Caption"/>
        <w:keepNext/>
      </w:pPr>
      <w:r>
        <w:t>Equation 2.</w:t>
      </w:r>
      <w:r w:rsidR="004540CE">
        <w:fldChar w:fldCharType="begin"/>
      </w:r>
      <w:r w:rsidR="004540CE">
        <w:instrText xml:space="preserve"> SEQ Equation \* ARABIC </w:instrText>
      </w:r>
      <w:r w:rsidR="004540CE">
        <w:fldChar w:fldCharType="separate"/>
      </w:r>
      <w:r>
        <w:rPr>
          <w:noProof/>
        </w:rPr>
        <w:t>7</w:t>
      </w:r>
      <w:r w:rsidR="004540CE">
        <w:rPr>
          <w:noProof/>
        </w:rPr>
        <w:fldChar w:fldCharType="end"/>
      </w:r>
    </w:p>
    <w:p w14:paraId="0BCCA10B" w14:textId="77777777" w:rsidR="00884E52" w:rsidRPr="00FF344A" w:rsidRDefault="004540CE" w:rsidP="00884E52">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r>
                <w:rPr>
                  <w:rFonts w:ascii="Cambria Math" w:hAnsi="Cambria Math"/>
                </w:rPr>
                <m:t xml:space="preserve">+ </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subject</m:t>
                      </m:r>
                    </m:sub>
                  </m:sSub>
                </m:sub>
                <m:sup>
                  <m:sSub>
                    <m:sSubPr>
                      <m:ctrlPr>
                        <w:rPr>
                          <w:rFonts w:ascii="Cambria Math" w:hAnsi="Cambria Math"/>
                          <w:i/>
                        </w:rPr>
                      </m:ctrlPr>
                    </m:sSubPr>
                    <m:e>
                      <m:r>
                        <w:rPr>
                          <w:rFonts w:ascii="Cambria Math" w:hAnsi="Cambria Math"/>
                        </w:rPr>
                        <m:t>B</m:t>
                      </m:r>
                    </m:e>
                    <m:sub>
                      <m:r>
                        <w:rPr>
                          <w:rFonts w:ascii="Cambria Math" w:hAnsi="Cambria Math"/>
                        </w:rPr>
                        <m:t>max</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|loss</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e>
          </m:nary>
        </m:oMath>
      </m:oMathPara>
    </w:p>
    <w:p w14:paraId="444ACB75" w14:textId="77777777" w:rsidR="00884E52" w:rsidRDefault="00884E52" w:rsidP="00884E52"/>
    <w:p w14:paraId="046C24A5" w14:textId="77777777" w:rsidR="00884E52" w:rsidRDefault="00884E52" w:rsidP="00884E52">
      <w:r>
        <w:lastRenderedPageBreak/>
        <w:t>As we are considering auctions as commonly understood in the marketplace (and not as carried out in economic/psychological/neuroscientific contexts)</w:t>
      </w:r>
      <w:r>
        <w:rPr>
          <w:rStyle w:val="FootnoteReference"/>
        </w:rPr>
        <w:footnoteReference w:id="43"/>
      </w:r>
      <w:r>
        <w:t xml:space="preserve">, we assume that the utility </w:t>
      </w:r>
      <m:oMath>
        <m:r>
          <m:rPr>
            <m:sty m:val="bi"/>
          </m:rPr>
          <w:rPr>
            <w:rFonts w:ascii="Cambria Math" w:hAnsi="Cambria Math"/>
          </w:rPr>
          <m:t>U</m:t>
        </m:r>
        <m:d>
          <m:dPr>
            <m:ctrlPr>
              <w:rPr>
                <w:rFonts w:ascii="Cambria Math" w:hAnsi="Cambria Math"/>
                <w:b/>
                <w:bCs/>
                <w:i/>
              </w:rPr>
            </m:ctrlPr>
          </m:dPr>
          <m:e>
            <m:bar>
              <m:barPr>
                <m:pos m:val="top"/>
                <m:ctrlPr>
                  <w:rPr>
                    <w:rFonts w:ascii="Cambria Math" w:hAnsi="Cambria Math"/>
                    <w:b/>
                    <w:bCs/>
                  </w:rPr>
                </m:ctrlPr>
              </m:barPr>
              <m:e>
                <m:r>
                  <m:rPr>
                    <m:sty m:val="bi"/>
                  </m:rPr>
                  <w:rPr>
                    <w:rFonts w:ascii="Cambria Math" w:hAnsi="Cambria Math"/>
                  </w:rPr>
                  <m:t>P</m:t>
                </m:r>
              </m:e>
            </m:bar>
            <m:r>
              <m:rPr>
                <m:sty m:val="bi"/>
              </m:rPr>
              <w:rPr>
                <w:rFonts w:ascii="Cambria Math" w:hAnsi="Cambria Math"/>
              </w:rPr>
              <m:t>|loss</m:t>
            </m:r>
          </m:e>
        </m:d>
      </m:oMath>
      <w:r>
        <w:rPr>
          <w:b/>
          <w:bCs/>
        </w:rPr>
        <w:t xml:space="preserve"> </w:t>
      </w:r>
      <w:r>
        <w:t>is zero; the participant neither wins, nor pays anything for an auctioned good</w:t>
      </w:r>
      <w:r>
        <w:rPr>
          <w:rStyle w:val="FootnoteReference"/>
        </w:rPr>
        <w:footnoteReference w:id="44"/>
      </w:r>
      <w:r>
        <w:t>.</w:t>
      </w:r>
    </w:p>
    <w:p w14:paraId="43C678F3" w14:textId="77777777" w:rsidR="00884E52" w:rsidRDefault="00884E52" w:rsidP="00884E52"/>
    <w:p w14:paraId="301AE628" w14:textId="77777777" w:rsidR="00884E52" w:rsidRPr="00FF344A" w:rsidRDefault="004540CE" w:rsidP="00884E52">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r>
                <w:rPr>
                  <w:rFonts w:ascii="Cambria Math" w:hAnsi="Cambria Math"/>
                </w:rPr>
                <m:t xml:space="preserve">+ </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subject</m:t>
                      </m:r>
                    </m:sub>
                  </m:sSub>
                </m:sub>
                <m:sup>
                  <m:sSub>
                    <m:sSubPr>
                      <m:ctrlPr>
                        <w:rPr>
                          <w:rFonts w:ascii="Cambria Math" w:hAnsi="Cambria Math"/>
                          <w:i/>
                        </w:rPr>
                      </m:ctrlPr>
                    </m:sSubPr>
                    <m:e>
                      <m:r>
                        <w:rPr>
                          <w:rFonts w:ascii="Cambria Math" w:hAnsi="Cambria Math"/>
                        </w:rPr>
                        <m:t>B</m:t>
                      </m:r>
                    </m:e>
                    <m:sub>
                      <m:r>
                        <w:rPr>
                          <w:rFonts w:ascii="Cambria Math" w:hAnsi="Cambria Math"/>
                        </w:rPr>
                        <m:t>max</m:t>
                      </m:r>
                    </m:sub>
                  </m:sSub>
                </m:sup>
                <m:e>
                  <m:r>
                    <w:rPr>
                      <w:rFonts w:ascii="Cambria Math" w:hAnsi="Cambria Math"/>
                    </w:rPr>
                    <m:t>0 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e>
          </m:nary>
        </m:oMath>
      </m:oMathPara>
    </w:p>
    <w:p w14:paraId="12FC6B3E" w14:textId="77777777" w:rsidR="00884E52" w:rsidRPr="00984640" w:rsidRDefault="00884E52" w:rsidP="00884E52"/>
    <w:p w14:paraId="78AAF3C6" w14:textId="77777777" w:rsidR="00884E52" w:rsidRPr="00FF344A" w:rsidRDefault="004540CE" w:rsidP="00884E52">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oMath>
      </m:oMathPara>
    </w:p>
    <w:p w14:paraId="5156F35B" w14:textId="77777777" w:rsidR="00884E52" w:rsidRDefault="00884E52" w:rsidP="00884E52"/>
    <w:p w14:paraId="0FC2D0CA" w14:textId="77777777" w:rsidR="00884E52" w:rsidRDefault="00884E52" w:rsidP="00884E52">
      <w:r>
        <w:t>The expected utility of the payoff, given that the participant wins the auction is equal to the utility of the won good (</w:t>
      </w:r>
      <m:oMath>
        <m:r>
          <m:rPr>
            <m:sty m:val="bi"/>
          </m:rPr>
          <w:rPr>
            <w:rFonts w:ascii="Cambria Math" w:hAnsi="Cambria Math"/>
          </w:rPr>
          <m:t>G</m:t>
        </m:r>
      </m:oMath>
      <w:r>
        <w:rPr>
          <w:b/>
          <w:bCs/>
        </w:rPr>
        <w:t xml:space="preserve">), </w:t>
      </w:r>
      <w:r>
        <w:t>minus the payment for the good</w:t>
      </w:r>
    </w:p>
    <w:p w14:paraId="3FD089FC" w14:textId="77777777" w:rsidR="00884E52" w:rsidRDefault="00884E52" w:rsidP="00884E52"/>
    <w:p w14:paraId="3E4A4FA7" w14:textId="77777777" w:rsidR="00884E52" w:rsidRPr="00FF344A" w:rsidRDefault="004540CE" w:rsidP="00884E52">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r>
                    <w:rPr>
                      <w:rFonts w:ascii="Cambria Math" w:hAnsi="Cambria Math"/>
                    </w:rPr>
                    <m:t xml:space="preserve">G - </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oMath>
      </m:oMathPara>
    </w:p>
    <w:p w14:paraId="43DEA1F8" w14:textId="77777777" w:rsidR="00884E52" w:rsidRDefault="00884E52" w:rsidP="00884E52"/>
    <w:p w14:paraId="4EF87AF0" w14:textId="77777777" w:rsidR="00884E52" w:rsidRDefault="00884E52" w:rsidP="00884E52">
      <w:r>
        <w:t xml:space="preserve">The maximum utility to a participant, </w:t>
      </w:r>
      <m:oMath>
        <m:r>
          <m:rPr>
            <m:sty m:val="bi"/>
          </m:rPr>
          <w:rPr>
            <w:rFonts w:ascii="Cambria Math" w:hAnsi="Cambria Math"/>
          </w:rPr>
          <m:t>U</m:t>
        </m:r>
        <m:d>
          <m:dPr>
            <m:ctrlPr>
              <w:rPr>
                <w:rFonts w:ascii="Cambria Math" w:hAnsi="Cambria Math"/>
                <w:b/>
                <w:bCs/>
                <w:i/>
              </w:rPr>
            </m:ctrlPr>
          </m:dPr>
          <m:e>
            <m:bar>
              <m:barPr>
                <m:pos m:val="top"/>
                <m:ctrlPr>
                  <w:rPr>
                    <w:rFonts w:ascii="Cambria Math" w:hAnsi="Cambria Math"/>
                    <w:b/>
                    <w:bCs/>
                  </w:rPr>
                </m:ctrlPr>
              </m:barPr>
              <m:e>
                <m:r>
                  <m:rPr>
                    <m:sty m:val="bi"/>
                  </m:rPr>
                  <w:rPr>
                    <w:rFonts w:ascii="Cambria Math" w:hAnsi="Cambria Math"/>
                  </w:rPr>
                  <m:t>P</m:t>
                </m:r>
              </m:e>
            </m:bar>
          </m:e>
        </m:d>
      </m:oMath>
      <w:r w:rsidRPr="00F43EDD">
        <w:t>,</w:t>
      </w:r>
      <w:r>
        <w:t xml:space="preserve"> occurs when the first derivative of their expected utility with respect to their own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t xml:space="preserve"> is zero. At exactly this point, the change to their utility as they change their bid is zero. Moving their bid to either side of this point causes the change to utility with respect to the bid to become negative</w:t>
      </w:r>
      <w:r>
        <w:rPr>
          <w:rStyle w:val="FootnoteReference"/>
        </w:rPr>
        <w:footnoteReference w:id="45"/>
      </w:r>
      <w:r>
        <w:t xml:space="preserve">. </w:t>
      </w:r>
    </w:p>
    <w:p w14:paraId="2D912CD8" w14:textId="77777777" w:rsidR="00884E52" w:rsidRDefault="00884E52" w:rsidP="00884E52"/>
    <w:p w14:paraId="35722446" w14:textId="77777777" w:rsidR="00884E52" w:rsidRDefault="00884E52" w:rsidP="00884E52">
      <w:pPr>
        <w:pStyle w:val="Caption"/>
        <w:keepNext/>
      </w:pPr>
      <w:r>
        <w:t>Equation 2.</w:t>
      </w:r>
      <w:r w:rsidR="004540CE">
        <w:fldChar w:fldCharType="begin"/>
      </w:r>
      <w:r w:rsidR="004540CE">
        <w:instrText xml:space="preserve"> SEQ Equation \* ARABIC </w:instrText>
      </w:r>
      <w:r w:rsidR="004540CE">
        <w:fldChar w:fldCharType="separate"/>
      </w:r>
      <w:r>
        <w:rPr>
          <w:noProof/>
        </w:rPr>
        <w:t>8</w:t>
      </w:r>
      <w:r w:rsidR="004540CE">
        <w:rPr>
          <w:noProof/>
        </w:rPr>
        <w:fldChar w:fldCharType="end"/>
      </w:r>
    </w:p>
    <w:p w14:paraId="76E6680B" w14:textId="77777777" w:rsidR="00884E52" w:rsidRPr="00FF344A" w:rsidRDefault="004540CE" w:rsidP="00884E52">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num>
            <m:den>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subject</m:t>
                  </m:r>
                </m:sub>
              </m:sSub>
            </m:den>
          </m:f>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r>
                <w:rPr>
                  <w:rFonts w:ascii="Cambria Math" w:hAnsi="Cambria Math"/>
                </w:rPr>
                <m:t xml:space="preserve">G - </m:t>
              </m:r>
              <m:sSub>
                <m:sSubPr>
                  <m:ctrlPr>
                    <w:rPr>
                      <w:rFonts w:ascii="Cambria Math" w:hAnsi="Cambria Math"/>
                      <w:i/>
                    </w:rPr>
                  </m:ctrlPr>
                </m:sSubPr>
                <m:e>
                  <m:r>
                    <w:rPr>
                      <w:rFonts w:ascii="Cambria Math" w:hAnsi="Cambria Math"/>
                    </w:rPr>
                    <m:t>B</m:t>
                  </m:r>
                </m:e>
                <m:sub>
                  <m:r>
                    <w:rPr>
                      <w:rFonts w:ascii="Cambria Math" w:hAnsi="Cambria Math"/>
                    </w:rPr>
                    <m:t>subject</m:t>
                  </m:r>
                </m:sub>
              </m:sSub>
            </m:e>
          </m:d>
          <m:r>
            <w:rPr>
              <w:rFonts w:ascii="Cambria Math" w:hAnsi="Cambria Math"/>
            </w:rPr>
            <m:t>f</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m:rPr>
              <m:sty m:val="p"/>
            </m:rPr>
            <w:rPr>
              <w:rFonts w:ascii="Cambria Math" w:hAnsi="Cambria Math"/>
            </w:rPr>
            <m:t>) = 0</m:t>
          </m:r>
        </m:oMath>
      </m:oMathPara>
    </w:p>
    <w:p w14:paraId="00326D4E" w14:textId="77777777" w:rsidR="00884E52" w:rsidRDefault="00884E52" w:rsidP="00884E52"/>
    <w:p w14:paraId="2997EDD4" w14:textId="77777777" w:rsidR="00884E52" w:rsidRPr="00116545" w:rsidRDefault="00884E52" w:rsidP="00884E52">
      <w:r>
        <w:t>It is clear that this equation is satisfied when the brackets of the utility function are equal to zero, that is, when the value of the good</w:t>
      </w:r>
      <m:oMath>
        <m:r>
          <w:rPr>
            <w:rFonts w:ascii="Cambria Math" w:hAnsi="Cambria Math"/>
          </w:rPr>
          <m:t xml:space="preserve"> </m:t>
        </m:r>
        <m:r>
          <m:rPr>
            <m:sty m:val="bi"/>
          </m:rPr>
          <w:rPr>
            <w:rFonts w:ascii="Cambria Math" w:hAnsi="Cambria Math"/>
          </w:rPr>
          <m:t>G</m:t>
        </m:r>
      </m:oMath>
      <w:r>
        <w:rPr>
          <w:bCs/>
        </w:rPr>
        <w:t xml:space="preserve"> in units of the budget is equal to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FB5D98">
        <w:t>.</w:t>
      </w:r>
      <w:r>
        <w:t xml:space="preserve"> In other words, this maxima is </w:t>
      </w:r>
      <w:r>
        <w:lastRenderedPageBreak/>
        <w:t xml:space="preserve">found when the utility of a good is exactly matched by the utility of the budget bid by a participant; a subject maximises utility by bidding </w:t>
      </w:r>
      <w:r>
        <w:rPr>
          <w:i/>
          <w:iCs/>
        </w:rPr>
        <w:t>exactly</w:t>
      </w:r>
      <w:r>
        <w:t xml:space="preserve"> their utility for a good. </w:t>
      </w:r>
    </w:p>
    <w:p w14:paraId="448BA31A" w14:textId="77777777" w:rsidR="00884E52" w:rsidRDefault="00884E52" w:rsidP="00884E52"/>
    <w:p w14:paraId="3BFCF071" w14:textId="77777777" w:rsidR="00884E52" w:rsidRDefault="00884E52" w:rsidP="00884E52">
      <w:r>
        <w:t>For a graphical representation of this proof, see figure 2.3 where the change in payoff value (in utils) is flat with respect to the bid, at the point where the bid is equal to the utility of the auctioned good (red circles).</w:t>
      </w:r>
    </w:p>
    <w:p w14:paraId="71A0EA47" w14:textId="77777777" w:rsidR="00884E52" w:rsidRDefault="00884E52" w:rsidP="00884E52">
      <w:r>
        <w:br w:type="page"/>
      </w:r>
    </w:p>
    <w:p w14:paraId="45488DB8" w14:textId="77777777" w:rsidR="00884E52" w:rsidRDefault="00884E52" w:rsidP="00884E52">
      <w:r>
        <w:rPr>
          <w:noProof/>
        </w:rPr>
        <w:lastRenderedPageBreak/>
        <mc:AlternateContent>
          <mc:Choice Requires="wps">
            <w:drawing>
              <wp:anchor distT="45720" distB="45720" distL="114300" distR="114300" simplePos="0" relativeHeight="251678720" behindDoc="0" locked="0" layoutInCell="1" allowOverlap="1" wp14:anchorId="221CE34A" wp14:editId="4948464E">
                <wp:simplePos x="0" y="0"/>
                <wp:positionH relativeFrom="margin">
                  <wp:align>left</wp:align>
                </wp:positionH>
                <wp:positionV relativeFrom="paragraph">
                  <wp:posOffset>5135880</wp:posOffset>
                </wp:positionV>
                <wp:extent cx="5623560" cy="2217420"/>
                <wp:effectExtent l="0" t="0" r="15240" b="1143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2217420"/>
                        </a:xfrm>
                        <a:prstGeom prst="rect">
                          <a:avLst/>
                        </a:prstGeom>
                        <a:solidFill>
                          <a:srgbClr val="FFFFFF"/>
                        </a:solidFill>
                        <a:ln w="9525">
                          <a:solidFill>
                            <a:srgbClr val="000000"/>
                          </a:solidFill>
                          <a:miter lim="800000"/>
                          <a:headEnd/>
                          <a:tailEnd/>
                        </a:ln>
                      </wps:spPr>
                      <wps:txbx>
                        <w:txbxContent>
                          <w:p w14:paraId="303B51B5" w14:textId="77777777" w:rsidR="00270682" w:rsidRPr="006B4AC2" w:rsidRDefault="00270682" w:rsidP="00884E52">
                            <w:r>
                              <w:rPr>
                                <w:b/>
                                <w:bCs/>
                              </w:rPr>
                              <w:t xml:space="preserve">Figures 2.6a-b): Examples of smooth, continuous, differentiable utility functions for expected payoff vs. bid. </w:t>
                            </w:r>
                            <w:r>
                              <w:t>In a) a realistic utility function for the simple BDM paradigm used in this thesis is shown. This is directly comparable to those found in figure 2.3, especially those for the uniform distribution. Differentiation of the curve is shown in black lines at two points, one at a maxima (the optimal bid as shown in the derivation in this appendix), and one which is not at an optimal bid. In b) we present a hypothetical utility curve for some more complicated paradigm (or indeed a participant who does not understand the paradigm presented). This is not a utility curve we would expect to encounter in the scope of this thesis, but is used to make the point that the proof above will still find local maxima or minima for a subjects utility function. Again, the derivative of the curve is shown at two points, including at one local maxima. Curves are for illustrative purposes and so are valueless across both axes.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CE34A" id="_x0000_s1039" type="#_x0000_t202" style="position:absolute;margin-left:0;margin-top:404.4pt;width:442.8pt;height:174.6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">
                <v:textbox>
                  <w:txbxContent>
                    <w:p w14:paraId="303B51B5" w14:textId="77777777" w:rsidR="00270682" w:rsidRPr="006B4AC2" w:rsidRDefault="00270682" w:rsidP="00884E52">
                      <w:r>
                        <w:rPr>
                          <w:b/>
                          <w:bCs/>
                        </w:rPr>
                        <w:t xml:space="preserve">Figures 2.6a-b): Examples of smooth, continuous, differentiable utility functions for expected payoff vs. bid. </w:t>
                      </w:r>
                      <w:r>
                        <w:t>In a) a realistic utility function for the simple BDM paradigm used in this thesis is shown. This is directly comparable to those found in figure 2.3, especially those for the uniform distribution. Differentiation of the curve is shown in black lines at two points, one at a maxima (the optimal bid as shown in the derivation in this appendix), and one which is not at an optimal bid. In b) we present a hypothetical utility curve for some more complicated paradigm (or indeed a participant who does not understand the paradigm presented). This is not a utility curve we would expect to encounter in the scope of this thesis, but is used to make the point that the proof above will still find local maxima or minima for a subjects utility function. Again, the derivative of the curve is shown at two points, including at one local maxima. Curves are for illustrative purposes and so are valueless across both axes.</w:t>
                      </w:r>
                    </w:p>
                  </w:txbxContent>
                </v:textbox>
                <w10:wrap type="square" anchorx="margin"/>
              </v:shape>
            </w:pict>
          </mc:Fallback>
        </mc:AlternateContent>
      </w:r>
      <w:r>
        <w:rPr>
          <w:noProof/>
        </w:rPr>
        <w:drawing>
          <wp:inline distT="0" distB="0" distL="0" distR="0" wp14:anchorId="74BDEF8E" wp14:editId="359C16E5">
            <wp:extent cx="5731510" cy="5089525"/>
            <wp:effectExtent l="0" t="0" r="2540" b="0"/>
            <wp:docPr id="25" name="Picture 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0B71A34A" w14:textId="77777777" w:rsidR="00884E52" w:rsidRDefault="00884E52" w:rsidP="00884E52">
      <w:pPr>
        <w:rPr>
          <w:b/>
        </w:rPr>
      </w:pPr>
      <w:r>
        <w:rPr>
          <w:b/>
        </w:rPr>
        <w:br w:type="page"/>
      </w:r>
    </w:p>
    <w:p w14:paraId="792599C6" w14:textId="77777777" w:rsidR="00884E52" w:rsidRPr="00B61776" w:rsidRDefault="00884E52" w:rsidP="00884E52">
      <w:pPr>
        <w:rPr>
          <w:b/>
        </w:rPr>
      </w:pPr>
      <w:r w:rsidRPr="00B61776">
        <w:rPr>
          <w:b/>
        </w:rPr>
        <w:lastRenderedPageBreak/>
        <w:t xml:space="preserve">Appendix </w:t>
      </w:r>
      <w:r>
        <w:rPr>
          <w:b/>
        </w:rPr>
        <w:t>2.</w:t>
      </w:r>
      <w:r w:rsidRPr="00B61776">
        <w:rPr>
          <w:b/>
        </w:rPr>
        <w:t xml:space="preserve">3- </w:t>
      </w:r>
      <w:r>
        <w:rPr>
          <w:b/>
        </w:rPr>
        <w:t>Derivations of payoff and expected cost of misbehaviour on a BDM auction trial</w:t>
      </w:r>
      <w:r w:rsidRPr="00B61776">
        <w:rPr>
          <w:b/>
        </w:rPr>
        <w:t xml:space="preserve"> </w:t>
      </w:r>
    </w:p>
    <w:p w14:paraId="32892988" w14:textId="77777777" w:rsidR="00884E52" w:rsidRDefault="00884E52" w:rsidP="00884E52">
      <w:pPr>
        <w:rPr>
          <w:bCs/>
        </w:rPr>
      </w:pPr>
    </w:p>
    <w:p w14:paraId="530B0FC3" w14:textId="77777777" w:rsidR="00884E52" w:rsidRDefault="00884E52" w:rsidP="00884E52">
      <w:pPr>
        <w:rPr>
          <w:bCs/>
        </w:rPr>
      </w:pPr>
      <w:r>
        <w:rPr>
          <w:bCs/>
        </w:rPr>
        <w:t xml:space="preserve">For any economic decision making task the payoff is equal to the magnitude of potential outcomes, multiplied by the probability of that outcome occurring (equation 1.2). In any auction task there are only two outcomes: winning the auctioned good, or not. As the BDM is a second price auction, a ‘win’ occurs when the participant makes the highest bid, and the outcome is that they receive the auctioned good and pay the second highest bid out of their budget. The expected utility of a payout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(P)</m:t>
        </m:r>
      </m:oMath>
      <w:r>
        <w:rPr>
          <w:bCs/>
        </w:rPr>
        <w:t xml:space="preserve"> </w:t>
      </w:r>
      <w:r w:rsidRPr="00255EF6">
        <w:rPr>
          <w:bCs/>
        </w:rPr>
        <w:t>can</w:t>
      </w:r>
      <w:r>
        <w:rPr>
          <w:bCs/>
        </w:rPr>
        <w:t xml:space="preserve"> therefore be expressed as:</w:t>
      </w:r>
    </w:p>
    <w:p w14:paraId="6A687F02" w14:textId="77777777" w:rsidR="00884E52" w:rsidRDefault="00884E52" w:rsidP="00884E52">
      <w:pPr>
        <w:rPr>
          <w:bCs/>
        </w:rPr>
      </w:pPr>
    </w:p>
    <w:p w14:paraId="45DD6165" w14:textId="77777777" w:rsidR="00884E52" w:rsidRDefault="00884E52" w:rsidP="00884E52">
      <w:pPr>
        <w:pStyle w:val="Caption"/>
        <w:keepNext/>
      </w:pPr>
      <w:r>
        <w:t>Equation 2.</w:t>
      </w:r>
      <w:r w:rsidR="004540CE">
        <w:fldChar w:fldCharType="begin"/>
      </w:r>
      <w:r w:rsidR="004540CE">
        <w:instrText xml:space="preserve"> SEQ Equation \* ARABIC </w:instrText>
      </w:r>
      <w:r w:rsidR="004540CE">
        <w:fldChar w:fldCharType="separate"/>
      </w:r>
      <w:r>
        <w:rPr>
          <w:noProof/>
        </w:rPr>
        <w:t>9</w:t>
      </w:r>
      <w:r w:rsidR="004540CE">
        <w:rPr>
          <w:noProof/>
        </w:rPr>
        <w:fldChar w:fldCharType="end"/>
      </w:r>
    </w:p>
    <w:p w14:paraId="58EE2839" w14:textId="77777777" w:rsidR="00884E52" w:rsidRPr="00255EF6" w:rsidRDefault="004540CE" w:rsidP="00884E52">
      <w:pPr>
        <w:rPr>
          <w:iCs/>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r>
                    <w:rPr>
                      <w:rFonts w:ascii="Cambria Math" w:hAnsi="Cambria Math"/>
                    </w:rPr>
                    <m:t>Budget-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computer|win</m:t>
                      </m:r>
                    </m:sub>
                  </m:sSub>
                </m:e>
              </m:d>
            </m:e>
          </m:d>
          <m:r>
            <w:rPr>
              <w:rFonts w:ascii="Cambria Math" w:hAnsi="Cambria Math"/>
            </w:rPr>
            <m:t xml:space="preserve"> + (1 - </m:t>
          </m:r>
          <m:sSub>
            <m:sSubPr>
              <m:ctrlPr>
                <w:rPr>
                  <w:rFonts w:ascii="Cambria Math" w:hAnsi="Cambria Math"/>
                  <w:i/>
                </w:rPr>
              </m:ctrlPr>
            </m:sSubPr>
            <m:e>
              <m:r>
                <w:rPr>
                  <w:rFonts w:ascii="Cambria Math" w:hAnsi="Cambria Math"/>
                </w:rPr>
                <m:t>p</m:t>
              </m:r>
            </m:e>
            <m:sub>
              <m:r>
                <w:rPr>
                  <w:rFonts w:ascii="Cambria Math" w:hAnsi="Cambria Math"/>
                </w:rPr>
                <m:t>win</m:t>
              </m:r>
            </m:sub>
          </m:sSub>
          <m:r>
            <w:rPr>
              <w:rFonts w:ascii="Cambria Math" w:hAnsi="Cambria Math"/>
            </w:rPr>
            <m:t>)</m:t>
          </m:r>
          <m:r>
            <m:rPr>
              <m:sty m:val="p"/>
            </m:rPr>
            <w:rPr>
              <w:rFonts w:ascii="Cambria Math" w:hAnsi="Cambria Math"/>
            </w:rPr>
            <m:t>⋅</m:t>
          </m:r>
          <m:r>
            <w:rPr>
              <w:rFonts w:ascii="Cambria Math" w:hAnsi="Cambria Math"/>
            </w:rPr>
            <m:t>Budget</m:t>
          </m:r>
        </m:oMath>
      </m:oMathPara>
    </w:p>
    <w:p w14:paraId="4389E5F4" w14:textId="77777777" w:rsidR="00884E52" w:rsidRDefault="00884E52" w:rsidP="00884E52">
      <w:pPr>
        <w:rPr>
          <w:iCs/>
        </w:rPr>
      </w:pPr>
    </w:p>
    <w:p w14:paraId="1C4793EA" w14:textId="77777777" w:rsidR="00884E52" w:rsidRDefault="00884E52" w:rsidP="00884E52">
      <w:pPr>
        <w:rPr>
          <w:iCs/>
        </w:rPr>
      </w:pPr>
      <w:r>
        <w:rPr>
          <w:iCs/>
        </w:rPr>
        <w:t xml:space="preserve">Where a good </w:t>
      </w:r>
      <m:oMath>
        <m:r>
          <m:rPr>
            <m:sty m:val="bi"/>
          </m:rPr>
          <w:rPr>
            <w:rFonts w:ascii="Cambria Math" w:hAnsi="Cambria Math"/>
          </w:rPr>
          <m:t>G</m:t>
        </m:r>
      </m:oMath>
      <w:r w:rsidRPr="000B67F6">
        <w:rPr>
          <w:iCs/>
        </w:rPr>
        <w:t>,</w:t>
      </w:r>
      <w:r>
        <w:rPr>
          <w:iCs/>
        </w:rPr>
        <w:t xml:space="preserve"> of some utility in terms of the budget is auctioned and receives bids, </w:t>
      </w:r>
      <m:oMath>
        <m:r>
          <m:rPr>
            <m:sty m:val="bi"/>
          </m:rPr>
          <w:rPr>
            <w:rFonts w:ascii="Cambria Math" w:hAnsi="Cambria Math"/>
          </w:rPr>
          <m:t>B</m:t>
        </m:r>
      </m:oMath>
      <w:r>
        <w:rPr>
          <w:iCs/>
        </w:rPr>
        <w:t>.</w:t>
      </w:r>
    </w:p>
    <w:p w14:paraId="01023C6C" w14:textId="77777777" w:rsidR="00884E52" w:rsidRPr="00255EF6" w:rsidRDefault="00884E52" w:rsidP="00884E52"/>
    <w:p w14:paraId="4DD4A87E" w14:textId="77777777" w:rsidR="00884E52" w:rsidRDefault="00884E52" w:rsidP="00884E52">
      <w:pPr>
        <w:rPr>
          <w:bCs/>
        </w:rPr>
      </w:pPr>
      <w:r>
        <w:rPr>
          <w:bCs/>
        </w:rPr>
        <w:t>We use a BDM task as commonly reported in the economics literature where there is one opponent bidder- a computer who makes random bids with an equal, uniform probability across the entire bidding range.  The probability of a participant winning any auction trial is therefore equal to their bid as a fraction of the total bidding range.</w:t>
      </w:r>
    </w:p>
    <w:p w14:paraId="7250B886" w14:textId="77777777" w:rsidR="00884E52" w:rsidRDefault="00884E52" w:rsidP="00884E52">
      <w:pPr>
        <w:rPr>
          <w:bCs/>
        </w:rPr>
      </w:pPr>
    </w:p>
    <w:p w14:paraId="1DC3CE50" w14:textId="77777777" w:rsidR="00884E52" w:rsidRDefault="00884E52" w:rsidP="00884E52">
      <w:pPr>
        <w:rPr>
          <w:bCs/>
        </w:rPr>
      </w:pPr>
      <w:r>
        <w:rPr>
          <w:bCs/>
        </w:rPr>
        <w:t xml:space="preserve"> </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Budget</m:t>
              </m:r>
            </m:den>
          </m:f>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r>
                    <w:rPr>
                      <w:rFonts w:ascii="Cambria Math" w:hAnsi="Cambria Math"/>
                    </w:rPr>
                    <m:t>Budget-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computer|win</m:t>
                      </m:r>
                    </m:sub>
                  </m:sSub>
                </m:e>
              </m:d>
            </m:e>
          </m:d>
          <m:r>
            <w:rPr>
              <w:rFonts w:ascii="Cambria Math" w:hAnsi="Cambria Math"/>
            </w:rPr>
            <m:t xml:space="preserve"> + (1 -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Budget</m:t>
              </m:r>
            </m:den>
          </m:f>
          <m:r>
            <w:rPr>
              <w:rFonts w:ascii="Cambria Math" w:hAnsi="Cambria Math"/>
            </w:rPr>
            <m:t>)</m:t>
          </m:r>
          <m:r>
            <m:rPr>
              <m:sty m:val="p"/>
            </m:rPr>
            <w:rPr>
              <w:rFonts w:ascii="Cambria Math" w:hAnsi="Cambria Math"/>
            </w:rPr>
            <m:t>⋅</m:t>
          </m:r>
          <m:r>
            <w:rPr>
              <w:rFonts w:ascii="Cambria Math" w:hAnsi="Cambria Math"/>
            </w:rPr>
            <m:t>Budget</m:t>
          </m:r>
        </m:oMath>
      </m:oMathPara>
    </w:p>
    <w:p w14:paraId="7BCEA09C" w14:textId="77777777" w:rsidR="00884E52" w:rsidRDefault="00884E52" w:rsidP="00884E52">
      <w:pPr>
        <w:rPr>
          <w:bCs/>
        </w:rPr>
      </w:pPr>
      <w:r>
        <w:rPr>
          <w:bCs/>
        </w:rPr>
        <w:br/>
        <w:t>In the BDM paradigm, both subjects and the random computer bid are drawn from a range from 0 to the total of the Budget, so the maximum bid is exactly equal to the Budget for any trial:</w:t>
      </w:r>
      <w:r>
        <w:rPr>
          <w:bCs/>
        </w:rPr>
        <w:br/>
      </w: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computer|win</m:t>
                      </m:r>
                    </m:sub>
                  </m:sSub>
                </m:e>
              </m:d>
            </m:e>
          </m:d>
          <m:r>
            <w:rPr>
              <w:rFonts w:ascii="Cambria Math" w:hAnsi="Cambria Math"/>
            </w:rPr>
            <m:t xml:space="preserve"> + (1 -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40F480CD" w14:textId="77777777" w:rsidR="00884E52" w:rsidRDefault="00884E52" w:rsidP="00884E52">
      <w:pPr>
        <w:rPr>
          <w:bCs/>
        </w:rPr>
      </w:pPr>
    </w:p>
    <w:p w14:paraId="7EFE0353" w14:textId="77777777" w:rsidR="00884E52" w:rsidRDefault="00884E52" w:rsidP="00884E52">
      <w:pPr>
        <w:rPr>
          <w:bCs/>
        </w:rPr>
      </w:pPr>
    </w:p>
    <w:p w14:paraId="71D27299" w14:textId="77777777" w:rsidR="00884E52" w:rsidRPr="00180924" w:rsidRDefault="00884E52" w:rsidP="00884E52">
      <w:pPr>
        <w:rPr>
          <w:bCs/>
        </w:rPr>
      </w:pPr>
      <w:r>
        <w:rPr>
          <w:bCs/>
        </w:rPr>
        <w:t>The expected computer bid given that the computer has bid less than</w:t>
      </w:r>
      <w:r w:rsidRPr="0015481C">
        <w:rPr>
          <w:b/>
        </w:rPr>
        <w:t xml:space="preserv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Pr>
          <w:b/>
        </w:rPr>
        <w:t xml:space="preserve"> </w:t>
      </w:r>
      <w:r>
        <w:rPr>
          <w:bCs/>
        </w:rPr>
        <w:t>is a random bid drawn uniformly from the range of 0-</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sidRPr="00180924">
        <w:rPr>
          <w:bCs/>
        </w:rPr>
        <w:t>.</w:t>
      </w:r>
      <w:r>
        <w:rPr>
          <w:b/>
        </w:rPr>
        <w:t xml:space="preserve"> </w:t>
      </w:r>
      <w:r>
        <w:rPr>
          <w:bCs/>
        </w:rPr>
        <w:t>The average computer bid on a trial that the subject wins is therefore half of</w:t>
      </w:r>
      <w:r>
        <w:rPr>
          <w:b/>
          <w:vertAlign w:val="subscript"/>
        </w:rPr>
        <w:t xml:space="preserv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Pr>
          <w:bCs/>
        </w:rPr>
        <w:t xml:space="preserve">: </w:t>
      </w:r>
    </w:p>
    <w:p w14:paraId="318343B4" w14:textId="77777777" w:rsidR="00884E52" w:rsidRDefault="00884E52" w:rsidP="00884E52">
      <w:pPr>
        <w:rPr>
          <w:bCs/>
        </w:rPr>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2</m:t>
                      </m:r>
                    </m:den>
                  </m:f>
                </m:e>
              </m:d>
            </m:e>
          </m:d>
          <m:r>
            <w:rPr>
              <w:rFonts w:ascii="Cambria Math" w:hAnsi="Cambria Math"/>
            </w:rPr>
            <m:t xml:space="preserve"> + (1 -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13C92E6E" w14:textId="77777777" w:rsidR="00884E52" w:rsidRDefault="00884E52" w:rsidP="00884E52">
      <w:pPr>
        <w:rPr>
          <w:bCs/>
        </w:rPr>
      </w:pPr>
    </w:p>
    <w:p w14:paraId="2806E3DD" w14:textId="77777777" w:rsidR="00884E52" w:rsidRDefault="00884E52" w:rsidP="00884E52">
      <w:pPr>
        <w:rPr>
          <w:bCs/>
        </w:rPr>
      </w:pPr>
      <w:r>
        <w:rPr>
          <w:bCs/>
        </w:rPr>
        <w:t>We can now multiply out the brackets to reduce this equation to:</w:t>
      </w:r>
      <w:r>
        <w:rPr>
          <w:bCs/>
        </w:rPr>
        <w:br/>
      </w:r>
    </w:p>
    <w:p w14:paraId="2B606E14" w14:textId="77777777" w:rsidR="00884E52" w:rsidRDefault="00884E52" w:rsidP="00884E52">
      <w:pPr>
        <w:pStyle w:val="Caption"/>
        <w:keepNext/>
      </w:pPr>
      <w:r>
        <w:lastRenderedPageBreak/>
        <w:t xml:space="preserve">Equation 2.10 </w:t>
      </w:r>
    </w:p>
    <w:p w14:paraId="2D6BB21C" w14:textId="77777777" w:rsidR="00884E52" w:rsidRDefault="00884E52" w:rsidP="00884E52">
      <w:pPr>
        <w:rPr>
          <w:bCs/>
        </w:rPr>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m:rPr>
                      <m:sty m:val="p"/>
                    </m:rPr>
                    <w:rPr>
                      <w:rFonts w:ascii="Cambria Math" w:hAnsi="Cambria Math"/>
                    </w:rPr>
                    <m:t>⋅</m:t>
                  </m:r>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m:t>
          </m:r>
        </m:oMath>
      </m:oMathPara>
    </w:p>
    <w:p w14:paraId="179CA288" w14:textId="77777777" w:rsidR="00884E52" w:rsidRDefault="00884E52" w:rsidP="00884E52">
      <w:pPr>
        <w:rPr>
          <w:bCs/>
        </w:rPr>
      </w:pPr>
    </w:p>
    <w:p w14:paraId="6F140462" w14:textId="77777777" w:rsidR="00884E52" w:rsidRDefault="00884E52" w:rsidP="00884E52">
      <w:pPr>
        <w:rPr>
          <w:bCs/>
        </w:rPr>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m:rPr>
                      <m:sty m:val="p"/>
                    </m:rPr>
                    <w:rPr>
                      <w:rFonts w:ascii="Cambria Math" w:hAnsi="Cambria Math"/>
                    </w:rPr>
                    <m:t>⋅</m:t>
                  </m:r>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6DF920A8" w14:textId="77777777" w:rsidR="00884E52" w:rsidRDefault="00884E52" w:rsidP="00884E52">
      <w:pPr>
        <w:rPr>
          <w:bCs/>
        </w:rPr>
      </w:pPr>
    </w:p>
    <w:p w14:paraId="0966AD05" w14:textId="77777777" w:rsidR="00884E52" w:rsidRDefault="00884E52" w:rsidP="00884E52">
      <w:pPr>
        <w:rPr>
          <w:bCs/>
        </w:rPr>
      </w:pPr>
    </w:p>
    <w:p w14:paraId="43084027" w14:textId="77777777" w:rsidR="00884E52" w:rsidRDefault="00884E52" w:rsidP="00884E52">
      <w:r>
        <w:t xml:space="preserve">The BDM is incentive compatible for each trial, therefore on each trial a rational participant should seek to maximise the utility of their expected payout by bidding exactly their utility for the good </w:t>
      </w:r>
      <m:oMath>
        <m:r>
          <m:rPr>
            <m:sty m:val="bi"/>
          </m:rPr>
          <w:rPr>
            <w:rFonts w:ascii="Cambria Math" w:hAnsi="Cambria Math"/>
          </w:rPr>
          <m:t>G</m:t>
        </m:r>
      </m:oMath>
      <w:r>
        <w:t>. I.e. we assume for any trial that</w:t>
      </w:r>
      <w:r>
        <w:rPr>
          <w:i/>
          <w:iCs/>
        </w:rPr>
        <w:t xml:space="preserv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865DCA">
        <w:t>.</w:t>
      </w:r>
    </w:p>
    <w:p w14:paraId="2E91FFDF" w14:textId="77777777" w:rsidR="00884E52" w:rsidRDefault="00884E52" w:rsidP="00884E52">
      <w:pPr>
        <w:rPr>
          <w:bCs/>
        </w:rPr>
      </w:pPr>
      <m:oMathPara>
        <m:oMath>
          <m:r>
            <m:rPr>
              <m:sty m:val="p"/>
            </m:rPr>
            <w:rPr>
              <w:rFonts w:ascii="Cambria Math" w:hAnsi="Cambria Math"/>
            </w:rPr>
            <w:br/>
          </m:r>
        </m:oMath>
        <m:oMath>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sSub>
                <m:sSubPr>
                  <m:ctrlPr>
                    <w:rPr>
                      <w:rFonts w:ascii="Cambria Math" w:hAnsi="Cambria Math"/>
                      <w:i/>
                    </w:rPr>
                  </m:ctrlPr>
                </m:sSubPr>
                <m:e>
                  <m:r>
                    <m:rPr>
                      <m:sty m:val="p"/>
                    </m:rPr>
                    <w:rPr>
                      <w:rFonts w:ascii="Cambria Math" w:hAnsi="Cambria Math"/>
                    </w:rPr>
                    <m:t>⋅</m:t>
                  </m:r>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3211D079" w14:textId="77777777" w:rsidR="00884E52" w:rsidRDefault="00884E52" w:rsidP="00884E52">
      <w:pPr>
        <w:rPr>
          <w:bCs/>
        </w:rPr>
      </w:pPr>
      <m:oMathPara>
        <m:oMath>
          <m:r>
            <m:rPr>
              <m:sty m:val="p"/>
            </m:rPr>
            <w:rPr>
              <w:rFonts w:ascii="Cambria Math" w:hAnsi="Cambria Math"/>
            </w:rPr>
            <w:br/>
          </m:r>
        </m:oMath>
        <m:oMath>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70779037" w14:textId="77777777" w:rsidR="00884E52" w:rsidRDefault="00884E52" w:rsidP="00884E52">
      <w:pPr>
        <w:rPr>
          <w:bCs/>
        </w:rPr>
      </w:pPr>
      <m:oMathPara>
        <m:oMath>
          <m:r>
            <m:rPr>
              <m:sty m:val="p"/>
            </m:rPr>
            <w:rPr>
              <w:rFonts w:ascii="Cambria Math" w:hAnsi="Cambria Math"/>
            </w:rPr>
            <w:br/>
          </m:r>
        </m:oMath>
        <m:oMath>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35E47B27" w14:textId="77777777" w:rsidR="00884E52" w:rsidRDefault="00884E52" w:rsidP="00884E52"/>
    <w:p w14:paraId="195553AC" w14:textId="77777777" w:rsidR="00884E52" w:rsidRDefault="00884E52" w:rsidP="00884E52">
      <w:r w:rsidRPr="00CC6990">
        <w:t>As mentioned,</w:t>
      </w:r>
      <w:r>
        <w:rPr>
          <w:b/>
          <w:bCs/>
        </w:rPr>
        <w:t xml:space="preserv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Pr>
          <w:b/>
        </w:rPr>
        <w:t xml:space="preserve"> </w:t>
      </w:r>
      <w:r w:rsidRPr="00CC6990">
        <w:t>is</w:t>
      </w:r>
      <w:r>
        <w:t xml:space="preserve"> in the range 0-</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max</m:t>
            </m:r>
          </m:sub>
        </m:sSub>
      </m:oMath>
      <w:r w:rsidRPr="00CC6990">
        <w:t>.</w:t>
      </w:r>
      <w:r>
        <w:t xml:space="preserve"> We can therefore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Pr>
          <w:b/>
        </w:rPr>
        <w:t xml:space="preserve"> </w:t>
      </w:r>
      <w:r>
        <w:t xml:space="preserve">express in terms of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max</m:t>
            </m:r>
          </m:sub>
        </m:sSub>
      </m:oMath>
      <w:r>
        <w:rPr>
          <w:b/>
        </w:rPr>
        <w:t xml:space="preserve"> </w:t>
      </w:r>
      <w:r>
        <w:t xml:space="preserve">for the ideal situation for any subject (a highly valued good to be auctioned when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max</m:t>
            </m:r>
          </m:sub>
        </m:sSub>
      </m:oMath>
      <w:r>
        <w:t>), or the worst case (an unvalued good when</w:t>
      </w:r>
      <w:r>
        <w:rPr>
          <w:i/>
          <w:iCs/>
        </w:rPr>
        <w:t xml:space="preserv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r>
          <w:rPr>
            <w:rFonts w:ascii="Cambria Math" w:hAnsi="Cambria Math"/>
          </w:rPr>
          <m:t xml:space="preserve"> = 0</m:t>
        </m:r>
      </m:oMath>
      <w:r>
        <w:t>).</w:t>
      </w:r>
    </w:p>
    <w:p w14:paraId="7977B26A" w14:textId="77777777" w:rsidR="00884E52" w:rsidRDefault="00884E52" w:rsidP="00884E52"/>
    <w:p w14:paraId="000490E9" w14:textId="77777777" w:rsidR="00884E52" w:rsidRDefault="00884E52" w:rsidP="00884E52">
      <w:r>
        <w:t>For any trial we can therefore express the expected utility of the payoff for a monkey to be:</w:t>
      </w:r>
      <w:r>
        <w:br/>
      </w:r>
      <w:r>
        <w:br/>
      </w:r>
      <m:oMathPara>
        <m:oMath>
          <m:r>
            <m:rPr>
              <m:sty m:val="p"/>
            </m:rPr>
            <w:rPr>
              <w:rFonts w:ascii="Cambria Math" w:hAnsi="Cambria Math"/>
            </w:rPr>
            <w:br/>
          </m:r>
        </m:oMath>
      </m:oMathPara>
    </w:p>
    <w:p w14:paraId="4A37EC9F" w14:textId="77777777" w:rsidR="00884E52" w:rsidRDefault="00884E52" w:rsidP="00884E52">
      <w:pPr>
        <w:pStyle w:val="Caption"/>
        <w:keepNext/>
      </w:pPr>
      <w:r>
        <w:t>Equation 2.11</w:t>
      </w:r>
      <w:r w:rsidR="004540CE">
        <w:fldChar w:fldCharType="begin"/>
      </w:r>
      <w:r w:rsidR="004540CE">
        <w:instrText xml:space="preserve"> SEQ Equation \* ARABIC </w:instrText>
      </w:r>
      <w:r w:rsidR="004540CE">
        <w:fldChar w:fldCharType="separate"/>
      </w:r>
      <w:r>
        <w:rPr>
          <w:noProof/>
        </w:rPr>
        <w:t>10</w:t>
      </w:r>
      <w:r w:rsidR="004540CE">
        <w:rPr>
          <w:noProof/>
        </w:rPr>
        <w:fldChar w:fldCharType="end"/>
      </w:r>
    </w:p>
    <w:p w14:paraId="5E7D6F85" w14:textId="77777777" w:rsidR="00884E52" w:rsidRDefault="004540CE" w:rsidP="00884E52">
      <w:pPr>
        <w:rPr>
          <w:b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(G)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m:t>
                  </m:r>
                </m:e>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(G)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0</m:t>
                  </m:r>
                </m:e>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otherwise</m:t>
                  </m:r>
                </m:e>
              </m:eqArr>
            </m:e>
          </m:d>
        </m:oMath>
      </m:oMathPara>
    </w:p>
    <w:p w14:paraId="0D2C2E44" w14:textId="77777777" w:rsidR="00884E52" w:rsidRDefault="00884E52" w:rsidP="00884E52"/>
    <w:p w14:paraId="72F79E39" w14:textId="77777777" w:rsidR="00884E52" w:rsidRDefault="00884E52" w:rsidP="00884E52"/>
    <w:p w14:paraId="207DE167" w14:textId="77777777" w:rsidR="00884E52" w:rsidRDefault="00884E52" w:rsidP="00884E52">
      <w:r>
        <w:lastRenderedPageBreak/>
        <w:t>From this result, we can trivially derive the expected cost of misbehaviour- the difference between the maximum expected payoff of a trial and the post-bid expected payoff of a trial. As misbehaviour will only affect the potential profit of a trial</w:t>
      </w:r>
      <w:r>
        <w:rPr>
          <w:rStyle w:val="FootnoteReference"/>
        </w:rPr>
        <w:footnoteReference w:id="46"/>
      </w:r>
      <w:r>
        <w:t>, for simplicity’s  sake we only consider the difference between the utilities of expected profit (</w:t>
      </w:r>
      <m:oMath>
        <m:acc>
          <m:accPr>
            <m:chr m:val="̅"/>
            <m:ctrlPr>
              <w:rPr>
                <w:rFonts w:ascii="Cambria Math" w:hAnsi="Cambria Math"/>
                <w:b/>
                <w:bCs/>
                <w:i/>
              </w:rPr>
            </m:ctrlPr>
          </m:accPr>
          <m:e>
            <m:r>
              <m:rPr>
                <m:sty m:val="bi"/>
              </m:rPr>
              <w:rPr>
                <w:rFonts w:ascii="Cambria Math" w:hAnsi="Cambria Math"/>
              </w:rPr>
              <m:t>π</m:t>
            </m:r>
          </m:e>
        </m:acc>
      </m:oMath>
      <w:r w:rsidRPr="00C515D9">
        <w:rPr>
          <w:rFonts w:cs="Times New Roman"/>
        </w:rPr>
        <w:t>)</w:t>
      </w:r>
      <w:r>
        <w:rPr>
          <w:rFonts w:cs="Times New Roman"/>
        </w:rPr>
        <w:t>. The expected change in payout between when the participant bids their utility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t>) and when they do not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790AB5">
        <w:t>)</w:t>
      </w:r>
      <w:r>
        <w:t>.</w:t>
      </w:r>
    </w:p>
    <w:p w14:paraId="183CE717" w14:textId="77777777" w:rsidR="00884E52" w:rsidRDefault="00884E52" w:rsidP="00884E52"/>
    <w:p w14:paraId="737A1972" w14:textId="77777777" w:rsidR="00884E52" w:rsidRPr="00C515D9" w:rsidRDefault="00884E52" w:rsidP="00884E52"/>
    <w:p w14:paraId="2E2F1E2E" w14:textId="77777777" w:rsidR="00884E52" w:rsidRDefault="00884E52" w:rsidP="00884E52">
      <w:pPr>
        <w:pStyle w:val="Caption"/>
        <w:keepNext/>
      </w:pPr>
      <w:r>
        <w:t>Equation 2.</w:t>
      </w:r>
      <w:r w:rsidR="004540CE">
        <w:fldChar w:fldCharType="begin"/>
      </w:r>
      <w:r w:rsidR="004540CE">
        <w:instrText xml:space="preserve"> SEQ Equation \* ARABIC </w:instrText>
      </w:r>
      <w:r w:rsidR="004540CE">
        <w:fldChar w:fldCharType="separate"/>
      </w:r>
      <w:r>
        <w:rPr>
          <w:noProof/>
        </w:rPr>
        <w:t>11</w:t>
      </w:r>
      <w:r w:rsidR="004540CE">
        <w:rPr>
          <w:noProof/>
        </w:rPr>
        <w:fldChar w:fldCharType="end"/>
      </w:r>
      <w:r>
        <w:rPr>
          <w:noProof/>
        </w:rPr>
        <w:t>2</w:t>
      </w:r>
    </w:p>
    <w:p w14:paraId="60A5969D" w14:textId="77777777" w:rsidR="00884E52" w:rsidRPr="009B39AC" w:rsidRDefault="004540CE" w:rsidP="00884E52">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2</m:t>
                  </m:r>
                </m:den>
              </m:f>
            </m:e>
          </m:d>
        </m:oMath>
      </m:oMathPara>
    </w:p>
    <w:p w14:paraId="4B8FDEF3" w14:textId="77777777" w:rsidR="00884E52" w:rsidRPr="009B39AC" w:rsidRDefault="00884E52" w:rsidP="00884E52"/>
    <w:p w14:paraId="6968E8EA" w14:textId="77777777" w:rsidR="00884E52" w:rsidRPr="00F85111" w:rsidRDefault="004540CE" w:rsidP="00884E52">
      <w:pPr>
        <w:rPr>
          <w:bCs/>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e>
              </m:d>
            </m:e>
            <m:sub>
              <m:r>
                <w:rPr>
                  <w:rFonts w:ascii="Cambria Math" w:hAnsi="Cambria Math"/>
                </w:rPr>
                <m:t>max</m:t>
              </m:r>
            </m:sub>
          </m:sSub>
          <m:r>
            <w:rPr>
              <w:rFonts w:ascii="Cambria Math" w:hAnsi="Cambria Math"/>
            </w:rPr>
            <m:t xml:space="preserve"> - </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e>
          </m:d>
        </m:oMath>
      </m:oMathPara>
    </w:p>
    <w:p w14:paraId="78BC54A3" w14:textId="77777777" w:rsidR="00884E52" w:rsidRDefault="00884E52" w:rsidP="00884E52">
      <w:pPr>
        <w:rPr>
          <w:bCs/>
        </w:rPr>
      </w:pPr>
    </w:p>
    <w:p w14:paraId="6C07E62D" w14:textId="77777777" w:rsidR="00884E52" w:rsidRPr="00F85111" w:rsidRDefault="00884E52" w:rsidP="00884E52">
      <w:pPr>
        <w:rPr>
          <w:bCs/>
        </w:rPr>
      </w:pPr>
      <w:r>
        <w:rPr>
          <w:bCs/>
        </w:rPr>
        <w:t>For when the participant actually misbehaves this can also be written as</w:t>
      </w:r>
    </w:p>
    <w:p w14:paraId="06163B05" w14:textId="77777777" w:rsidR="00884E52" w:rsidRPr="00F85111" w:rsidRDefault="00884E52" w:rsidP="00884E52">
      <w:pPr>
        <w:rPr>
          <w:bCs/>
        </w:rPr>
      </w:pPr>
    </w:p>
    <w:p w14:paraId="1DE2ED3C" w14:textId="77777777" w:rsidR="00884E52" w:rsidRPr="00F85111" w:rsidRDefault="004540CE" w:rsidP="00884E52">
      <w:pPr>
        <w:rPr>
          <w:bCs/>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(G)</m:t>
              </m:r>
            </m:e>
          </m:d>
          <m:r>
            <w:rPr>
              <w:rFonts w:ascii="Cambria Math" w:hAnsi="Cambria Math"/>
            </w:rPr>
            <m:t xml:space="preserve">- </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(G)</m:t>
              </m:r>
            </m:e>
          </m:d>
        </m:oMath>
      </m:oMathPara>
    </w:p>
    <w:p w14:paraId="25B3D60A" w14:textId="77777777" w:rsidR="00884E52" w:rsidRDefault="00884E52" w:rsidP="00884E52">
      <w:pPr>
        <w:rPr>
          <w:bCs/>
        </w:rPr>
      </w:pPr>
    </w:p>
    <w:p w14:paraId="7F26FCCB" w14:textId="77777777" w:rsidR="00884E52" w:rsidRPr="006937E1" w:rsidRDefault="00884E52" w:rsidP="00884E52">
      <w:r>
        <w:rPr>
          <w:bCs/>
        </w:rPr>
        <w:t xml:space="preserve">Where </w:t>
      </w:r>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r>
          <m:rPr>
            <m:sty m:val="b"/>
          </m:rPr>
          <w:rPr>
            <w:rFonts w:ascii="Cambria Math" w:hAnsi="Cambria Math"/>
          </w:rPr>
          <m:t>G</m:t>
        </m:r>
        <m:r>
          <w:rPr>
            <w:rFonts w:ascii="Cambria Math" w:hAnsi="Cambria Math"/>
          </w:rPr>
          <m:t>)</m:t>
        </m:r>
      </m:oMath>
      <w:r>
        <w:t xml:space="preserve"> is the utility function for a good </w:t>
      </w:r>
      <m:oMath>
        <m:r>
          <m:rPr>
            <m:sty m:val="bi"/>
          </m:rPr>
          <w:rPr>
            <w:rFonts w:ascii="Cambria Math" w:hAnsi="Cambria Math"/>
          </w:rPr>
          <m:t>G</m:t>
        </m:r>
      </m:oMath>
      <w:r>
        <w:t xml:space="preserve"> which incorporates some error, deviating the bid from the optimal value.</w:t>
      </w:r>
    </w:p>
    <w:p w14:paraId="15BCFCAC" w14:textId="77777777" w:rsidR="00884E52" w:rsidRPr="00CC6990" w:rsidRDefault="00884E52" w:rsidP="00884E52"/>
    <w:p w14:paraId="0E360EF4" w14:textId="77777777" w:rsidR="00884E52" w:rsidRDefault="00884E52" w:rsidP="00884E52">
      <w:pPr>
        <w:pStyle w:val="Caption"/>
        <w:keepNext/>
      </w:pPr>
      <w:r>
        <w:t>Equation 2.13</w:t>
      </w:r>
    </w:p>
    <w:p w14:paraId="4AE87085" w14:textId="77777777" w:rsidR="00884E52" w:rsidRPr="006937E1" w:rsidRDefault="004540CE" w:rsidP="00884E52">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 </m:t>
          </m:r>
          <w:bookmarkStart w:id="1" w:name="_Hlk55220622"/>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(G)</m:t>
                  </m:r>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w:bookmarkEnd w:id="1"/>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 xml:space="preserve"> </m:t>
                  </m:r>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(G)</m:t>
                  </m:r>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i</m:t>
                      </m:r>
                    </m:sub>
                  </m:sSub>
                  <m:sSup>
                    <m:sSupPr>
                      <m:ctrlPr>
                        <w:rPr>
                          <w:rFonts w:ascii="Cambria Math" w:hAnsi="Cambria Math"/>
                          <w:i/>
                        </w:rPr>
                      </m:ctrlPr>
                    </m:sSupPr>
                    <m:e>
                      <m:r>
                        <w:rPr>
                          <w:rFonts w:ascii="Cambria Math" w:hAnsi="Cambria Math"/>
                        </w:rPr>
                        <m:t>(G)</m:t>
                      </m:r>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e>
          </m:d>
          <m:r>
            <w:rPr>
              <w:rFonts w:ascii="Cambria Math" w:hAnsi="Cambria Math"/>
            </w:rPr>
            <m:t xml:space="preserve"> </m:t>
          </m:r>
        </m:oMath>
      </m:oMathPara>
    </w:p>
    <w:p w14:paraId="52317BE7" w14:textId="77777777" w:rsidR="00884E52" w:rsidRPr="00CC6990" w:rsidRDefault="00884E52" w:rsidP="00884E52"/>
    <w:p w14:paraId="4F6B21BC" w14:textId="77777777" w:rsidR="00884E52" w:rsidRPr="006937E1" w:rsidRDefault="004540CE" w:rsidP="00884E52">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(G)</m:t>
                  </m:r>
                </m:e>
                <m:sup>
                  <m:r>
                    <w:rPr>
                      <w:rFonts w:ascii="Cambria Math" w:hAnsi="Cambria Math"/>
                    </w:rPr>
                    <m:t>2</m:t>
                  </m:r>
                </m:sup>
              </m:sSup>
            </m:num>
            <m:den>
              <m:r>
                <w:rPr>
                  <w:rFonts w:ascii="Cambria Math" w:hAnsi="Cambria Math"/>
                </w:rPr>
                <m:t>2</m:t>
              </m:r>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(G)</m:t>
                  </m:r>
                </m:e>
                <m:sup>
                  <m:r>
                    <w:rPr>
                      <w:rFonts w:ascii="Cambria Math" w:hAnsi="Cambria Math"/>
                    </w:rPr>
                    <m:t>2</m:t>
                  </m:r>
                </m:sup>
              </m:sSup>
            </m:num>
            <m:den>
              <m:r>
                <w:rPr>
                  <w:rFonts w:ascii="Cambria Math" w:hAnsi="Cambria Math"/>
                </w:rPr>
                <m:t>2</m:t>
              </m:r>
            </m:den>
          </m:f>
          <m:r>
            <w:rPr>
              <w:rFonts w:ascii="Cambria Math" w:hAnsi="Cambria Math"/>
            </w:rPr>
            <m:t xml:space="preserve"> - </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 xml:space="preserve"> </m:t>
          </m:r>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 xml:space="preserve">(G) </m:t>
          </m:r>
        </m:oMath>
      </m:oMathPara>
    </w:p>
    <w:p w14:paraId="5BFA1AD0" w14:textId="77777777" w:rsidR="00884E52" w:rsidRPr="00CC6990" w:rsidRDefault="00884E52" w:rsidP="00884E52"/>
    <w:p w14:paraId="24E37E86" w14:textId="77777777" w:rsidR="00884E52" w:rsidRPr="00CC6990" w:rsidRDefault="004540CE" w:rsidP="00884E52">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 xml:space="preserve"> </m:t>
                  </m:r>
                  <m:r>
                    <m:rPr>
                      <m:sty m:val="p"/>
                    </m:rP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(G))</m:t>
                  </m:r>
                </m:e>
                <m:sup>
                  <m:r>
                    <w:rPr>
                      <w:rFonts w:ascii="Cambria Math" w:hAnsi="Cambria Math"/>
                    </w:rPr>
                    <m:t>2</m:t>
                  </m:r>
                </m:sup>
              </m:sSup>
            </m:num>
            <m:den>
              <m:r>
                <w:rPr>
                  <w:rFonts w:ascii="Cambria Math" w:hAnsi="Cambria Math"/>
                </w:rPr>
                <m:t>2</m:t>
              </m:r>
            </m:den>
          </m:f>
        </m:oMath>
      </m:oMathPara>
    </w:p>
    <w:p w14:paraId="46798FCE" w14:textId="77777777" w:rsidR="00884E52" w:rsidRDefault="00884E52" w:rsidP="00884E52">
      <w:r>
        <w:t xml:space="preserve">If we express the difference between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d>
          <m:dPr>
            <m:ctrlPr>
              <w:rPr>
                <w:rFonts w:ascii="Cambria Math" w:hAnsi="Cambria Math"/>
                <w:b/>
                <w:bCs/>
                <w:i/>
              </w:rPr>
            </m:ctrlPr>
          </m:dPr>
          <m:e>
            <m:r>
              <m:rPr>
                <m:sty m:val="bi"/>
              </m:rPr>
              <w:rPr>
                <w:rFonts w:ascii="Cambria Math" w:hAnsi="Cambria Math"/>
              </w:rPr>
              <m:t>G</m:t>
            </m:r>
          </m:e>
        </m:d>
      </m:oMath>
      <w:r>
        <w:t xml:space="preserve"> and </w:t>
      </w:r>
      <m:oMath>
        <m:sSub>
          <m:sSubPr>
            <m:ctrlPr>
              <w:rPr>
                <w:rFonts w:ascii="Cambria Math" w:hAnsi="Cambria Math"/>
                <w:b/>
                <w:bCs/>
                <w:i/>
              </w:rPr>
            </m:ctrlPr>
          </m:sSubPr>
          <m:e>
            <m:r>
              <m:rPr>
                <m:sty m:val="bi"/>
              </m:rPr>
              <w:rPr>
                <w:rFonts w:ascii="Cambria Math" w:hAnsi="Cambria Math"/>
              </w:rPr>
              <m:t>φ</m:t>
            </m:r>
          </m:e>
          <m:sub>
            <m:r>
              <m:rPr>
                <m:sty m:val="bi"/>
              </m:rPr>
              <w:rPr>
                <w:rFonts w:ascii="Cambria Math" w:hAnsi="Cambria Math"/>
              </w:rPr>
              <m:t>i</m:t>
            </m:r>
          </m:sub>
        </m:sSub>
        <m:r>
          <m:rPr>
            <m:sty m:val="bi"/>
          </m:rPr>
          <w:rPr>
            <w:rFonts w:ascii="Cambria Math" w:hAnsi="Cambria Math"/>
          </w:rPr>
          <m:t>(</m:t>
        </m:r>
        <m:r>
          <m:rPr>
            <m:sty m:val="b"/>
          </m:rPr>
          <w:rPr>
            <w:rFonts w:ascii="Cambria Math" w:hAnsi="Cambria Math"/>
          </w:rPr>
          <m:t>G</m:t>
        </m:r>
        <m:r>
          <m:rPr>
            <m:sty m:val="bi"/>
          </m:rPr>
          <w:rPr>
            <w:rFonts w:ascii="Cambria Math" w:hAnsi="Cambria Math"/>
          </w:rPr>
          <m:t>)</m:t>
        </m:r>
      </m:oMath>
      <w:r>
        <w:t xml:space="preserve"> as some error </w:t>
      </w:r>
      <m:oMath>
        <m:r>
          <m:rPr>
            <m:sty m:val="b"/>
          </m:rPr>
          <w:rPr>
            <w:rFonts w:ascii="Cambria Math" w:hAnsi="Cambria Math" w:cs="Times New Roman"/>
          </w:rPr>
          <m:t>ε</m:t>
        </m:r>
      </m:oMath>
      <w:r>
        <w:t>, we can then rewrite this as</w:t>
      </w:r>
    </w:p>
    <w:p w14:paraId="408EA35C" w14:textId="77777777" w:rsidR="00884E52" w:rsidRDefault="00884E52" w:rsidP="00884E52">
      <w:pPr>
        <w:pStyle w:val="Caption"/>
        <w:keepNext/>
      </w:pPr>
      <w:r>
        <w:t>Equation 2.14</w:t>
      </w:r>
    </w:p>
    <w:p w14:paraId="3B1DCBE0" w14:textId="77777777" w:rsidR="00884E52" w:rsidRPr="00AF6F5A" w:rsidRDefault="004540CE" w:rsidP="00884E52">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f>
            <m:fPr>
              <m:ctrlPr>
                <w:rPr>
                  <w:rFonts w:ascii="Cambria Math" w:hAnsi="Cambria Math"/>
                  <w:i/>
                </w:rPr>
              </m:ctrlPr>
            </m:fPr>
            <m:num>
              <m:sSup>
                <m:sSupPr>
                  <m:ctrlPr>
                    <w:rPr>
                      <w:rFonts w:ascii="Cambria Math" w:hAnsi="Cambria Math"/>
                      <w:i/>
                    </w:rPr>
                  </m:ctrlPr>
                </m:sSupPr>
                <m:e>
                  <m:r>
                    <w:rPr>
                      <w:rFonts w:ascii="Cambria Math" w:hAnsi="Cambria Math"/>
                    </w:rPr>
                    <m:t>ε</m:t>
                  </m:r>
                </m:e>
                <m:sup>
                  <m:r>
                    <w:rPr>
                      <w:rFonts w:ascii="Cambria Math" w:hAnsi="Cambria Math"/>
                    </w:rPr>
                    <m:t>2</m:t>
                  </m:r>
                </m:sup>
              </m:sSup>
            </m:num>
            <m:den>
              <m:r>
                <w:rPr>
                  <w:rFonts w:ascii="Cambria Math" w:hAnsi="Cambria Math"/>
                </w:rPr>
                <m:t>2</m:t>
              </m:r>
            </m:den>
          </m:f>
        </m:oMath>
      </m:oMathPara>
    </w:p>
    <w:p w14:paraId="012326D9" w14:textId="77777777" w:rsidR="00884E52" w:rsidRDefault="00884E52" w:rsidP="00884E52"/>
    <w:p w14:paraId="3C95F779" w14:textId="77777777" w:rsidR="00884E52" w:rsidRDefault="00884E52" w:rsidP="00884E52">
      <w:r>
        <w:lastRenderedPageBreak/>
        <w:t xml:space="preserve">Therefore, the actual utility of a good, </w:t>
      </w:r>
      <w:r w:rsidRPr="00BD59E2">
        <w:rPr>
          <w:b/>
          <w:bCs/>
          <w:i/>
          <w:iCs/>
        </w:rPr>
        <w:t>U</w:t>
      </w:r>
      <w:r w:rsidRPr="00BD59E2">
        <w:rPr>
          <w:b/>
          <w:bCs/>
        </w:rPr>
        <w:t>(G)</w:t>
      </w:r>
      <w:r>
        <w:t xml:space="preserve">, has no effect </w:t>
      </w:r>
      <w:r>
        <w:rPr>
          <w:i/>
          <w:iCs/>
        </w:rPr>
        <w:t xml:space="preserve">per se </w:t>
      </w:r>
      <w:r>
        <w:t xml:space="preserve">on the cost of misbehaviour to the participant. Instead, it is only the </w:t>
      </w:r>
      <w:r>
        <w:rPr>
          <w:i/>
          <w:iCs/>
        </w:rPr>
        <w:t>deviation from this utility</w:t>
      </w:r>
      <w:r>
        <w:t xml:space="preserve"> which affects the disutility of suboptimal bidding.</w:t>
      </w:r>
    </w:p>
    <w:p w14:paraId="6043AFFA" w14:textId="77777777" w:rsidR="00884E52" w:rsidRDefault="00884E52" w:rsidP="00884E52"/>
    <w:p w14:paraId="1FC2F904" w14:textId="77777777" w:rsidR="00884E52" w:rsidRPr="00A74078" w:rsidRDefault="00884E52" w:rsidP="00884E52">
      <w:r>
        <w:t xml:space="preserve">For fuller discussions of deriving the payoff and cost of misbehaviour for the BDM, extending this appendix to multiple bidders and more complex distributions of computer bid, see </w:t>
      </w:r>
      <w:r>
        <w:fldChar w:fldCharType="begin" w:fldLock="1"/>
      </w:r>
      <w: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w:instrText>
      </w:r>
      <w:r>
        <w:rPr>
          <w:rFonts w:hint="eastAsia"/>
        </w:rPr>
        <w:instrText>pling for flexible polypeptides. In addition, scoring of the poses was improved by post-processing with physics-based implicit solvent MM- GBSA calculations. Using the best RMSD among the top 10 scoring poses as a metric, the success rate (RMSD ≤ 2.0 Å fo</w:instrText>
      </w:r>
      <w:r>
        <w:instrText>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Lusk","given":"Jayson","non-dropping-particle":"","parse-names":false,"suffix":""},{"dropping-particle":"","family":"Alexander","given":"Corinne;","non-dropping-particle":"","parse-names":false,"suffix":""},{"dropping-particle":"","family":"Rousu","given":"Matt","non-dropping-particle":"","parse-names":false,"suffix":""}],"container-title":"Review of Marketing Science","id":"ITEM-1","issue":"5","issued":{"date-parts":[["2007"]]},"title":"Designing Experimental Auctions for Marketing Research: Effect of Values, Distributions, and Mechanisms on Incentives for Truthful Bidding","type":"article-journal","volume":"1"},"uris":["http://www.mendeley.com/documents/?uuid=47649953-f840-4a7d-8e0e-2cfe16a7d2b3"]}],"mendeley":{"formattedCitation":"(Lusk et al., 2007)","manualFormatting":"Lusk et al., 2007","plainTextFormattedCitation":"(Lusk et al., 2007)","previouslyFormattedCitation":"(Lusk et al., 2007)"},"properties":{"noteIndex":0},"schema":"https://github.com/citation-style-language/schema/raw/master/csl-citation.json"}</w:instrText>
      </w:r>
      <w:r>
        <w:fldChar w:fldCharType="separate"/>
      </w:r>
      <w:r w:rsidRPr="006E53AA">
        <w:rPr>
          <w:noProof/>
        </w:rPr>
        <w:t>Lusk et al., 2007</w:t>
      </w:r>
      <w:r>
        <w:fldChar w:fldCharType="end"/>
      </w:r>
      <w:r>
        <w:t>.</w:t>
      </w:r>
    </w:p>
    <w:p w14:paraId="15D7D736" w14:textId="77777777" w:rsidR="00884E52" w:rsidRDefault="00884E52" w:rsidP="00884E52">
      <w:r>
        <w:br w:type="page"/>
      </w:r>
    </w:p>
    <w:p w14:paraId="1467F468" w14:textId="77777777" w:rsidR="00884E52" w:rsidRDefault="00884E52" w:rsidP="00884E52">
      <w:r w:rsidRPr="00FE142F">
        <w:rPr>
          <w:b/>
          <w:noProof/>
        </w:rPr>
        <w:lastRenderedPageBreak/>
        <w:drawing>
          <wp:anchor distT="0" distB="0" distL="114300" distR="114300" simplePos="0" relativeHeight="251680768" behindDoc="1" locked="0" layoutInCell="1" allowOverlap="1" wp14:anchorId="40270FDB" wp14:editId="35981508">
            <wp:simplePos x="0" y="0"/>
            <wp:positionH relativeFrom="column">
              <wp:posOffset>0</wp:posOffset>
            </wp:positionH>
            <wp:positionV relativeFrom="paragraph">
              <wp:posOffset>289560</wp:posOffset>
            </wp:positionV>
            <wp:extent cx="5731510" cy="4841875"/>
            <wp:effectExtent l="0" t="0" r="2540" b="0"/>
            <wp:wrapTight wrapText="bothSides">
              <wp:wrapPolygon edited="0">
                <wp:start x="646" y="0"/>
                <wp:lineTo x="503" y="255"/>
                <wp:lineTo x="574" y="765"/>
                <wp:lineTo x="2226" y="1360"/>
                <wp:lineTo x="2226" y="4079"/>
                <wp:lineTo x="431" y="4249"/>
                <wp:lineTo x="72" y="4504"/>
                <wp:lineTo x="0" y="6459"/>
                <wp:lineTo x="0" y="8073"/>
                <wp:lineTo x="2226" y="8158"/>
                <wp:lineTo x="0" y="8498"/>
                <wp:lineTo x="0" y="13002"/>
                <wp:lineTo x="1005" y="13597"/>
                <wp:lineTo x="359" y="13597"/>
                <wp:lineTo x="72" y="13767"/>
                <wp:lineTo x="0" y="16572"/>
                <wp:lineTo x="0" y="20056"/>
                <wp:lineTo x="10769" y="20396"/>
                <wp:lineTo x="18594" y="21501"/>
                <wp:lineTo x="21538" y="21501"/>
                <wp:lineTo x="21538" y="19291"/>
                <wp:lineTo x="21322" y="18951"/>
                <wp:lineTo x="20604" y="18526"/>
                <wp:lineTo x="18451" y="17677"/>
                <wp:lineTo x="18738" y="17337"/>
                <wp:lineTo x="11200" y="16317"/>
                <wp:lineTo x="11343" y="9518"/>
                <wp:lineTo x="11630" y="8158"/>
                <wp:lineTo x="12061" y="6799"/>
                <wp:lineTo x="12348" y="5439"/>
                <wp:lineTo x="13282" y="2719"/>
                <wp:lineTo x="15507" y="1360"/>
                <wp:lineTo x="19958" y="765"/>
                <wp:lineTo x="19671" y="0"/>
                <wp:lineTo x="2226" y="0"/>
                <wp:lineTo x="646"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4841875"/>
                    </a:xfrm>
                    <a:prstGeom prst="rect">
                      <a:avLst/>
                    </a:prstGeom>
                  </pic:spPr>
                </pic:pic>
              </a:graphicData>
            </a:graphic>
          </wp:anchor>
        </w:drawing>
      </w:r>
      <w:r>
        <w:rPr>
          <w:noProof/>
        </w:rPr>
        <mc:AlternateContent>
          <mc:Choice Requires="wps">
            <w:drawing>
              <wp:anchor distT="45720" distB="45720" distL="114300" distR="114300" simplePos="0" relativeHeight="251681792" behindDoc="0" locked="0" layoutInCell="1" allowOverlap="1" wp14:anchorId="266BB0E5" wp14:editId="0C6E04A1">
                <wp:simplePos x="0" y="0"/>
                <wp:positionH relativeFrom="margin">
                  <wp:posOffset>0</wp:posOffset>
                </wp:positionH>
                <wp:positionV relativeFrom="paragraph">
                  <wp:posOffset>5334000</wp:posOffset>
                </wp:positionV>
                <wp:extent cx="6106160" cy="1257300"/>
                <wp:effectExtent l="0" t="0" r="27940" b="1905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160" cy="1257300"/>
                        </a:xfrm>
                        <a:prstGeom prst="rect">
                          <a:avLst/>
                        </a:prstGeom>
                        <a:solidFill>
                          <a:srgbClr val="FFFFFF"/>
                        </a:solidFill>
                        <a:ln w="9525">
                          <a:solidFill>
                            <a:srgbClr val="000000"/>
                          </a:solidFill>
                          <a:miter lim="800000"/>
                          <a:headEnd/>
                          <a:tailEnd/>
                        </a:ln>
                      </wps:spPr>
                      <wps:txbx>
                        <w:txbxContent>
                          <w:p w14:paraId="7B9D9953" w14:textId="77777777" w:rsidR="00270682" w:rsidRPr="00FE142F" w:rsidRDefault="00270682" w:rsidP="00884E52">
                            <w:r>
                              <w:rPr>
                                <w:b/>
                                <w:bCs/>
                              </w:rPr>
                              <w:t xml:space="preserve">Figure 2.7) In empirical studies of utility it is not uncommon to find indifference points at unobserved choices. </w:t>
                            </w:r>
                            <w:r>
                              <w:t>Redrawn from Mosteller and Nogee, 1957, in which subjects were offered the chance to make a bet with a cost to enter of 5</w:t>
                            </w:r>
                            <w:r>
                              <w:rPr>
                                <w:rFonts w:cs="Times New Roman"/>
                              </w:rPr>
                              <w:t>₵. The utility curve for a single subject here (figure 2 in the original paper) shows the percentage of times the bet is made for fixed odds. The assumed indifference point of ~10.5₵</w:t>
                            </w:r>
                            <w:r>
                              <w:t xml:space="preserve"> in this case is never directly tested with an offer, highlighting a weakness of the binary choice paradigm.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BB0E5" id="_x0000_s1040" type="#_x0000_t202" style="position:absolute;margin-left:0;margin-top:420pt;width:480.8pt;height:99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">
                <v:textbox>
                  <w:txbxContent>
                    <w:p w14:paraId="7B9D9953" w14:textId="77777777" w:rsidR="00270682" w:rsidRPr="00FE142F" w:rsidRDefault="00270682" w:rsidP="00884E52">
                      <w:r>
                        <w:rPr>
                          <w:b/>
                          <w:bCs/>
                        </w:rPr>
                        <w:t xml:space="preserve">Figure 2.7) In empirical studies of utility it is not uncommon to find indifference points at unobserved choices. </w:t>
                      </w:r>
                      <w:r>
                        <w:t>Redrawn from Mosteller and Nogee, 1957, in which subjects were offered the chance to make a bet with a cost to enter of 5</w:t>
                      </w:r>
                      <w:r>
                        <w:rPr>
                          <w:rFonts w:cs="Times New Roman"/>
                        </w:rPr>
                        <w:t>₵. The utility curve for a single subject here (figure 2 in the original paper) shows the percentage of times the bet is made for fixed odds. The assumed indifference point of ~10.5₵</w:t>
                      </w:r>
                      <w:r>
                        <w:t xml:space="preserve"> in this case is never directly tested with an offer, highlighting a weakness of the binary choice paradigm.</w:t>
                      </w:r>
                    </w:p>
                  </w:txbxContent>
                </v:textbox>
                <w10:wrap type="square" anchorx="margin"/>
              </v:shape>
            </w:pict>
          </mc:Fallback>
        </mc:AlternateContent>
      </w:r>
    </w:p>
    <w:p w14:paraId="7317FFB0" w14:textId="77777777" w:rsidR="00884E52" w:rsidRPr="00E927AA" w:rsidRDefault="00884E52" w:rsidP="00884E52"/>
    <w:p w14:paraId="7AB8EED5" w14:textId="77777777" w:rsidR="00884E52" w:rsidRPr="00E927AA" w:rsidRDefault="00884E52" w:rsidP="00884E52"/>
    <w:p w14:paraId="23AF50CD" w14:textId="77777777" w:rsidR="00884E52" w:rsidRPr="00E927AA" w:rsidRDefault="00884E52" w:rsidP="00884E52"/>
    <w:p w14:paraId="17BB7FD9" w14:textId="77777777" w:rsidR="00884E52" w:rsidRPr="00E927AA" w:rsidRDefault="00884E52" w:rsidP="00884E52"/>
    <w:p w14:paraId="0F24643A" w14:textId="77777777" w:rsidR="00884E52" w:rsidRPr="00E927AA" w:rsidRDefault="00884E52" w:rsidP="00884E52"/>
    <w:p w14:paraId="0225C7FC" w14:textId="77777777" w:rsidR="00884E52" w:rsidRPr="00E927AA" w:rsidRDefault="00884E52" w:rsidP="00884E52"/>
    <w:p w14:paraId="7E75C9E3" w14:textId="77777777" w:rsidR="00884E52" w:rsidRPr="00E927AA" w:rsidRDefault="00884E52" w:rsidP="00884E52"/>
    <w:p w14:paraId="07CF0447" w14:textId="77777777" w:rsidR="00884E52" w:rsidRPr="00E927AA" w:rsidRDefault="00884E52" w:rsidP="00884E52"/>
    <w:p w14:paraId="2BE3D71C" w14:textId="77777777" w:rsidR="00884E52" w:rsidRPr="00E927AA" w:rsidRDefault="00884E52" w:rsidP="00884E52"/>
    <w:p w14:paraId="5EC0134E" w14:textId="77777777" w:rsidR="00884E52" w:rsidRPr="00E927AA" w:rsidRDefault="00884E52" w:rsidP="00884E52"/>
    <w:p w14:paraId="09B171C7" w14:textId="77777777" w:rsidR="00884E52" w:rsidRPr="00E927AA" w:rsidRDefault="00884E52" w:rsidP="00884E52"/>
    <w:p w14:paraId="77669BFB" w14:textId="77777777" w:rsidR="00884E52" w:rsidRPr="00E927AA" w:rsidRDefault="00884E52" w:rsidP="00884E52"/>
    <w:p w14:paraId="367AF155" w14:textId="77777777" w:rsidR="00884E52" w:rsidRPr="00E927AA" w:rsidRDefault="00884E52" w:rsidP="00884E52"/>
    <w:p w14:paraId="25891B2E" w14:textId="77777777" w:rsidR="00884E52" w:rsidRPr="00E927AA" w:rsidRDefault="00884E52" w:rsidP="00884E52"/>
    <w:p w14:paraId="17E46A43" w14:textId="77777777" w:rsidR="00884E52" w:rsidRPr="00E927AA" w:rsidRDefault="00884E52" w:rsidP="00884E52"/>
    <w:p w14:paraId="30CD48CF" w14:textId="77777777" w:rsidR="00884E52" w:rsidRPr="00E927AA" w:rsidRDefault="00884E52" w:rsidP="00884E52"/>
    <w:p w14:paraId="4E6EF714" w14:textId="77777777" w:rsidR="00884E52" w:rsidRPr="00E927AA" w:rsidRDefault="00884E52" w:rsidP="00884E52"/>
    <w:p w14:paraId="120997DB" w14:textId="77777777" w:rsidR="00884E52" w:rsidRPr="00E927AA" w:rsidRDefault="00884E52" w:rsidP="00884E52"/>
    <w:p w14:paraId="15135B04" w14:textId="77777777" w:rsidR="00884E52" w:rsidRPr="00E927AA" w:rsidRDefault="00884E52" w:rsidP="00884E52"/>
    <w:p w14:paraId="2297739C" w14:textId="77777777" w:rsidR="00884E52" w:rsidRPr="00E927AA" w:rsidRDefault="00884E52" w:rsidP="00884E52"/>
    <w:p w14:paraId="273AE245" w14:textId="77777777" w:rsidR="00884E52" w:rsidRPr="00E927AA" w:rsidRDefault="00884E52" w:rsidP="00884E52"/>
    <w:p w14:paraId="19072631" w14:textId="77777777" w:rsidR="00884E52" w:rsidRPr="00E927AA" w:rsidRDefault="00884E52" w:rsidP="00884E52"/>
    <w:p w14:paraId="4250F753" w14:textId="77777777" w:rsidR="00884E52" w:rsidRPr="00E927AA" w:rsidRDefault="00884E52" w:rsidP="00884E52"/>
    <w:p w14:paraId="372CF69B" w14:textId="77777777" w:rsidR="00884E52" w:rsidRPr="00E927AA" w:rsidRDefault="00884E52" w:rsidP="00884E52"/>
    <w:p w14:paraId="52FD6EC6" w14:textId="77EA9EAB" w:rsidR="007A22C9" w:rsidRDefault="007A22C9" w:rsidP="007A22C9">
      <w:pPr>
        <w:tabs>
          <w:tab w:val="left" w:pos="8000"/>
        </w:tabs>
      </w:pPr>
      <w:r>
        <w:tab/>
      </w:r>
    </w:p>
    <w:p w14:paraId="7ED603EC" w14:textId="77777777" w:rsidR="007A22C9" w:rsidRDefault="007A22C9">
      <w:r>
        <w:br w:type="page"/>
      </w:r>
    </w:p>
    <w:p w14:paraId="7C65742F" w14:textId="77777777" w:rsidR="007A22C9" w:rsidRDefault="007A22C9" w:rsidP="007A22C9">
      <w:r w:rsidRPr="00800D97">
        <w:rPr>
          <w:b/>
          <w:bCs/>
        </w:rPr>
        <w:lastRenderedPageBreak/>
        <w:t>To do:</w:t>
      </w:r>
      <w:r w:rsidRPr="00800D97">
        <w:rPr>
          <w:b/>
          <w:bCs/>
        </w:rPr>
        <w:br/>
      </w:r>
      <w:r>
        <w:t>- check form of beta regression equations and rum model – emailed phil about RUM and most of the way there. Beta regression Im doing some reading. I’m 99% sure I’m doing it correctly.</w:t>
      </w:r>
    </w:p>
    <w:p w14:paraId="5B273665" w14:textId="77777777" w:rsidR="007A22C9" w:rsidRDefault="007A22C9" w:rsidP="007A22C9">
      <w:pPr>
        <w:pStyle w:val="ListParagraph"/>
        <w:numPr>
          <w:ilvl w:val="0"/>
          <w:numId w:val="20"/>
        </w:numPr>
      </w:pPr>
      <w:r>
        <w:t>Work out where/ how to put tables – you might see me refer to tables of e.g. beta regression coefficients. I’ll put these in I’m not trying to work out the best way to get LaTeX to play with word. Worst case I’ll just do them manually in word.</w:t>
      </w:r>
    </w:p>
    <w:p w14:paraId="0A5E9C55" w14:textId="77777777" w:rsidR="007A22C9" w:rsidRDefault="007A22C9" w:rsidP="007A22C9">
      <w:pPr>
        <w:pStyle w:val="ListParagraph"/>
        <w:numPr>
          <w:ilvl w:val="0"/>
          <w:numId w:val="20"/>
        </w:numPr>
      </w:pPr>
      <w:r>
        <w:t>Finish two appendices – 1 on the training of the monkeys, showing some results over time/ the bid targeting task. 2 on the exclusion criteria for trials. This is very basic, it’s just trials with impossibly small reaction times, too long bidding times (&gt;3 standard deviations from mean), and also removes sessions with less than 60 completed trials.</w:t>
      </w:r>
    </w:p>
    <w:p w14:paraId="6AA021F9" w14:textId="77777777" w:rsidR="007A22C9" w:rsidRDefault="007A22C9" w:rsidP="007A22C9">
      <w:pPr>
        <w:pStyle w:val="ListParagraph"/>
        <w:numPr>
          <w:ilvl w:val="0"/>
          <w:numId w:val="20"/>
        </w:numPr>
      </w:pPr>
      <w:r>
        <w:t>Change figures to svg and relabel axes to make bigger – easy stuff to do one weekend</w:t>
      </w:r>
    </w:p>
    <w:p w14:paraId="1C443709" w14:textId="77777777" w:rsidR="007A22C9" w:rsidRDefault="007A22C9" w:rsidP="007A22C9">
      <w:pPr>
        <w:pStyle w:val="ListParagraph"/>
        <w:numPr>
          <w:ilvl w:val="0"/>
          <w:numId w:val="20"/>
        </w:numPr>
      </w:pPr>
      <w:r>
        <w:t>Stats test between bundle choice estimate and distribution of bdm bids – t test? Have enquired with people who know more about statistics than me</w:t>
      </w:r>
    </w:p>
    <w:p w14:paraId="00000521" w14:textId="77777777" w:rsidR="007A22C9" w:rsidRPr="00800D97" w:rsidRDefault="007A22C9" w:rsidP="007A22C9">
      <w:pPr>
        <w:rPr>
          <w:b/>
          <w:bCs/>
        </w:rPr>
      </w:pPr>
      <w:r w:rsidRPr="00800D97">
        <w:rPr>
          <w:b/>
          <w:bCs/>
        </w:rPr>
        <w:t>Synopsis:</w:t>
      </w:r>
    </w:p>
    <w:p w14:paraId="1BD16096" w14:textId="77777777" w:rsidR="007A22C9" w:rsidRDefault="007A22C9" w:rsidP="007A22C9">
      <w:r>
        <w:t>Chapter that details the behavioural results of the BDM (and binary choice) tasks.</w:t>
      </w:r>
    </w:p>
    <w:p w14:paraId="4A732AAB" w14:textId="77777777" w:rsidR="007A22C9" w:rsidRDefault="007A22C9" w:rsidP="007A22C9">
      <w:r>
        <w:t>Comes after into (chapter 1) and theoretical treatment of the bdm (chapter 2).</w:t>
      </w:r>
    </w:p>
    <w:p w14:paraId="3F38B105" w14:textId="77777777" w:rsidR="007A22C9" w:rsidRDefault="007A22C9" w:rsidP="007A22C9">
      <w:r>
        <w:t>Main goal is to prove that a) monkeys can do the BDM, therefore it’s worth studying the ephys of monkeys doing the bdm and b) explore why and how they make their bids (to a limited extent- I don’t see the thesis as a behavioural thesis though clearly we have some interesting behavioural data!).</w:t>
      </w:r>
      <w:r>
        <w:br/>
      </w:r>
    </w:p>
    <w:p w14:paraId="7CEBF0EB" w14:textId="77777777" w:rsidR="007A22C9" w:rsidRDefault="007A22C9" w:rsidP="007A22C9">
      <w:r>
        <w:t xml:space="preserve">I think the text needs a bit of work still but can always be edited later. Stuff like adjustments to make figures clearer etc. are always appreciated but again not a huge concern for me atm. I think the main thing is if there are any analyses/figures/etc. wanted in this chapter that I haven’t added. Actually anylsing and producing and writing up new figures isn’t much work at all but thinking up a new figure </w:t>
      </w:r>
      <w:r>
        <w:rPr>
          <w:i/>
          <w:iCs/>
        </w:rPr>
        <w:t>is</w:t>
      </w:r>
      <w:r>
        <w:t xml:space="preserve">.  </w:t>
      </w:r>
    </w:p>
    <w:p w14:paraId="02865AFD" w14:textId="77777777" w:rsidR="007A22C9" w:rsidRDefault="007A22C9" w:rsidP="007A22C9">
      <w:r>
        <w:t>Text in bold and red are notes for me to change things.</w:t>
      </w:r>
    </w:p>
    <w:p w14:paraId="775D59DF" w14:textId="77777777" w:rsidR="007A22C9" w:rsidRDefault="007A22C9" w:rsidP="007A22C9">
      <w:r>
        <w:br w:type="page"/>
      </w:r>
    </w:p>
    <w:p w14:paraId="534DC888" w14:textId="77777777" w:rsidR="007A22C9" w:rsidRPr="00DA1B4E" w:rsidRDefault="007A22C9" w:rsidP="007A22C9">
      <w:pPr>
        <w:rPr>
          <w:b/>
          <w:bCs/>
          <w:u w:val="single"/>
        </w:rPr>
      </w:pPr>
      <w:r w:rsidRPr="00DA1B4E">
        <w:rPr>
          <w:b/>
          <w:bCs/>
          <w:u w:val="single"/>
        </w:rPr>
        <w:lastRenderedPageBreak/>
        <w:t>Chapter 3 – Non-Human Primate Behaviour on the BDM Task</w:t>
      </w:r>
    </w:p>
    <w:p w14:paraId="6A12F85F" w14:textId="77777777" w:rsidR="007A22C9" w:rsidRDefault="007A22C9" w:rsidP="007A22C9">
      <w:r>
        <w:t xml:space="preserve">In the second chapter of this thesis, we described a second-price auction task in which participants reveal their utility for any good on a single trial basis. We concluded the chapter discussing the budding neuroscientific literature of human functional imaging studies employing the BDM. Needless to say, it is a far simpler task to train a human (even one laying in an MRI machine) to perform second-price auctions than a model organism. This chapter details the task design, training, and behavioural results of two adult rhesus macaques on a task consisting of repeated BDM auction trials using liquid budgets and rewards. </w:t>
      </w:r>
    </w:p>
    <w:p w14:paraId="74CF5516" w14:textId="77777777" w:rsidR="007A22C9" w:rsidRDefault="007A22C9" w:rsidP="007A22C9">
      <w:pPr>
        <w:rPr>
          <w:b/>
          <w:bCs/>
        </w:rPr>
      </w:pPr>
      <w:r>
        <w:rPr>
          <w:b/>
          <w:bCs/>
        </w:rPr>
        <w:t>Materials and Methods</w:t>
      </w:r>
    </w:p>
    <w:p w14:paraId="51002181" w14:textId="77777777" w:rsidR="007A22C9" w:rsidRDefault="007A22C9" w:rsidP="007A22C9">
      <w:r>
        <w:t>Below we discuss the task design, equipment required, and model non-human primates used to gather data during the project, attempting to provide the reasoning behind any decision. All items discussed can be assumed to be consistent throughout the various experiments in the remainder of this thesis, unless otherwise specified.</w:t>
      </w:r>
    </w:p>
    <w:p w14:paraId="0D123D17" w14:textId="77777777" w:rsidR="007A22C9" w:rsidRDefault="007A22C9" w:rsidP="007A22C9">
      <w:pPr>
        <w:rPr>
          <w:i/>
          <w:iCs/>
        </w:rPr>
      </w:pPr>
      <w:r>
        <w:rPr>
          <w:i/>
          <w:iCs/>
        </w:rPr>
        <w:t>Task Design</w:t>
      </w:r>
    </w:p>
    <w:p w14:paraId="0FBE4C10" w14:textId="77777777" w:rsidR="007A22C9" w:rsidRDefault="007A22C9" w:rsidP="007A22C9">
      <w:r>
        <w:t>The epochs of the BDM tasks are displayed in figure 1. Animals sat in front of a task screen (figure 1a) were presented with a cue indicating the beginning of a trial at time 0. After a fixed delay of 1.2 seconds, a large fractal was displayed on the left-hand side of the task screen (figure 1b). This fractal indicated the offered good on any single auction trial, corresponding to a fixed amount of blackcurrant juice reward. The magnitude of juice represented by the fractal was learnt via repeated experience over multiple sessions using the same offered goods. During this period, the monkey was required to be bother touching the joystick and to keep it ‘centered’ i.e. in a vertical upright position. If either of these requirements were violated, the monkey ‘failed’ the trial and received neither juice reward nor ‘budget’ water and incurred a time penalty of the time remaining on the trial plus two extra seconds.</w:t>
      </w:r>
    </w:p>
    <w:p w14:paraId="1278B7D7" w14:textId="77777777" w:rsidR="007A22C9" w:rsidRDefault="007A22C9" w:rsidP="007A22C9">
      <w:r>
        <w:t>Another 1.2 seconds after the display of the good to be offered in the trial, a large, black and white, hatched bar was presented on the right-hand side of the screen, crossed by an orthogonal, thinner purple bar. The black and white bar represented the bidding range from 0% (minimum bid, bottom of the bar) to 100% (maximum bid, top of the bar) of the budget liquid. This bar can be thought of as analogous to those presented in figure 2 of the previous chapter.</w:t>
      </w:r>
    </w:p>
    <w:p w14:paraId="3C316528" w14:textId="77777777" w:rsidR="007A22C9" w:rsidRDefault="007A22C9" w:rsidP="007A22C9">
      <w:r>
        <w:t xml:space="preserve">The purple bar crossing the ‘budget bar’ represents the monkey bid and appears at a random location on the vertical axis of the budget bar. Such ‘random starts’ of the bid position were found to give rise to consistent inter-session mean bids in the original training of the monkeys </w:t>
      </w:r>
      <w:r>
        <w:fldChar w:fldCharType="begin" w:fldLock="1"/>
      </w:r>
      <w:r>
        <w:instrText>ADDIN CSL_CITATION {"citationItems":[{"id":"ITEM-1","itemData":{"author":[{"dropping-particle":"","family":"Al-Mohammad","given":"Alaa","non-dropping-particle":"","parse-names":false,"suffix":""}],"container-title":"Doctoral Thesis","id":"ITEM-1","issued":{"date-parts":[["2017"]]},"title":"Getting a monkey to do your bidding: Developing a Becker-DeGroot-Marschak (BDM) method for use in monkeys","type":"article-journal"},"uris":["http://www.mendeley.com/documents/?uuid=2734ee95-7255-4421-929c-ab4b4a639558"]}],"mendeley":{"formattedCitation":"(Al-Mohammad, 2017)","plainTextFormattedCitation":"(Al-Mohammad, 2017)","previouslyFormattedCitation":"(Al-Mohammad, 2017)"},"properties":{"noteIndex":0},"schema":"https://github.com/citation-style-language/schema/raw/master/csl-citation.json"}</w:instrText>
      </w:r>
      <w:r>
        <w:fldChar w:fldCharType="separate"/>
      </w:r>
      <w:r w:rsidRPr="00BF64A9">
        <w:rPr>
          <w:noProof/>
        </w:rPr>
        <w:t>(Al-Mohammad, 2017)</w:t>
      </w:r>
      <w:r>
        <w:fldChar w:fldCharType="end"/>
      </w:r>
      <w:r>
        <w:t>. During this epoch, the monkey has four seconds within which to place their bid vertically using the up/down axis of the joystick. Bids were considered ‘placed’ when there had been no movement of the bidding indicator (see equation 3.1) within the last second. This placement period of 1 second was shortened for monkey V to 700ms to improve behaviour. Past this point, any movement of the joystick had no effect on the task. To ensure attention to the task and encourage swift decision making, if no movement was detected within the first second of possible bidding, the monkey failed the trial and incurred the same penalty two second + time remaining penalty described above until the trial was repeated with the same offered good.</w:t>
      </w:r>
    </w:p>
    <w:p w14:paraId="4E029642" w14:textId="77777777" w:rsidR="007A22C9" w:rsidRDefault="007A22C9" w:rsidP="007A22C9">
      <w:r>
        <w:t xml:space="preserve">After the four seconds bidding epoch finishes, a second, green bar appears representing the computer bid, drawn randomly as described in chapter 2 of this thesis. As with any BDM auction tasks, the monkey ‘wins’ the auction if it’s bid is greater than that of the computer and loses if it is not. If the monkey has won the trial, it is also signalled by the segment of the budget bar below the computer’s bid flipping horizontally, to indicate the budget that has been paid by the monkey. </w:t>
      </w:r>
    </w:p>
    <w:p w14:paraId="544B3CF0" w14:textId="77777777" w:rsidR="007A22C9" w:rsidRPr="006266BD" w:rsidRDefault="007A22C9" w:rsidP="007A22C9">
      <w:r>
        <w:t xml:space="preserve">1.5 seconds after the result of the trial is revealed the monkey is rewarded with juice in the case that it has won the trial. A further 1.5 seconds later, whatever remains of the monkey’s water budget is delivered to </w:t>
      </w:r>
      <w:r>
        <w:lastRenderedPageBreak/>
        <w:t xml:space="preserve">the monkey. In between trials, a variable 2.5-3.5 second blank inter-trial-interval is interleaved between trials. This summary of a single </w:t>
      </w:r>
      <w:r w:rsidRPr="006266BD">
        <w:t>trial of the BDM task is illustrated in figure 1c.</w:t>
      </w:r>
    </w:p>
    <w:p w14:paraId="656DB0A8" w14:textId="77777777" w:rsidR="007A22C9" w:rsidRPr="00F52764" w:rsidRDefault="007A22C9" w:rsidP="007A22C9">
      <w:pPr>
        <w:rPr>
          <w:color w:val="FF0000"/>
        </w:rPr>
      </w:pPr>
      <w:r w:rsidRPr="006266BD">
        <w:t>All the behavioural data shown here are from sessions completed by the two monkeys over July 2019-November 2020. We limit our analysis to behavioural data obtained during the neuronal recording phase of the task during which the magnitudes of juice offered to the monkeys, and the magnitude of the water budget, were held constant.</w:t>
      </w:r>
      <w:r>
        <w:rPr>
          <w:color w:val="FF0000"/>
        </w:rPr>
        <w:t xml:space="preserve"> </w:t>
      </w:r>
    </w:p>
    <w:p w14:paraId="3C1F0555" w14:textId="77777777" w:rsidR="007A22C9" w:rsidRDefault="007A22C9" w:rsidP="007A22C9">
      <w:pPr>
        <w:rPr>
          <w:i/>
          <w:iCs/>
        </w:rPr>
      </w:pPr>
      <w:r>
        <w:rPr>
          <w:i/>
          <w:iCs/>
        </w:rPr>
        <w:t>Equipment</w:t>
      </w:r>
    </w:p>
    <w:p w14:paraId="0D1C61BA" w14:textId="77777777" w:rsidR="007A22C9" w:rsidRDefault="007A22C9" w:rsidP="007A22C9">
      <w:r>
        <w:t xml:space="preserve">Monkey’s were seated in a (Crist Instruments) inside of a darkened, sound-reducing booth for the duration of the task sessions to reduce distractions. While within the booth, monkeys and their interaction with the task were monitored using two CCTV cameras. </w:t>
      </w:r>
    </w:p>
    <w:p w14:paraId="14DDD9DD" w14:textId="77777777" w:rsidR="007A22C9" w:rsidRDefault="007A22C9" w:rsidP="007A22C9">
      <w:r>
        <w:t>Attached to the front of the chair was a joystick (custom-made, Biotronix workshop, Department of Psychology, University of Cambridge) which the monkey could reach through a window in the front panel of the chair. The joystick permitted movement across two dimensions (left/right, and up/down) which changed the resistance, and therefore voltage, across the joystick circuit. This change is voltage is used for control of stimuli that indicated the monkey’s bid (BDM task) or choice (a binary choice task described later). The joystick was also touch-sensitive to record whether the monkey was holding the joystick at any time, emitting a binary voltage signal. Joystick position and touch data were digitised to the computer via a National Instruments Data Acquisition Card (PCI-6229). Movement of stimuli controlled by the joystick was defined by</w:t>
      </w:r>
    </w:p>
    <w:p w14:paraId="1DFBBD18" w14:textId="77777777" w:rsidR="007A22C9" w:rsidRDefault="007A22C9" w:rsidP="007A22C9">
      <w:pPr>
        <w:pStyle w:val="Caption"/>
        <w:keepNext/>
      </w:pPr>
      <w:r>
        <w:t>Equation 3.</w:t>
      </w:r>
      <w:r>
        <w:fldChar w:fldCharType="begin"/>
      </w:r>
      <w:r>
        <w:instrText xml:space="preserve"> SEQ Equation \* ARABIC </w:instrText>
      </w:r>
      <w:r>
        <w:fldChar w:fldCharType="separate"/>
      </w:r>
      <w:r>
        <w:rPr>
          <w:noProof/>
        </w:rPr>
        <w:t>1</w:t>
      </w:r>
      <w:r>
        <w:rPr>
          <w:noProof/>
        </w:rPr>
        <w:fldChar w:fldCharType="end"/>
      </w:r>
    </w:p>
    <w:p w14:paraId="5D91F1F9" w14:textId="77777777" w:rsidR="007A22C9" w:rsidRPr="00180560" w:rsidRDefault="007A22C9" w:rsidP="007A22C9">
      <w:pPr>
        <w:rPr>
          <w:rFonts w:eastAsiaTheme="minorEastAsia"/>
          <w:i/>
        </w:rPr>
      </w:pPr>
      <m:oMathPara>
        <m:oMath>
          <m:sSub>
            <m:sSubPr>
              <m:ctrlPr>
                <w:rPr>
                  <w:rFonts w:ascii="Cambria Math" w:hAnsi="Cambria Math"/>
                  <w:i/>
                </w:rPr>
              </m:ctrlPr>
            </m:sSubPr>
            <m:e>
              <m:r>
                <w:rPr>
                  <w:rFonts w:ascii="Cambria Math" w:hAnsi="Cambria Math"/>
                </w:rPr>
                <m:t>x</m:t>
              </m:r>
            </m:e>
            <m:sub>
              <m:r>
                <w:rPr>
                  <w:rFonts w:ascii="Cambria Math" w:hAnsi="Cambria Math"/>
                </w:rPr>
                <m:t>t+Δt</m:t>
              </m:r>
            </m:sub>
          </m:sSub>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+G</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if </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τ</m:t>
                      </m:r>
                    </m:sub>
                  </m:sSub>
                </m:e>
                <m:e>
                  <m:sSub>
                    <m:sSubPr>
                      <m:ctrlPr>
                        <w:rPr>
                          <w:rFonts w:ascii="Cambria Math" w:hAnsi="Cambria Math"/>
                          <w:i/>
                        </w:rPr>
                      </m:ctrlPr>
                    </m:sSubPr>
                    <m:e>
                      <m:r>
                        <w:rPr>
                          <w:rFonts w:ascii="Cambria Math" w:hAnsi="Cambria Math"/>
                        </w:rPr>
                        <m:t>x</m:t>
                      </m:r>
                    </m:e>
                    <m:sub>
                      <m:r>
                        <w:rPr>
                          <w:rFonts w:ascii="Cambria Math" w:hAnsi="Cambria Math"/>
                        </w:rPr>
                        <m:t xml:space="preserve">t </m:t>
                      </m:r>
                    </m:sub>
                  </m:sSub>
                  <m:r>
                    <w:rPr>
                      <w:rFonts w:ascii="Cambria Math" w:hAnsi="Cambria Math"/>
                    </w:rPr>
                    <m:t xml:space="preserve">                 if |</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τ</m:t>
                      </m:r>
                    </m:sub>
                  </m:sSub>
                </m:e>
              </m:eqArr>
            </m:e>
          </m:d>
        </m:oMath>
      </m:oMathPara>
    </w:p>
    <w:p w14:paraId="42FCB666" w14:textId="77777777" w:rsidR="007A22C9" w:rsidRDefault="007A22C9" w:rsidP="007A22C9">
      <w:pPr>
        <w:rPr>
          <w:rFonts w:eastAsiaTheme="minorEastAsia"/>
          <w:iCs/>
        </w:rPr>
      </w:pPr>
    </w:p>
    <w:p w14:paraId="73EE31D5" w14:textId="77777777" w:rsidR="007A22C9" w:rsidRPr="000A1E3A" w:rsidRDefault="007A22C9" w:rsidP="007A22C9">
      <w:pPr>
        <w:rPr>
          <w:iCs/>
        </w:rPr>
      </w:pPr>
      <w:r>
        <w:rPr>
          <w:rFonts w:eastAsiaTheme="minorEastAsia"/>
          <w:iCs/>
        </w:rPr>
        <w:t>The position of an object controlled by the joystick remains at position (</w:t>
      </w:r>
      <m:oMath>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t</m:t>
            </m:r>
          </m:sub>
        </m:sSub>
      </m:oMath>
      <w:r>
        <w:rPr>
          <w:rFonts w:eastAsiaTheme="minorEastAsia"/>
          <w:iCs/>
        </w:rPr>
        <w:t>) if the absolute change in voltage (</w:t>
      </w:r>
      <m:oMath>
        <m:r>
          <m:rPr>
            <m:sty m:val="bi"/>
          </m:rPr>
          <w:rPr>
            <w:rFonts w:ascii="Cambria Math" w:eastAsiaTheme="minorEastAsia" w:hAnsi="Cambria Math"/>
          </w:rPr>
          <m:t>V</m:t>
        </m:r>
      </m:oMath>
      <w:r>
        <w:rPr>
          <w:rFonts w:eastAsiaTheme="minorEastAsia"/>
          <w:iCs/>
        </w:rPr>
        <w:t xml:space="preserve">) produced by deflection of the joystick at time </w:t>
      </w:r>
      <m:oMath>
        <m:r>
          <m:rPr>
            <m:sty m:val="bi"/>
          </m:rPr>
          <w:rPr>
            <w:rFonts w:ascii="Cambria Math" w:eastAsiaTheme="minorEastAsia" w:hAnsi="Cambria Math"/>
          </w:rPr>
          <m:t>t</m:t>
        </m:r>
      </m:oMath>
      <w:r>
        <w:rPr>
          <w:rFonts w:eastAsiaTheme="minorEastAsia"/>
          <w:b/>
          <w:bCs/>
          <w:iCs/>
        </w:rPr>
        <w:t xml:space="preserve"> </w:t>
      </w:r>
      <w:r>
        <w:rPr>
          <w:rFonts w:eastAsiaTheme="minorEastAsia"/>
          <w:iCs/>
        </w:rPr>
        <w:t>is less than a voltage threshold (</w:t>
      </w:r>
      <m:oMath>
        <m:sSub>
          <m:sSubPr>
            <m:ctrlPr>
              <w:rPr>
                <w:rFonts w:ascii="Cambria Math" w:eastAsiaTheme="minorEastAsia" w:hAnsi="Cambria Math"/>
                <w:b/>
                <w:bCs/>
                <w:i/>
                <w:iCs/>
              </w:rPr>
            </m:ctrlPr>
          </m:sSubPr>
          <m:e>
            <m:r>
              <m:rPr>
                <m:sty m:val="bi"/>
              </m:rPr>
              <w:rPr>
                <w:rFonts w:ascii="Cambria Math" w:eastAsiaTheme="minorEastAsia" w:hAnsi="Cambria Math"/>
              </w:rPr>
              <m:t>V</m:t>
            </m:r>
          </m:e>
          <m:sub>
            <m:r>
              <m:rPr>
                <m:sty m:val="bi"/>
              </m:rPr>
              <w:rPr>
                <w:rFonts w:ascii="Cambria Math" w:eastAsiaTheme="minorEastAsia" w:hAnsi="Cambria Math"/>
              </w:rPr>
              <m:t>τ</m:t>
            </m:r>
          </m:sub>
        </m:sSub>
      </m:oMath>
      <w:r>
        <w:rPr>
          <w:rFonts w:eastAsiaTheme="minorEastAsia"/>
          <w:iCs/>
        </w:rPr>
        <w:t xml:space="preserve">). Otherwise, it is updated to the original position plus the change in voltage across the joystick circuit multiplied by a gain constant </w:t>
      </w:r>
      <m:oMath>
        <m:r>
          <m:rPr>
            <m:sty m:val="bi"/>
          </m:rPr>
          <w:rPr>
            <w:rFonts w:ascii="Cambria Math" w:eastAsiaTheme="minorEastAsia" w:hAnsi="Cambria Math"/>
          </w:rPr>
          <m:t>G</m:t>
        </m:r>
      </m:oMath>
      <w:r w:rsidRPr="006038B2">
        <w:rPr>
          <w:rFonts w:eastAsiaTheme="minorEastAsia"/>
          <w:iCs/>
        </w:rPr>
        <w:t>.</w:t>
      </w:r>
      <w:r>
        <w:rPr>
          <w:rFonts w:eastAsiaTheme="minorEastAsia"/>
          <w:iCs/>
        </w:rPr>
        <w:t xml:space="preserve"> The maximum speed of the bidding indicator is capped at 46% of the total bidding range per second for both monkeys. The thresholds and gains for each joystick vary slightly, so is regularly tested on the task by the human experimenters for consistency.</w:t>
      </w:r>
    </w:p>
    <w:p w14:paraId="13FA9CDC" w14:textId="77777777" w:rsidR="007A22C9" w:rsidRDefault="007A22C9" w:rsidP="007A22C9">
      <w:r>
        <w:t xml:space="preserve">Stimuli were presented to the monkeys on a computer monitor placed 70cm in front of the monkeys at head height. These stimuli were produced and displayed using a custom-built software suite (MATisse; </w:t>
      </w:r>
      <w:r>
        <w:fldChar w:fldCharType="begin" w:fldLock="1"/>
      </w:r>
      <w:r>
        <w:instrText>ADDIN CSL_CITATION {"citationItems":[{"id":"ITEM-1","itemData":{"author":[{"dropping-particle":"","family":"Hickman","given":"R.W.","non-dropping-particle":"","parse-names":false,"suffix":""}],"container-title":"Github repository","id":"ITEM-1","issued":{"date-parts":[["2017"]]},"title":"MATisse","type":"article-journal"},"uris":["http://www.mendeley.com/documents/?uuid=113d6c0e-62d7-49d0-b745-471001a54341"]}],"mendeley":{"formattedCitation":"(Hickman, 2017)","manualFormatting":"Hickman, 2017)","plainTextFormattedCitation":"(Hickman, 2017)","previouslyFormattedCitation":"(Hickman, 2017)"},"properties":{"noteIndex":0},"schema":"https://github.com/citation-style-language/schema/raw/master/csl-citation.json"}</w:instrText>
      </w:r>
      <w:r>
        <w:fldChar w:fldCharType="separate"/>
      </w:r>
      <w:r w:rsidRPr="00E4673F">
        <w:rPr>
          <w:noProof/>
        </w:rPr>
        <w:t>Hickman, 2017)</w:t>
      </w:r>
      <w:r>
        <w:fldChar w:fldCharType="end"/>
      </w:r>
      <w:r>
        <w:t xml:space="preserve">, utilising the Psychophysics Toolbox </w:t>
      </w:r>
      <w:r>
        <w:fldChar w:fldCharType="begin" w:fldLock="1"/>
      </w:r>
      <w:r>
        <w:instrText>ADDIN CSL_CITATION {"citationItems":[{"id":"ITEM-1","itemData":{"abstract":"Psychophysics Toolbox version 3 is a collaboratively developed free set of MATLAB (and GNU/Octave) functions for vision research. It is available for Apple Mac OS X, Microsoft Windows, and GNU/Linux. It makes it easy to synthesize and show accurately controlled visual stimuli and interact with the observer in a general-purpose programming environment. It has about two thousand active users, an active forum (about 4 messages/day), and is highly cited (more than 400 papers) (see http://psychtoolbox.org). Psychtoolbox-3, although maintaining a large degree of backward compatibility with its predecessor Psychtoolbox-2, implements a new drawing model based on OpenGL, a new high-precision sound output system, and many other improvements. This presentation introduces the new OpenGL concepts and how to take advantage of the new stimulus presentation model. New features simplify development of code for stimulus presentation and response collection. Many of the new features are demonstrated during the presentation and there are opportunities for questions.","author":[{"dropping-particle":"","family":"Kleiner","given":"Mario","non-dropping-particle":"","parse-names":false,"suffix":""},{"dropping-particle":"","family":"Brainard","given":"David","non-dropping-particle":"","parse-names":false,"suffix":""},{"dropping-particle":"","family":"Pelli","given":"Denis","non-dropping-particle":"","parse-names":false,"suffix":""},{"dropping-particle":"","family":"Ingling","given":"Allen","non-dropping-particle":"","parse-names":false,"suffix":""},{"dropping-particle":"","family":"Murray","given":"Richard","non-dropping-particle":"","parse-names":false,"suffix":""},{"dropping-particle":"","family":"Broussard","given":"Christopher","non-dropping-particle":"","parse-names":false,"suffix":""}],"container-title":"ECVP Abstract Supplement.","id":"ITEM-1","issued":{"date-parts":[["2007"]]},"title":"What's new in Psychtoolbox-3 ?","type":"article-journal"},"uris":["http://www.mendeley.com/documents/?uuid=11871038-49fe-4c8b-bf26-fbf92bdda649"]}],"mendeley":{"formattedCitation":"(Kleiner et al., 2007)","plainTextFormattedCitation":"(Kleiner et al., 2007)","previouslyFormattedCitation":"(Kleiner et al., 2007)"},"properties":{"noteIndex":0},"schema":"https://github.com/citation-style-language/schema/raw/master/csl-citation.json"}</w:instrText>
      </w:r>
      <w:r>
        <w:fldChar w:fldCharType="separate"/>
      </w:r>
      <w:r w:rsidRPr="00375298">
        <w:rPr>
          <w:noProof/>
        </w:rPr>
        <w:t>(Kleiner et al., 2007)</w:t>
      </w:r>
      <w:r>
        <w:fldChar w:fldCharType="end"/>
      </w:r>
      <w:r>
        <w:t xml:space="preserve"> for MATLAB </w:t>
      </w:r>
      <w:r>
        <w:fldChar w:fldCharType="begin" w:fldLock="1"/>
      </w:r>
      <w:r>
        <w:instrText>ADDIN CSL_CITATION {"citationItems":[{"id":"ITEM-1","itemData":{"author":[{"dropping-particle":"","family":"MATLAB","given":"","non-dropping-particle":"","parse-names":false,"suffix":""}],"container-title":"The MathWorks Inc.","id":"ITEM-1","issued":{"date-parts":[["2017"]]},"title":"MATLAB, 2017","type":"article-journal"},"uris":["http://www.mendeley.com/documents/?uuid=e0fd69ca-e53d-42ea-bcbb-2954dc20aaed"]}],"mendeley":{"formattedCitation":"(MATLAB, 2017)","plainTextFormattedCitation":"(MATLAB, 2017)","previouslyFormattedCitation":"(MATLAB, 2017)"},"properties":{"noteIndex":0},"schema":"https://github.com/citation-style-language/schema/raw/master/csl-citation.json"}</w:instrText>
      </w:r>
      <w:r>
        <w:fldChar w:fldCharType="separate"/>
      </w:r>
      <w:r w:rsidRPr="00375298">
        <w:rPr>
          <w:noProof/>
        </w:rPr>
        <w:t>(MATLAB, 2017)</w:t>
      </w:r>
      <w:r>
        <w:fldChar w:fldCharType="end"/>
      </w:r>
      <w:r>
        <w:t>. Computers were run using the Windows 10 operating system. Juice and water delivery to the animals was mediated via gravity and the opening of solenoid valves (</w:t>
      </w:r>
      <w:r w:rsidRPr="00BB1706">
        <w:t>SCB262C068; ASCO</w:t>
      </w:r>
      <w:r>
        <w:t>).</w:t>
      </w:r>
    </w:p>
    <w:p w14:paraId="10606DBB" w14:textId="77777777" w:rsidR="007A22C9" w:rsidRPr="00C937CB" w:rsidRDefault="007A22C9" w:rsidP="007A22C9">
      <w:pPr>
        <w:rPr>
          <w:i/>
          <w:iCs/>
        </w:rPr>
      </w:pPr>
      <w:r w:rsidRPr="00C937CB">
        <w:rPr>
          <w:i/>
          <w:iCs/>
        </w:rPr>
        <w:t>Data Analysis</w:t>
      </w:r>
    </w:p>
    <w:p w14:paraId="5E5E4F30" w14:textId="77777777" w:rsidR="007A22C9" w:rsidRPr="00C937CB" w:rsidRDefault="007A22C9" w:rsidP="007A22C9">
      <w:r w:rsidRPr="00C937CB">
        <w:t xml:space="preserve">All analysis presented here was done in R 4.0.2 (‘Taking Off Again’; </w:t>
      </w:r>
      <w:r w:rsidRPr="00C937CB">
        <w:fldChar w:fldCharType="begin" w:fldLock="1"/>
      </w:r>
      <w:r w:rsidRPr="00C937CB">
        <w:instrText>ADDIN CSL_CITATION {"citationItems":[{"id":"ITEM-1","itemData":{"author":[{"dropping-particle":"","family":"R Core Team","given":"","non-dropping-particle":"","parse-names":false,"suffix":""}],"id":"ITEM-1","issued":{"date-parts":[["2020"]]},"title":"R: A Language and Environment for Statistical Computing","type":"report"},"uris":["http://www.mendeley.com/documents/?uuid=236bef2e-e04d-44e4-a763-916805a352b5"]}],"mendeley":{"formattedCitation":"(R Core Team, 2020)","manualFormatting":"R Core Team, 2020)","plainTextFormattedCitation":"(R Core Team, 2020)","previouslyFormattedCitation":"(R Core Team, 2020)"},"properties":{"noteIndex":0},"schema":"https://github.com/citation-style-language/schema/raw/master/csl-citation.json"}</w:instrText>
      </w:r>
      <w:r w:rsidRPr="00C937CB">
        <w:fldChar w:fldCharType="separate"/>
      </w:r>
      <w:r w:rsidRPr="00C937CB">
        <w:rPr>
          <w:noProof/>
        </w:rPr>
        <w:t>R Core Team, 2020)</w:t>
      </w:r>
      <w:r w:rsidRPr="00C937CB">
        <w:fldChar w:fldCharType="end"/>
      </w:r>
      <w:r w:rsidRPr="00C937CB">
        <w:t xml:space="preserve"> on a 64 bit windows machine. Notebooks for analysis are published by the author (DoctoRate; Hickman 2020)</w:t>
      </w:r>
      <w:r w:rsidRPr="00C937CB">
        <w:rPr>
          <w:rStyle w:val="FootnoteReference"/>
        </w:rPr>
        <w:footnoteReference w:id="47"/>
      </w:r>
      <w:r w:rsidRPr="00C937CB">
        <w:t xml:space="preserve">. Graphics were made using the ggplot2 package </w:t>
      </w:r>
      <w:r w:rsidRPr="00C937CB">
        <w:fldChar w:fldCharType="begin" w:fldLock="1"/>
      </w:r>
      <w:r w:rsidRPr="00C937CB">
        <w:instrText>ADDIN CSL_CITATION {"citationItems":[{"id":"ITEM-1","itemData":{"author":[{"dropping-particle":"","family":"Wickham","given":"Hadley","non-dropping-particle":"","parse-names":false,"suffix":""}],"id":"ITEM-1","issued":{"date-parts":[["2016"]]},"publisher":"Springer-Verlag New York","title":"ggplot2: Elegant Graphics for Data Analysis","type":"book"},"uris":["http://www.mendeley.com/documents/?uuid=073573c7-ebbf-4059-9e89-54790c78457f"]}],"mendeley":{"formattedCitation":"(Wickham, 2016)","plainTextFormattedCitation":"(Wickham, 2016)","previouslyFormattedCitation":"(Wickham, 2016)"},"properties":{"noteIndex":0},"schema":"https://github.com/citation-style-language/schema/raw/master/csl-citation.json"}</w:instrText>
      </w:r>
      <w:r w:rsidRPr="00C937CB">
        <w:fldChar w:fldCharType="separate"/>
      </w:r>
      <w:r w:rsidRPr="00C937CB">
        <w:rPr>
          <w:noProof/>
        </w:rPr>
        <w:t>(Wickham, 2016)</w:t>
      </w:r>
      <w:r w:rsidRPr="00C937CB">
        <w:fldChar w:fldCharType="end"/>
      </w:r>
      <w:r w:rsidRPr="00C937CB">
        <w:t xml:space="preserve"> and the vast majority of munging was carried out using tidyverse grammar </w:t>
      </w:r>
      <w:r w:rsidRPr="00C937CB">
        <w:fldChar w:fldCharType="begin" w:fldLock="1"/>
      </w:r>
      <w:r w:rsidRPr="00C937CB">
        <w:instrText>ADDIN CSL_CITATION {"citationItems":[{"id":"ITEM-1","itemData":{"DOI":"10.21105/joss.01686","ISSN":"2475-9066","abstract":"At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 The tidyverse has similar goals to R itself, but any comparison to the R Project (R Core Team, 2019) is fundamentally challenging as the tidyverse is written in R, and relies on R for its infrastructure; there is no tidyverse without R! That said, the biggest difference is in priorities: base R is highly focussed on stability, whereas the tidyverse will make breaking changes in the search for better interfaces. Another closely related project is data.table (Dowle &amp; Srinivasan, 2019), which provides tools roughly to the combination of dplyr, tidyr, tibble, and readr. data.tableThis paper describes the tidyverse package, the components of the tidyverse, and some of the underlying design principles. This is a lot of ground to cover in a brief paper, so we focus on a 50,000-foot view showing how all the pieces fit together with copious links to more detailed resources prioritises","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dropping-particle":"","family":"Kuhn","given":"Max","non-dropping-particle":"","parse-names":false,"suffix":""},{"dropping-particle":"","family":"Pedersen","given":"Thomas","non-dropping-particle":"","parse-names":false,"suffix":""},{"dropping-particle":"","family":"Miller","given":"Evan","non-dropping-particle":"","parse-names":false,"suffix":""},{"dropping-particle":"","family":"Bache","given":"Stephan","non-dropping-particle":"","parse-names":false,"suffix":""},{"dropping-particle":"","family":"Müller","given":"Kirill","non-dropping-particle":"","parse-names":false,"suffix":""},{"dropping-particle":"","family":"Ooms","given":"Jeroen","non-dropping-particle":"","parse-names":false,"suffix":""},{"dropping-particle":"","family":"Robinson","given":"David","non-dropping-particle":"","parse-names":false,"suffix":""},{"dropping-particle":"","family":"Seidel","given":"Dana","non-dropping-particle":"","parse-names":false,"suffix":""},{"dropping-particle":"","family":"Spinu","given":"Vitalie","non-dropping-particle":"","parse-names":false,"suffix":""},{"dropping-particle":"","family":"Takahashi","given":"Kohske","non-dropping-particle":"","parse-names":false,"suffix":""},{"dropping-particle":"","family":"Vaughan","given":"Davis","non-dropping-particle":"","parse-names":false,"suffix":""},{"dropping-particle":"","family":"Wilke","given":"Claus","non-dropping-particle":"","parse-names":false,"suffix":""},{"dropping-particle":"","family":"Woo","given":"Kara","non-dropping-particle":"","parse-names":false,"suffix":""},{"dropping-particle":"","family":"Yutani","given":"Hiroaki","non-dropping-particle":"","parse-names":false,"suffix":""}],"container-title":"Journal of Open Source Software","id":"ITEM-1","issue":"43","issued":{"date-parts":[["2019"]]},"page":"1686","title":"Welcome to the Tidyverse","type":"article-journal","volume":"4"},"uris":["http://www.mendeley.com/documents/?uuid=591b6ebb-8f04-43f7-9f94-8007bd3cdf58"]}],"mendeley":{"formattedCitation":"(Wickham et al., 2019)","plainTextFormattedCitation":"(Wickham et al., 2019)","previouslyFormattedCitation":"(Wickham et al., 2019)"},"properties":{"noteIndex":0},"schema":"https://github.com/citation-style-language/schema/raw/master/csl-citation.json"}</w:instrText>
      </w:r>
      <w:r w:rsidRPr="00C937CB">
        <w:fldChar w:fldCharType="separate"/>
      </w:r>
      <w:r w:rsidRPr="00C937CB">
        <w:rPr>
          <w:noProof/>
        </w:rPr>
        <w:t>(Wickham et al., 2019)</w:t>
      </w:r>
      <w:r w:rsidRPr="00C937CB">
        <w:fldChar w:fldCharType="end"/>
      </w:r>
      <w:r w:rsidRPr="00C937CB">
        <w:t>.</w:t>
      </w:r>
    </w:p>
    <w:p w14:paraId="6310BD60" w14:textId="77777777" w:rsidR="007A22C9" w:rsidRPr="00C937CB" w:rsidRDefault="007A22C9" w:rsidP="007A22C9">
      <w:r w:rsidRPr="00C937CB">
        <w:t xml:space="preserve">Wilcoxon and Spearman’s rank tests were carried out using functions from the inbuilt stats package. K-means clustering of joystick movement was also done using a function from this package. Beta regressions </w:t>
      </w:r>
      <w:r w:rsidRPr="00C937CB">
        <w:lastRenderedPageBreak/>
        <w:t xml:space="preserve">were carried out using functions from the betareg package </w:t>
      </w:r>
      <w:r w:rsidRPr="00C937CB">
        <w:fldChar w:fldCharType="begin" w:fldLock="1"/>
      </w:r>
      <w:r w:rsidRPr="00C937CB">
        <w:instrText>ADDIN CSL_CITATION {"citationItems":[{"id":"ITEM-1","itemData":{"DOI":"10.1201/9781315119403-7","author":[{"dropping-particle":"","family":"Cribari-Neto","given":"Francisco","non-dropping-particle":"","parse-names":false,"suffix":""},{"dropping-particle":"","family":"Zeileis","given":"Achim","non-dropping-particle":"","parse-names":false,"suffix":""}],"container-title":"Journal of Statistical Software","id":"ITEM-1","issue":"2","issued":{"date-parts":[["2010"]]},"page":"129-150","title":"Beta Regression in R","type":"article-journal","volume":"34"},"uris":["http://www.mendeley.com/documents/?uuid=bb1854b0-b8ec-4022-bd45-39ee9f517b25"]}],"mendeley":{"formattedCitation":"(Cribari-Neto &amp; Zeileis, 2010)","plainTextFormattedCitation":"(Cribari-Neto &amp; Zeileis, 2010)","previouslyFormattedCitation":"(Cribari-Neto &amp; Zeileis, 2010)"},"properties":{"noteIndex":0},"schema":"https://github.com/citation-style-language/schema/raw/master/csl-citation.json"}</w:instrText>
      </w:r>
      <w:r w:rsidRPr="00C937CB">
        <w:fldChar w:fldCharType="separate"/>
      </w:r>
      <w:r w:rsidRPr="00C937CB">
        <w:rPr>
          <w:noProof/>
        </w:rPr>
        <w:t>(Cribari-Neto &amp; Zeileis, 2010)</w:t>
      </w:r>
      <w:r w:rsidRPr="00C937CB">
        <w:fldChar w:fldCharType="end"/>
      </w:r>
      <w:r w:rsidRPr="00C937CB">
        <w:t xml:space="preserve">, after the distribution of monkey’s bids were fitted using the fitdistrplus package </w:t>
      </w:r>
      <w:r w:rsidRPr="00C937CB">
        <w:fldChar w:fldCharType="begin" w:fldLock="1"/>
      </w:r>
      <w:r w:rsidRPr="00C937CB">
        <w:instrText>ADDIN CSL_CITATION {"citationItems":[{"id":"ITEM-1","itemData":{"DOI":"10.18637/jss.v064.i04","ISSN":"15487660","abstract":"The package ftdistrplus provides functions for tting univariate distributions to different types of data (continuous censored or non-censored data and discrete data) and allowing different estimation methods (maximum likelihood, moment matching, quantile matching and maximum goodness-of-fit estimation). Outputs of fitdist and fitdistcens functions are S3 objects, for which speci c methods are provided, including summary, plot and quantile. This package also provides various functions to compare the fit of several distributions to the same data set and can handle to bootstrap parameter estimates. Detailed examples are given in food risk assessment, ecotoxicology and insurance contexts.","author":[{"dropping-particle":"","family":"Delignette-Muller","given":"Marie Laure","non-dropping-particle":"","parse-names":false,"suffix":""},{"dropping-particle":"","family":"Dutang","given":"Christophe","non-dropping-particle":"","parse-names":false,"suffix":""}],"container-title":"Journal of Statistical Software","id":"ITEM-1","issue":"4","issued":{"date-parts":[["2015"]]},"page":"1-34","title":"fitdistrplus: An R package for fitting distributions","type":"article-journal","volume":"64"},"uris":["http://www.mendeley.com/documents/?uuid=3e2a2b7a-a145-4aec-b445-cb191667d3e3"]}],"mendeley":{"formattedCitation":"(Delignette-Muller &amp; Dutang, 2015)","plainTextFormattedCitation":"(Delignette-Muller &amp; Dutang, 2015)","previouslyFormattedCitation":"(Delignette-Muller &amp; Dutang, 2015)"},"properties":{"noteIndex":0},"schema":"https://github.com/citation-style-language/schema/raw/master/csl-citation.json"}</w:instrText>
      </w:r>
      <w:r w:rsidRPr="00C937CB">
        <w:fldChar w:fldCharType="separate"/>
      </w:r>
      <w:r w:rsidRPr="00C937CB">
        <w:rPr>
          <w:noProof/>
        </w:rPr>
        <w:t>(Delignette-Muller &amp; Dutang, 2015)</w:t>
      </w:r>
      <w:r w:rsidRPr="00C937CB">
        <w:fldChar w:fldCharType="end"/>
      </w:r>
      <w:r w:rsidRPr="00C937CB">
        <w:t xml:space="preserve"> and checked using the gamlss packages </w:t>
      </w:r>
      <w:r w:rsidRPr="00C937CB">
        <w:fldChar w:fldCharType="begin" w:fldLock="1"/>
      </w:r>
      <w:r w:rsidRPr="00C937CB">
        <w:instrText>ADDIN CSL_CITATION {"citationItems":[{"id":"ITEM-1","itemData":{"DOI":"10.18637/jss.v023.i07","ISSN":"15487660","abstract":"GAMLSS is a general framework for fitting regression type models where the distribution of the response variable does not have to belong to the exponential family and includes highly skew and kurtotic continuous and discrete distribution. GAMLSS allows all the parameters of the distribution of the response variable to be modelled as linear/non-linear or smooth functions of the explanatory variables. This paper starts by defining the statistical framework of GAMLSS, then describes the current implementation of GAMLSS in R and finally gives four different data examples to demonstrate how GAMLSS can be used for statistical modelling.","author":[{"dropping-particle":"","family":"Stasinopoulos","given":"D. Mikis","non-dropping-particle":"","parse-names":false,"suffix":""},{"dropping-particle":"","family":"Rigby","given":"Robert A.","non-dropping-particle":"","parse-names":false,"suffix":""}],"container-title":"Journal of Statistical Software","id":"ITEM-1","issue":"7","issued":{"date-parts":[["2007"]]},"page":"1-46","title":"Generalized additive models for location scale and shape (GAMLSS) in R","type":"article-journal","volume":"23"},"uris":["http://www.mendeley.com/documents/?uuid=476c3397-7827-48be-8acd-f6d3c5b5781c"]}],"mendeley":{"formattedCitation":"(Stasinopoulos &amp; Rigby, 2007)","plainTextFormattedCitation":"(Stasinopoulos &amp; Rigby, 2007)","previouslyFormattedCitation":"(Stasinopoulos &amp; Rigby, 2007)"},"properties":{"noteIndex":0},"schema":"https://github.com/citation-style-language/schema/raw/master/csl-citation.json"}</w:instrText>
      </w:r>
      <w:r w:rsidRPr="00C937CB">
        <w:fldChar w:fldCharType="separate"/>
      </w:r>
      <w:r w:rsidRPr="00C937CB">
        <w:rPr>
          <w:noProof/>
        </w:rPr>
        <w:t>(Stasinopoulos &amp; Rigby, 2007)</w:t>
      </w:r>
      <w:r w:rsidRPr="00C937CB">
        <w:fldChar w:fldCharType="end"/>
      </w:r>
      <w:r w:rsidRPr="00C937CB">
        <w:t xml:space="preserve">. Models were selected primarily based off minimising the Akaike information criteria </w:t>
      </w:r>
      <w:r w:rsidRPr="00C937CB">
        <w:fldChar w:fldCharType="begin" w:fldLock="1"/>
      </w:r>
      <w:r w:rsidRPr="00C937CB">
        <w:instrText>ADDIN CSL_CITATION {"citationItems":[{"id":"ITEM-1","itemData":{"DOI":"10.1109/TAC.1974.1100705","ISSN":"15582523","abstract":"The history of the development of statistical hypothesis testing in time series analysis is reviewed briefly and it is pointed out that the hypothesis testing procedure is not adequately defined as the procedure for statistical model identification. The classical maximurn likelihood estimation procedure is reviewed and a new estimate minimum information theoretical criterion (AlC) estimate (MAICE) which is designed for the purpose of statistical identification is introduced. When there are several competing models the MAICE is defined by the model and the maximum likelihood estimates of the parameters which give the minimum of AIC defined by AIC = (-2)log-(maximum likelihood) + 2(number of independently adjusted parameters within the model). MAICE provides a versatile procedure for statistical model identification which is free from the ambiguities inherent in the application of conventional hypothesis testing procedure. The practical utility of MAICE in time series analysis is demonstrated with some numerical examples. © 1974, IEEE. All rights reserved.","author":[{"dropping-particle":"","family":"Akaike","given":"Hirotugu","non-dropping-particle":"","parse-names":false,"suffix":""}],"container-title":"IEEE Transactions on Automatic Control","id":"ITEM-1","issue":"6","issued":{"date-parts":[["1974"]]},"page":"716-723","title":"A New Look at the Statistical Model Identification","type":"article-journal","volume":"19"},"uris":["http://www.mendeley.com/documents/?uuid=33c12890-1a00-4e69-9d05-a93630e79231"]}],"mendeley":{"formattedCitation":"(Akaike, 1974)","plainTextFormattedCitation":"(Akaike, 1974)","previouslyFormattedCitation":"(Akaike, 1974)"},"properties":{"noteIndex":0},"schema":"https://github.com/citation-style-language/schema/raw/master/csl-citation.json"}</w:instrText>
      </w:r>
      <w:r w:rsidRPr="00C937CB">
        <w:fldChar w:fldCharType="separate"/>
      </w:r>
      <w:r w:rsidRPr="00C937CB">
        <w:rPr>
          <w:noProof/>
        </w:rPr>
        <w:t>(Akaike, 1974)</w:t>
      </w:r>
      <w:r w:rsidRPr="00C937CB">
        <w:fldChar w:fldCharType="end"/>
      </w:r>
      <w:r w:rsidRPr="00C937CB">
        <w:t xml:space="preserve"> using the formula</w:t>
      </w:r>
    </w:p>
    <w:p w14:paraId="143DFD05" w14:textId="77777777" w:rsidR="007A22C9" w:rsidRPr="00C937CB" w:rsidRDefault="007A22C9" w:rsidP="007A22C9">
      <w:pPr>
        <w:rPr>
          <w:rFonts w:eastAsiaTheme="minorEastAsia"/>
          <w:i/>
        </w:rPr>
      </w:pPr>
      <m:oMathPara>
        <m:oMath>
          <m:r>
            <w:rPr>
              <w:rFonts w:ascii="Cambria Math" w:hAnsi="Cambria Math"/>
            </w:rPr>
            <m:t>AIC = 2k - 2ln(</m:t>
          </m:r>
          <m:acc>
            <m:accPr>
              <m:ctrlPr>
                <w:rPr>
                  <w:rFonts w:ascii="Cambria Math" w:hAnsi="Cambria Math"/>
                  <w:i/>
                </w:rPr>
              </m:ctrlPr>
            </m:accPr>
            <m:e>
              <m:r>
                <w:rPr>
                  <w:rFonts w:ascii="Cambria Math" w:hAnsi="Cambria Math"/>
                </w:rPr>
                <m:t>L</m:t>
              </m:r>
            </m:e>
          </m:acc>
          <m:r>
            <w:rPr>
              <w:rFonts w:ascii="Cambria Math" w:hAnsi="Cambria Math"/>
            </w:rPr>
            <m:t>)</m:t>
          </m:r>
        </m:oMath>
      </m:oMathPara>
    </w:p>
    <w:p w14:paraId="292066EF" w14:textId="77777777" w:rsidR="007A22C9" w:rsidRPr="00C937CB" w:rsidRDefault="007A22C9" w:rsidP="007A22C9">
      <w:pPr>
        <w:rPr>
          <w:rFonts w:eastAsiaTheme="minorEastAsia"/>
          <w:iCs/>
        </w:rPr>
      </w:pPr>
      <w:r w:rsidRPr="00C937CB">
        <w:rPr>
          <w:rFonts w:eastAsiaTheme="minorEastAsia"/>
          <w:iCs/>
        </w:rPr>
        <w:t xml:space="preserve">Where k (the number of parameters) for the beta distribution selected is 2 and </w:t>
      </w:r>
      <m:oMath>
        <m:acc>
          <m:accPr>
            <m:ctrlPr>
              <w:rPr>
                <w:rFonts w:ascii="Cambria Math" w:eastAsiaTheme="minorEastAsia" w:hAnsi="Cambria Math"/>
                <w:i/>
                <w:iCs/>
              </w:rPr>
            </m:ctrlPr>
          </m:accPr>
          <m:e>
            <m:r>
              <w:rPr>
                <w:rFonts w:ascii="Cambria Math" w:eastAsiaTheme="minorEastAsia" w:hAnsi="Cambria Math"/>
              </w:rPr>
              <m:t>L</m:t>
            </m:r>
          </m:e>
        </m:acc>
      </m:oMath>
      <w:r w:rsidRPr="00C937CB">
        <w:rPr>
          <w:rFonts w:eastAsiaTheme="minorEastAsia"/>
          <w:iCs/>
        </w:rPr>
        <w:t xml:space="preserve"> represents the maximum value for the model’s likelihood function.</w:t>
      </w:r>
      <w:r w:rsidRPr="00C937CB">
        <w:rPr>
          <w:rFonts w:eastAsiaTheme="minorEastAsia"/>
          <w:iCs/>
        </w:rPr>
        <w:br/>
      </w:r>
    </w:p>
    <w:p w14:paraId="5B19A88D" w14:textId="77777777" w:rsidR="007A22C9" w:rsidRPr="00C937CB" w:rsidRDefault="007A22C9" w:rsidP="007A22C9">
      <w:pPr>
        <w:rPr>
          <w:rFonts w:eastAsiaTheme="minorEastAsia"/>
          <w:iCs/>
        </w:rPr>
      </w:pPr>
      <w:r w:rsidRPr="00C937CB">
        <w:rPr>
          <w:rFonts w:eastAsiaTheme="minorEastAsia"/>
          <w:iCs/>
        </w:rPr>
        <w:t xml:space="preserve">Random utility models were fitted in R using the mlogit package which is described and explained in </w:t>
      </w:r>
      <w:r w:rsidRPr="00C937CB">
        <w:rPr>
          <w:rFonts w:eastAsiaTheme="minorEastAsia"/>
          <w:iCs/>
        </w:rPr>
        <w:fldChar w:fldCharType="begin" w:fldLock="1"/>
      </w:r>
      <w:r>
        <w:rPr>
          <w:rFonts w:eastAsiaTheme="minorEastAsia"/>
          <w:iCs/>
        </w:rPr>
        <w:instrText>ADDIN CSL_CITATION {"citationItems":[{"id":"ITEM-1","itemData":{"author":[{"dropping-particle":"","family":"Train","given":"Kenneth","non-dropping-particle":"","parse-names":false,"suffix":""}],"id":"ITEM-1","issued":{"date-parts":[["2009"]]},"publisher":"Cambridge University Press","title":"Discrete Choice Methods with Simulation","type":"book"},"uris":["http://www.mendeley.com/documents/?uuid=b9281980-78ea-4e0e-abc4-b6ce03b88766"]}],"mendeley":{"formattedCitation":"(Train, 2009)","manualFormatting":"Train, 2009","plainTextFormattedCitation":"(Train, 2009)","previouslyFormattedCitation":"(Train, 2009)"},"properties":{"noteIndex":0},"schema":"https://github.com/citation-style-language/schema/raw/master/csl-citation.json"}</w:instrText>
      </w:r>
      <w:r w:rsidRPr="00C937CB">
        <w:rPr>
          <w:rFonts w:eastAsiaTheme="minorEastAsia"/>
          <w:iCs/>
        </w:rPr>
        <w:fldChar w:fldCharType="separate"/>
      </w:r>
      <w:r w:rsidRPr="00C937CB">
        <w:rPr>
          <w:rFonts w:eastAsiaTheme="minorEastAsia"/>
          <w:iCs/>
          <w:noProof/>
        </w:rPr>
        <w:t>Train, 2009</w:t>
      </w:r>
      <w:r w:rsidRPr="00C937CB">
        <w:rPr>
          <w:rFonts w:eastAsiaTheme="minorEastAsia"/>
          <w:iCs/>
        </w:rPr>
        <w:fldChar w:fldCharType="end"/>
      </w:r>
      <w:r w:rsidRPr="00C937CB">
        <w:rPr>
          <w:rFonts w:eastAsiaTheme="minorEastAsia"/>
          <w:iCs/>
        </w:rPr>
        <w:t>.</w:t>
      </w:r>
    </w:p>
    <w:p w14:paraId="02641F3D" w14:textId="77777777" w:rsidR="007A22C9" w:rsidRDefault="007A22C9" w:rsidP="007A22C9">
      <w:pPr>
        <w:rPr>
          <w:i/>
          <w:iCs/>
        </w:rPr>
      </w:pPr>
      <w:r>
        <w:rPr>
          <w:i/>
          <w:iCs/>
        </w:rPr>
        <w:t>Animals</w:t>
      </w:r>
    </w:p>
    <w:p w14:paraId="560F1DDB" w14:textId="77777777" w:rsidR="007A22C9" w:rsidRDefault="007A22C9" w:rsidP="007A22C9">
      <w:r>
        <w:t>All experiments and data in this thesis were gathered from two adult rhesus macaques (</w:t>
      </w:r>
      <w:r>
        <w:rPr>
          <w:i/>
          <w:iCs/>
        </w:rPr>
        <w:t>Maccaca mulatta</w:t>
      </w:r>
      <w:r>
        <w:t xml:space="preserve">), referred to as monkey U and monkey V. Both monkeys had been trained on a similar BDM auction task previously </w:t>
      </w:r>
      <w:r>
        <w:fldChar w:fldCharType="begin" w:fldLock="1"/>
      </w:r>
      <w: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2019)","manualFormatting":"(referred to as 'Monkey A' and 'Monkey B' in Al-Mohammad &amp; Schultz, 2019)","plainTextFormattedCitation":"(Al-Mohammad &amp; Schultz, 2019)","previouslyFormattedCitation":"(Al-Mohammad &amp; Schultz, 2019)"},"properties":{"noteIndex":0},"schema":"https://github.com/citation-style-language/schema/raw/master/csl-citation.json"}</w:instrText>
      </w:r>
      <w:r>
        <w:fldChar w:fldCharType="separate"/>
      </w:r>
      <w:r w:rsidRPr="005C6FCB">
        <w:rPr>
          <w:noProof/>
        </w:rPr>
        <w:t>(</w:t>
      </w:r>
      <w:r>
        <w:rPr>
          <w:noProof/>
        </w:rPr>
        <w:t xml:space="preserve">referred to as 'Monkey A' and 'Monkey B' in </w:t>
      </w:r>
      <w:r w:rsidRPr="005C6FCB">
        <w:rPr>
          <w:noProof/>
        </w:rPr>
        <w:t>Al-Mohammad &amp; Schultz, 2019)</w:t>
      </w:r>
      <w:r>
        <w:fldChar w:fldCharType="end"/>
      </w:r>
      <w:r>
        <w:t>, though due to time between projects, differing needs of the experiments (e.g. head-fixing of monkeys), and subtle changes to the task, both were retrained in the period October 2017-July 2018</w:t>
      </w:r>
      <w:r>
        <w:rPr>
          <w:rStyle w:val="FootnoteReference"/>
        </w:rPr>
        <w:footnoteReference w:id="48"/>
      </w:r>
      <w:r>
        <w:t xml:space="preserve">. Monkeys had both been previously trained on the auction tasks presented here and an equivalent binary-choice ‘bundle choice’ task. For more details of the training see </w:t>
      </w:r>
      <w:r>
        <w:fldChar w:fldCharType="begin" w:fldLock="1"/>
      </w:r>
      <w: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fldChar w:fldCharType="separate"/>
      </w:r>
      <w:r w:rsidRPr="00352FF7">
        <w:rPr>
          <w:noProof/>
        </w:rPr>
        <w:t>Al-Mohammad &amp; Schultz, 2019</w:t>
      </w:r>
      <w:r>
        <w:fldChar w:fldCharType="end"/>
      </w:r>
      <w:r>
        <w:t xml:space="preserve"> and appendix 3.1.</w:t>
      </w:r>
    </w:p>
    <w:p w14:paraId="1CF94B55" w14:textId="77777777" w:rsidR="007A22C9" w:rsidRDefault="007A22C9" w:rsidP="007A22C9">
      <w:r>
        <w:t>Both primates were born in captivity at the Medical Research Council’s Centre for Macaques at Porton Down in the United Kingdom (monkey U: 2010-02-10, monkey V: 2011-06-08) and were housed within the departmental facilities. Both were group-housed at various times prior to and during the duration of this project, but due to separate incidents were singularly housed for much of the time this data was recorded. The weights of each monkey recorded weekly for the duration of project is shown in figure 2.</w:t>
      </w:r>
    </w:p>
    <w:p w14:paraId="22CBAE28" w14:textId="77777777" w:rsidR="007A22C9" w:rsidRDefault="007A22C9" w:rsidP="007A22C9">
      <w:r>
        <w:t xml:space="preserve">Rhesus macaques are the most widely distributed non-human primate species, being found across most of continental Asia </w:t>
      </w:r>
      <w:r>
        <w:fldChar w:fldCharType="begin" w:fldLock="1"/>
      </w:r>
      <w:r>
        <w:instrText>ADDIN CSL_CITATION {"citationItems":[{"id":"ITEM-1","itemData":{"author":[{"dropping-particle":"","family":"Singh","given":"M.","non-dropping-particle":"","parse-names":false,"suffix":""},{"dropping-particle":"","family":"Kumar","given":"A.","non-dropping-particle":"","parse-names":false,"suffix":""},{"dropping-particle":"","family":"Kumara","given":"H.N.","non-dropping-particle":"","parse-names":false,"suffix":""}],"id":"ITEM-1","issued":{"date-parts":[["2020"]]},"title":"Macaca mulatta. The IUCN Red List of Threatened Species","type":"article-journal","volume":"8235"},"uris":["http://www.mendeley.com/documents/?uuid=911fcf0c-9d7b-45c1-b238-ce3994122b7a"]}],"mendeley":{"formattedCitation":"(Singh et al., 2020)","plainTextFormattedCitation":"(Singh et al., 2020)","previouslyFormattedCitation":"(Singh et al., 2020)"},"properties":{"noteIndex":0},"schema":"https://github.com/citation-style-language/schema/raw/master/csl-citation.json"}</w:instrText>
      </w:r>
      <w:r>
        <w:fldChar w:fldCharType="separate"/>
      </w:r>
      <w:r w:rsidRPr="00EC16BE">
        <w:rPr>
          <w:noProof/>
        </w:rPr>
        <w:t>(Singh et al., 2020)</w:t>
      </w:r>
      <w:r>
        <w:fldChar w:fldCharType="end"/>
      </w:r>
      <w:r>
        <w:t xml:space="preserve">. They are the most commonly used non-human primate animal model in the neuroscientific literature </w:t>
      </w:r>
      <w:r>
        <w:fldChar w:fldCharType="begin" w:fldLock="1"/>
      </w:r>
      <w:r>
        <w:instrText>ADDIN CSL_CITATION {"citationItems":[{"id":"ITEM-1","itemData":{"DOI":"10.1016/S0140-6736(08)60489-4","ISSN":"01406736","PMID":"18374844","abstract":"Non-human primates have a small but important role in basic and translational biomedical research, owing to similarities with human beings in physiology, cognitive capabilities, neuroanatomy, social complexity, reproduction, and development. Although non-human primates have contributed to many areas of biomedical research, we review here their unique contributions to work in neuroscience, and focus on four domains: Alzheimer's disease, neuroAIDS, Parkinson's disease, and stress. Our discussion includes, for example, the role of non-human primates in development of new treatments (eg, stem cells, gene transfer) before phase I clinical trials in patients; basic research on disease pathogenesis; and understanding neurobehavioural outcomes resulting from genotype-environment interactions. © 2008 Elsevier Ltd. All rights reserved.","author":[{"dropping-particle":"","family":"Capitanio","given":"John P.","non-dropping-particle":"","parse-names":false,"suffix":""},{"dropping-particle":"","family":"Emborg","given":"Marina E.","non-dropping-particle":"","parse-names":false,"suffix":""}],"container-title":"The Lancet","id":"ITEM-1","issue":"9618","issued":{"date-parts":[["2008"]]},"page":"1126-1135","title":"Contributions of non-human primates to neuroscience research","type":"article-journal","volume":"371"},"uris":["http://www.mendeley.com/documents/?uuid=6cf53861-de0f-410c-a417-5ec0fc57dcdc"]}],"mendeley":{"formattedCitation":"(Capitanio &amp; Emborg, 2008)","plainTextFormattedCitation":"(Capitanio &amp; Emborg, 2008)","previouslyFormattedCitation":"(Capitanio &amp; Emborg, 2008)"},"properties":{"noteIndex":0},"schema":"https://github.com/citation-style-language/schema/raw/master/csl-citation.json"}</w:instrText>
      </w:r>
      <w:r>
        <w:fldChar w:fldCharType="separate"/>
      </w:r>
      <w:r w:rsidRPr="007D61A9">
        <w:rPr>
          <w:noProof/>
        </w:rPr>
        <w:t>(Capitanio &amp; Emborg, 2008)</w:t>
      </w:r>
      <w:r>
        <w:fldChar w:fldCharType="end"/>
      </w:r>
      <w:r>
        <w:t xml:space="preserve"> due to their dexterity and ability to reproduce complex decisions, such as in economic decision-making tasks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d6ae58d8-44a5-4e60-abf9-a5e3f27cdf5d"]},{"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Monkeys","type":"article-journal"},"uris":["http://www.mendeley.com/documents/?uuid=bef3edc0-3828-4b9c-8751-467a67638cc1"]},{"id":"ITEM-3","itemData":{"DOI":"10.1073/pnas.1212706109","ISSN":"00278424","PMID":"23112182","abstract":"The amygdala is a key structure of the brain's reward system. Existing theories view its role in decision-making as restricted to an early valuation stage that provides input to decision mechanisms in downstream brain structures. However, the extent to which the amygdala itself codes information about economic choices is unclear. Here, we report that individual neurons in the primate amygdala predict behavioral choices in an economic decision task. We recorded the activity of amygdala neurons while monkeys chose between saving liquid reward with interest and spending the accumulated reward. In addition to known value-related responses, we found that activity in a group of amygdala neurons predicted the monkeys' upcoming save-spend choices with an average accuracy of 78%. This choice-predictive activity occurred early in trials, even before information about specific actions associated with save-spend choices was available. For a substantial number of neurons, choice-differential activity was specific for free, internally generated economic choices and not observed in a control task involving forced imperative choices. A subgroup of choice-predictive neurons did not show relationships to value, movement direction, or visual stimulus features. Choice-predictive activity in some amygdala neurons was preceded by transient periods of value coding, suggesting value-to-choice transitions and resembling decision processes in other brain systems. These findings suggest that the amygdala might play an active role in economic decisions. Current views of amygdala function should be extended to incorporate a role in decision-making beyond valuation.","author":[{"dropping-particle":"","family":"Grabenhorst","given":"Fabian","non-dropping-particle":"","parse-names":false,"suffix":""},{"dropping-particle":"","family":"Hernádi","given":"István","non-dropping-particle":"","parse-names":false,"suffix":""},{"dropping-particle":"","family":"Schultz","given":"Wolfram","non-dropping-particle":"","parse-names":false,"suffix":""}],"container-title":"Proceedings of the National Academy of Sciences of the United States of America","id":"ITEM-3","issue":"46","issued":{"date-parts":[["2012"]]},"page":"18950-18955","title":"Prediction of economic choice by primate amygdala neurons","type":"article-journal","volume":"109"},"uris":["http://www.mendeley.com/documents/?uuid=452a1de1-5dbf-4eea-9455-71672daa1dab"]},{"id":"ITEM-4","itemData":{"ISBN":"0036-8075","ISSN":"1095-9203","PMID":"12649484","abstract":"Uncertainty is critical in the measure of information and in assessing the accuracy of predictions. It is determined by probability P, being maximal at P = 0.5 and decreasing at higher and lower probabilities. Using distinct stimuli to indicate the probability of reward, we found that the phasic activation of dopamine neurons varied monotonically across the full range of probabilities, supporting past claims that this response codes the discrepancy between predicted and actual reward. In contrast, a previously unobserved response covaried with uncertainty and consisted of a gradual increase in activity until the potential time of reward. The coding of uncertainty suggests a possible role for dopamine signals in attention-based learning and risk-taking behavior.","author":[{"dropping-particle":"","family":"Fiorillo","given":"Christopher D.","non-dropping-particle":"","parse-names":false,"suffix":""},{"dropping-particle":"","family":"Tobler","given":"Philippe N.","non-dropping-particle":"","parse-names":false,"suffix":""},{"dropping-particle":"","family":"Schultz","given":"Wolfram","non-dropping-particle":"","parse-names":false,"suffix":""}],"container-title":"Science","id":"ITEM-4","issue":"March","issued":{"date-parts":[["2003"]]},"page":"1898-1902","title":"Discrete Coding of Reward Dopamine Neurons","type":"article-journal","volume":"299"},"uris":["http://www.mendeley.com/documents/?uuid=21fb096a-2663-4f50-b8aa-b3baf15e7b6f"]}],"mendeley":{"formattedCitation":"(Ferrari-Toniolo et al., 2020; Fiorillo et al., 2003; Grabenhorst et al., 2012; Padoa-Schioppa &amp; Assad, 2006)","plainTextFormattedCitation":"(Ferrari-Toniolo et al., 2020; Fiorillo et al., 2003; Grabenhorst et al., 2012; Padoa-Schioppa &amp; Assad, 2006)","previouslyFormattedCitation":"(Ferrari-Toniolo et al., 2020; Fiorillo et al., 2003; Grabenhorst et al., 2012; Padoa-Schioppa &amp; Assad, 2006)"},"properties":{"noteIndex":0},"schema":"https://github.com/citation-style-language/schema/raw/master/csl-citation.json"}</w:instrText>
      </w:r>
      <w:r>
        <w:fldChar w:fldCharType="separate"/>
      </w:r>
      <w:r w:rsidRPr="00270A62">
        <w:rPr>
          <w:noProof/>
        </w:rPr>
        <w:t>(Ferrari-Toniolo et al., 2020; Fiorillo et al., 2003; Grabenhorst et al., 2012; Padoa-Schioppa &amp; Assad, 2006)</w:t>
      </w:r>
      <w:r>
        <w:fldChar w:fldCharType="end"/>
      </w:r>
      <w:r>
        <w:t>.</w:t>
      </w:r>
    </w:p>
    <w:p w14:paraId="7AE509CC" w14:textId="77777777" w:rsidR="007A22C9" w:rsidRDefault="007A22C9" w:rsidP="007A22C9">
      <w:r>
        <w:t>To incentivise participation in the tasks, primates were fluid restricted for 6 days per week (from Saturday evening until Friday afternoon), during which time the majority of liquid available to the monkeys was earned through behavioural tasks. For the remainder of the week, primates had unrestricted access to fluid, and were also given unrestricted access on any days where they were not worked on the task, following any surgeries, and also for at least one full week every months.</w:t>
      </w:r>
    </w:p>
    <w:p w14:paraId="3FB5CC13" w14:textId="77777777" w:rsidR="007A22C9" w:rsidRDefault="007A22C9" w:rsidP="007A22C9">
      <w:pPr>
        <w:rPr>
          <w:b/>
          <w:bCs/>
        </w:rPr>
      </w:pPr>
      <w:r>
        <w:rPr>
          <w:b/>
          <w:bCs/>
        </w:rPr>
        <w:t>Rhesus Macaques show Significant Rank Ordering by Offer Level</w:t>
      </w:r>
    </w:p>
    <w:p w14:paraId="3C62BD35" w14:textId="77777777" w:rsidR="007A22C9" w:rsidRDefault="007A22C9" w:rsidP="007A22C9">
      <w:r>
        <w:t>Over the course of these projects, the two monkeys faced at least 80,000 BDM trials each</w:t>
      </w:r>
      <w:r>
        <w:rPr>
          <w:rStyle w:val="FootnoteReference"/>
        </w:rPr>
        <w:footnoteReference w:id="49"/>
      </w:r>
      <w:r>
        <w:t>. We restrict our analysis to the sessions completed during the neuronal recording phase of the project, where offered goods were static and monkeys were consistently tested on the BDM. We also use objective selection criteria to remove trials where we have reason to believe either monkey was not sufficiently engaged with the task. These are discussed in appendix 3.2.</w:t>
      </w:r>
    </w:p>
    <w:p w14:paraId="33017EF5" w14:textId="77777777" w:rsidR="007A22C9" w:rsidRDefault="007A22C9" w:rsidP="007A22C9">
      <w:r>
        <w:lastRenderedPageBreak/>
        <w:t>During the recording phase of the project, monkey U completed 233 sessions, averaging 130.6 trials per session (</w:t>
      </w:r>
      <w:r w:rsidRPr="003A4C1D">
        <w:rPr>
          <w:color w:val="FF0000"/>
        </w:rPr>
        <w:t>standard deviation: 34.3</w:t>
      </w:r>
      <w:r>
        <w:t>), whereas monkey V completed 174 BDM sessions and on average also completed 130.6 trials per session (</w:t>
      </w:r>
      <w:r w:rsidRPr="003A4C1D">
        <w:rPr>
          <w:color w:val="FF0000"/>
        </w:rPr>
        <w:t>standard deviation: 30.0</w:t>
      </w:r>
      <w:r>
        <w:t>). After the removal of trials as outlined in appendix 3.2, we are left with 163 and 142 sessions for monkey U and monkey V respectively, with an average of 115.9 and 114.3 trials completed in each session (figure 3.3c-e).</w:t>
      </w:r>
    </w:p>
    <w:p w14:paraId="5B705BA3" w14:textId="77777777" w:rsidR="007A22C9" w:rsidRDefault="007A22C9" w:rsidP="007A22C9">
      <w:r>
        <w:t>This is fewer trials than we had hoped for during recording from dopamine neurons; for a set of 3 fractals shown, we will have data from fewer than 40 bids made by the monkey. During the initial months of the project we aimed to train monkeys to complete at least 200 trials of the BDM for any behavioural testing session, which we frequently achieved (figure 3.3a-b). The reduction in the number of trials successfully completed by each monkey during the neuronal recording phase  (figure 3.3e) is thought to be due to 3 factors: Primarily, a reduction in trials completed was seen in monkey U once we began head-fixation training in preparation for neuronal recording. Once recording, the identification of putative dopamine neurons takes time and the receipt of an unexpected liquid reward, both of which might reduce to desire of the monkey to later work on the task (see the opening of chapter 4 for more detail on the neuronal recording procedure).</w:t>
      </w:r>
    </w:p>
    <w:p w14:paraId="007865DE" w14:textId="77777777" w:rsidR="007A22C9" w:rsidRDefault="007A22C9" w:rsidP="007A22C9">
      <w:r>
        <w:t>Finally, the relatively low number of trials completed by the monkeys may have been in part due to the large liquid payout per trial. Total expected liquid received per trial is derived in chapter 2 and varies by bid (see figure 2.3), but for a minimum expected volume</w:t>
      </w:r>
      <w:r>
        <w:rPr>
          <w:rStyle w:val="FootnoteReference"/>
        </w:rPr>
        <w:footnoteReference w:id="50"/>
      </w:r>
      <w:r>
        <w:t xml:space="preserve">, a monkey who bids the maximum for the lowest magnitude of juice can anticipate half the bidding range (0.6ml) of water </w:t>
      </w:r>
      <w:r>
        <w:rPr>
          <w:i/>
          <w:iCs/>
        </w:rPr>
        <w:t>and</w:t>
      </w:r>
      <w:r>
        <w:t xml:space="preserve"> the magnitude of juice reward. Even on the theoretical very ‘worst’ trials where both the monkey and computer bid near the maximum for this lowest juice magnitude offer, the monkeys will be certain to receive the juice reward (0.2ml for monkey U, 0.3ml for monkey V) which is commensurate with other studies of non-human primate decision making </w:t>
      </w:r>
      <w:r>
        <w:fldChar w:fldCharType="begin" w:fldLock="1"/>
      </w:r>
      <w:r>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437A5C">
        <w:rPr>
          <w:noProof/>
        </w:rPr>
        <w:t>(Ferrari-Toniolo et al., 2020; Pastor-Bernier et al., 2017)</w:t>
      </w:r>
      <w:r>
        <w:fldChar w:fldCharType="end"/>
      </w:r>
      <w:r>
        <w:t xml:space="preserve"> plus a negligible amount of the remaining water budget.</w:t>
      </w:r>
    </w:p>
    <w:p w14:paraId="25E8AD79" w14:textId="77777777" w:rsidR="007A22C9" w:rsidRDefault="007A22C9" w:rsidP="007A22C9">
      <w:r>
        <w:t xml:space="preserve">In contrast, on particularly lucky trials where the monkey wins the high value fractal and only pays a negligible amount of their budget, the animal can receive 1.2ml of their water budget and the magnitude of juice offered (0.7ml for monkey U, 1.7ml for monkey V). As derived in chapter 2, the cost of misbehaviour is proportional to the utility (proportional to the magnitude) of the juice reward offer </w:t>
      </w:r>
      <w:r>
        <w:rPr>
          <w:i/>
          <w:iCs/>
        </w:rPr>
        <w:t>and</w:t>
      </w:r>
      <w:r>
        <w:t xml:space="preserve"> the size of the water budget with which to bid. However, increasing the utility of these necessarily will decrease the time it takes for a monkey to become sated on liquid and thus decrease future performance. Striking a delicate balance in this trade-off between accurate behaviour per trial and number of trials is likely to be key to any future non-human auction experiments. As previously noted however, one of the key benefits of auction paradigms is that they reveal the utility of the organism for an offered good on each individual trial and so (in contrast to binary choices, see figure 2.1) there is no reduction in accuracy or resolution to the utility estimate from a reduced number of trials. Indeed, it may be the case that fewer trials with greater incentive for a subject to behave truthfully (larger signal-to-noise ration) generates the optimal statistical power for such experiments </w:t>
      </w:r>
      <w:r>
        <w:fldChar w:fldCharType="begin" w:fldLock="1"/>
      </w:r>
      <w:r>
        <w:instrText>ADDIN CSL_CITATION {"citationItems":[{"id":"ITEM-1","itemData":{"DOI":"10.5334/IRSP.181","ISSN":"23978570","abstract":"Power analysis is an important tool to use when planning studies. This contribution aims to remind read-ers what power analysis is, emphasize why it matters, and articulate when and how it should be used. The focus is on applications of power analysis for experimental designs often encountered in psychology, starting from simple two-group independent and paired groups and moving to one-way analysis of variance, factorial designs, contrast analysis, trend analysis, regression analysis, analysis of covariance, and mediation analysis. Special attention is given to the application of power analysis to moderation designs, considering both dichotomous and continuous predictors and moderators. Illustrative practical examples based on G</w:instrText>
      </w:r>
      <w:r>
        <w:rPr>
          <w:rFonts w:ascii="Cambria Math" w:hAnsi="Cambria Math" w:cs="Cambria Math"/>
        </w:rPr>
        <w:instrText>∗</w:instrText>
      </w:r>
      <w:r>
        <w:instrText>Power and R packages are provided throughout the article. Annotated code for the examples with R and dedicated computational tools are made freely available at a dedicated web page (https://github.com/mcfanda/primerPowerIRSP). Applications of power analysis for more complex designs are briefly mentioned, and some important general issues related to power analysis are discussed.","author":[{"dropping-particle":"","family":"Perugini","given":"Marco","non-dropping-particle":"","parse-names":false,"suffix":""},{"dropping-particle":"","family":"Gallucci","given":"Marcello","non-dropping-particle":"","parse-names":false,"suffix":""},{"dropping-particle":"","family":"Costantini","given":"Giulio","non-dropping-particle":"","parse-names":false,"suffix":""}],"container-title":"International Review of Social Psychology","id":"ITEM-1","issue":"1","issued":{"date-parts":[["2018"]]},"page":"1-23","title":"A practical primer to power analysis for simple experimental designs","type":"article-journal","volume":"31"},"uris":["http://www.mendeley.com/documents/?uuid=784f386e-8a70-4cd6-81cf-af4d3ebb3641"]}],"mendeley":{"formattedCitation":"(Perugini et al., 2018)","plainTextFormattedCitation":"(Perugini et al., 2018)","previouslyFormattedCitation":"(Perugini et al., 2018)"},"properties":{"noteIndex":0},"schema":"https://github.com/citation-style-language/schema/raw/master/csl-citation.json"}</w:instrText>
      </w:r>
      <w:r>
        <w:fldChar w:fldCharType="separate"/>
      </w:r>
      <w:r w:rsidRPr="00CE52EC">
        <w:rPr>
          <w:noProof/>
        </w:rPr>
        <w:t>(Perugini et al., 2018)</w:t>
      </w:r>
      <w:r>
        <w:fldChar w:fldCharType="end"/>
      </w:r>
      <w:r>
        <w:t>.</w:t>
      </w:r>
    </w:p>
    <w:p w14:paraId="6A53BACB" w14:textId="77777777" w:rsidR="007A22C9" w:rsidRDefault="007A22C9" w:rsidP="007A22C9">
      <w:r>
        <w:t xml:space="preserve">Given that the only dimensions by which the offered goods varied was magnitude of liquid, we expected a monotonic relationship between the liquid volume and utility of offered goods to the monkey. As the animal’s optimal bid for any good is exactly equal to their utility for that good, we therefore expected a monotonic relationship between magnitude of offered juice and bids placed by the monkey. Figure 3.4a shows that over more than 15,000 bids each, monkeys show such a behaviour, with the population of bids significantly differing by the magnitude of the offered juice on a trial (‘reward offer level’), tested using a Wilcoxon signed-rank test (Bonferroni-corrected p-values &lt; 0.0001). Effect sizes for the reward level on all bids were reasonable (0.35-0.74) and are reported in table 3.1.  On a session-by-session basis, the mean bid </w:t>
      </w:r>
      <w:r>
        <w:lastRenderedPageBreak/>
        <w:t>per reward level was rank ordered in all but 3 of 305 sessions (161/163 for monkey U and 141/142 for monkey V) with the distributions of mean bid per session shown in figure 3.4b. A Wilcoxon signed-rank test showed significance in the distributions of these mean bids per session (Bonferroni-corrected p-values &lt; 0.0001) and greater effect size than for the pooled bids (0.61-0.86; table 3.4).</w:t>
      </w:r>
    </w:p>
    <w:p w14:paraId="29320029" w14:textId="77777777" w:rsidR="007A22C9" w:rsidRDefault="007A22C9" w:rsidP="007A22C9">
      <w:r>
        <w:t>We also tested whether intra-session bids we significantly different between reward levels using a Wilcoxon signed-rank test. Uncorrected p-values showed statistical significance at p &lt; 0.05 between the highest magnitude reward level and the lowest in almost all sessions completed by each monkey (0.988 for monkey U, 1.0 for monkey V; figure 3.4c) and also between the middle reward level and the lowest (0.957 for monkey U, 0.986 for monkey V). Fewer sessions showed such significant differences in the distribution of monkey bids between the highest and medium reward magnitudes for both monkeys (0.81 for monkey U, 0.852 for monkey V), an effect that can also be clearly seen in the distribution of bids in figures 3.4a and 3.4b.</w:t>
      </w:r>
    </w:p>
    <w:p w14:paraId="7E3CF12B" w14:textId="77777777" w:rsidR="007A22C9" w:rsidRDefault="007A22C9" w:rsidP="007A22C9">
      <w:r>
        <w:t xml:space="preserve">There are two explanations of this effect we find convincing. Firstly, the monkey’s bids are artificially limited: they cannot bid above the entirety of the water budget. In addition, the data for figure 3.4 we have removed trials where the monkey has bid at the bottom or the top of the budget. This limited bidding range naturally compresses the bidding space. It is possible, though unlikely, that comparing the </w:t>
      </w:r>
      <w:r>
        <w:rPr>
          <w:i/>
          <w:iCs/>
        </w:rPr>
        <w:t>true</w:t>
      </w:r>
      <w:r>
        <w:t xml:space="preserve"> (i.e. budget unlimited) distribution of bids, this effect would disappear.</w:t>
      </w:r>
    </w:p>
    <w:p w14:paraId="02FCFB61" w14:textId="77777777" w:rsidR="007A22C9" w:rsidRDefault="007A22C9" w:rsidP="007A22C9">
      <w:pPr>
        <w:rPr>
          <w:rFonts w:cs="Times New Roman"/>
        </w:rPr>
      </w:pPr>
      <w:r>
        <w:t xml:space="preserve">Secondly, this may be an effect of the marginal utility of juice. In chapter 1 we introduce the concept of the </w:t>
      </w:r>
      <w:r w:rsidRPr="00DA405F">
        <w:rPr>
          <w:rFonts w:cs="Times New Roman"/>
        </w:rPr>
        <w:t>St Petersburg</w:t>
      </w:r>
      <w:r>
        <w:rPr>
          <w:rFonts w:cs="Times New Roman"/>
        </w:rPr>
        <w:t xml:space="preserve"> paradox and its solution that an increase of monetary value (amount of juice) has a greater utility to a poor man than a rich one. For each linear increase in juice volume we offer the monkey, we might expect there to be less and less utility added to the offer</w:t>
      </w:r>
      <w:r>
        <w:rPr>
          <w:rStyle w:val="FootnoteReference"/>
          <w:rFonts w:cs="Times New Roman"/>
        </w:rPr>
        <w:footnoteReference w:id="51"/>
      </w:r>
      <w:r>
        <w:rPr>
          <w:rFonts w:cs="Times New Roman"/>
        </w:rPr>
        <w:t xml:space="preserve"> and thus a deacceleration of bids.</w:t>
      </w:r>
    </w:p>
    <w:p w14:paraId="3E447C59" w14:textId="77777777" w:rsidR="007A22C9" w:rsidRDefault="007A22C9" w:rsidP="007A22C9">
      <w:pPr>
        <w:rPr>
          <w:rFonts w:cstheme="minorHAnsi"/>
        </w:rPr>
      </w:pPr>
      <w:r>
        <w:rPr>
          <w:rFonts w:cs="Times New Roman"/>
        </w:rPr>
        <w:t xml:space="preserve">Given this non-linearity in the rise of marginal utility, we also investigated the rank-ordering of bids within single sessions using a Spearman’s rank correlation test. Spearman’s rank allows us to investigate the extent to which there is a monotonic relationship between the reward offer and the bid without assuming linearity in this relationship. In figure 3.4d we show that monkeys maintain a reasonably steady </w:t>
      </w:r>
      <w:r>
        <w:rPr>
          <w:rFonts w:cstheme="minorHAnsi"/>
        </w:rPr>
        <w:t xml:space="preserve">ρ between 0.5 and 0.75 with averages indicated by dashed lines at 0.632 (monkey U) and 0.672 (monkey V). This is slightly lower than previously reported figures </w:t>
      </w:r>
      <w:r>
        <w:rPr>
          <w:rFonts w:cstheme="minorHAnsi"/>
        </w:rPr>
        <w:fldChar w:fldCharType="begin" w:fldLock="1"/>
      </w:r>
      <w:r>
        <w:rPr>
          <w:rFonts w:cstheme="minorHAnsi"/>
        </w:rP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2019)","plainTextFormattedCitation":"(Al-Mohammad &amp; Schultz, 2019)","previouslyFormattedCitation":"(Al-Mohammad &amp; Schultz, 2019)"},"properties":{"noteIndex":0},"schema":"https://github.com/citation-style-language/schema/raw/master/csl-citation.json"}</w:instrText>
      </w:r>
      <w:r>
        <w:rPr>
          <w:rFonts w:cstheme="minorHAnsi"/>
        </w:rPr>
        <w:fldChar w:fldCharType="separate"/>
      </w:r>
      <w:r w:rsidRPr="00613495">
        <w:rPr>
          <w:rFonts w:cstheme="minorHAnsi"/>
          <w:noProof/>
        </w:rPr>
        <w:t>(Al-Mohammad &amp; Schultz, 2019)</w:t>
      </w:r>
      <w:r>
        <w:rPr>
          <w:rFonts w:cstheme="minorHAnsi"/>
        </w:rPr>
        <w:fldChar w:fldCharType="end"/>
      </w:r>
      <w:r>
        <w:rPr>
          <w:rFonts w:cstheme="minorHAnsi"/>
        </w:rPr>
        <w:t>, likely due to the behavioural effects of head-fixed recording and the reduced number of trials per session.</w:t>
      </w:r>
    </w:p>
    <w:p w14:paraId="64634071" w14:textId="77777777" w:rsidR="007A22C9" w:rsidRDefault="007A22C9" w:rsidP="007A22C9">
      <w:pPr>
        <w:rPr>
          <w:rFonts w:cstheme="minorHAnsi"/>
          <w:b/>
          <w:bCs/>
        </w:rPr>
      </w:pPr>
      <w:r>
        <w:rPr>
          <w:rFonts w:cstheme="minorHAnsi"/>
          <w:b/>
          <w:bCs/>
        </w:rPr>
        <w:t>Monkeys show two distinct patterns of bidding behaviour</w:t>
      </w:r>
    </w:p>
    <w:p w14:paraId="4EAC2549" w14:textId="77777777" w:rsidR="007A22C9" w:rsidRDefault="007A22C9" w:rsidP="007A22C9">
      <w:pPr>
        <w:rPr>
          <w:rFonts w:cstheme="minorHAnsi"/>
        </w:rPr>
      </w:pPr>
      <w:r>
        <w:rPr>
          <w:rFonts w:cstheme="minorHAnsi"/>
        </w:rPr>
        <w:t>Monkeys interact with the task via the vertical movement of a bidding indicator which is controlled by moving a joystick towards or away from them. This movement takes place entirely within the ‘bidding’ epoch of the task (figure 3.1) and can be separated into 3 separate stages:</w:t>
      </w:r>
    </w:p>
    <w:p w14:paraId="3D1F537C" w14:textId="77777777" w:rsidR="007A22C9" w:rsidRDefault="007A22C9" w:rsidP="007A22C9">
      <w:pPr>
        <w:pStyle w:val="ListParagraph"/>
        <w:numPr>
          <w:ilvl w:val="0"/>
          <w:numId w:val="19"/>
        </w:numPr>
        <w:rPr>
          <w:rFonts w:cs="Times New Roman"/>
        </w:rPr>
      </w:pPr>
      <w:r>
        <w:rPr>
          <w:rFonts w:cs="Times New Roman"/>
        </w:rPr>
        <w:t>At the start of the bidding epoch the budget bar appears, crossed by bidding indicator bar that appears at a point on the budget that is randomly drawn from a uniform distribution. The monkey must first react to the start of the epoch and the position of the bidding bar before moving the joystick. This reaction time will be variable across monkeys; in the BDM, our monkeys seem to have a reaction time at around 500ms (figure a2.1). We observe little effect of the reward level or the monkey’s bid (i.e. the utility of the offer) on the reaction time (figure a2.2 and table a2.1).</w:t>
      </w:r>
    </w:p>
    <w:p w14:paraId="75D2A073" w14:textId="77777777" w:rsidR="007A22C9" w:rsidRPr="002E7BD4" w:rsidRDefault="007A22C9" w:rsidP="007A22C9">
      <w:pPr>
        <w:pStyle w:val="ListParagraph"/>
        <w:numPr>
          <w:ilvl w:val="0"/>
          <w:numId w:val="19"/>
        </w:numPr>
        <w:rPr>
          <w:b/>
          <w:bCs/>
        </w:rPr>
      </w:pPr>
      <w:r w:rsidRPr="002E7BD4">
        <w:rPr>
          <w:rFonts w:cs="Times New Roman"/>
        </w:rPr>
        <w:t xml:space="preserve"> Monkeys then move the joystick towards or away from them to adjust their bid to the desired level. The time from the start of the epoch to this point is referred to as the “bid place time” in figure 3.5a, and this time minus the reaction time is referred to as the “time spent moving joystick” in figure 3.5b. </w:t>
      </w:r>
      <w:r>
        <w:rPr>
          <w:rFonts w:ascii="Times New Roman" w:hAnsi="Times New Roman" w:cs="Times New Roman"/>
          <w:color w:val="202124"/>
          <w:shd w:val="clear" w:color="auto" w:fill="FFFFFF"/>
        </w:rPr>
        <w:t xml:space="preserve">Both monkeys had easily enough time in the bidding phase to make bids, with  monkey U taking an average of 2254ms (standard deviation of 360ms) and monkey V taking an average of 2463ms (standard deviation of 451ms) to place bids. With roughly 500ms reaction times </w:t>
      </w:r>
      <w:r>
        <w:rPr>
          <w:rFonts w:ascii="Times New Roman" w:hAnsi="Times New Roman" w:cs="Times New Roman"/>
          <w:color w:val="202124"/>
          <w:shd w:val="clear" w:color="auto" w:fill="FFFFFF"/>
        </w:rPr>
        <w:lastRenderedPageBreak/>
        <w:t xml:space="preserve">each, monkey U spent an average of 1735ms (standard deviation of 348ms) and monkey V an average of 1930ms (standard deviation of 455ms) moving the joystick to reach their desired bid level. </w:t>
      </w:r>
    </w:p>
    <w:p w14:paraId="2C6244E7" w14:textId="77777777" w:rsidR="007A22C9" w:rsidRPr="00E02C78" w:rsidRDefault="007A22C9" w:rsidP="007A22C9">
      <w:pPr>
        <w:pStyle w:val="ListParagraph"/>
        <w:numPr>
          <w:ilvl w:val="0"/>
          <w:numId w:val="19"/>
        </w:numPr>
        <w:rPr>
          <w:b/>
          <w:bCs/>
        </w:rPr>
      </w:pPr>
      <w:r w:rsidRPr="002E7BD4">
        <w:rPr>
          <w:rFonts w:cs="Times New Roman"/>
        </w:rPr>
        <w:t>Once satisfied with their bid, monkeys must then hold the bidding bar at a constant level for either 1 second (</w:t>
      </w:r>
      <w:r>
        <w:rPr>
          <w:rFonts w:cs="Times New Roman"/>
        </w:rPr>
        <w:t>monkey U</w:t>
      </w:r>
      <w:r w:rsidRPr="002E7BD4">
        <w:rPr>
          <w:rFonts w:cs="Times New Roman"/>
        </w:rPr>
        <w:t>) or 700ms (</w:t>
      </w:r>
      <w:r>
        <w:rPr>
          <w:rFonts w:cs="Times New Roman"/>
        </w:rPr>
        <w:t>monkey V</w:t>
      </w:r>
      <w:r w:rsidRPr="002E7BD4">
        <w:rPr>
          <w:rFonts w:cs="Times New Roman"/>
        </w:rPr>
        <w:t>) before the end of the bidding epoch.</w:t>
      </w:r>
    </w:p>
    <w:p w14:paraId="50FA25C3" w14:textId="77777777" w:rsidR="007A22C9" w:rsidRDefault="007A22C9" w:rsidP="007A22C9">
      <w:r>
        <w:t>Given the random position of the starts, we had expected that the time spent moving the bidding bar by each monkey to correlate strongly with the difference between the starting bid level and the final bid made. However, in figure 3.5b its possible to see that this isn’t the whole story: there is the hint at two distributions (especially for monkey U) of joystick moving times.</w:t>
      </w:r>
    </w:p>
    <w:p w14:paraId="27878D7F" w14:textId="77777777" w:rsidR="007A22C9" w:rsidRDefault="007A22C9" w:rsidP="007A22C9">
      <w:r>
        <w:t>We investigated the bidding activity of the monkeys in figures 3.6 and 3.7 showing the time quantities plotted in figure 3.5 against two movement quantities. “Total bidding movement” refers to the gross bidding movement of the monkey, whereas “net bidding movement” refers to only the difference between the final and the starting bids. To save space, both of these values have been plotted as their modular values. For instance, if the monkey moved their bid down 10% of the total bidding range before moving their bid up 5% towards its initial starting position, the net bidding movement would be 5% while the total bidding movement would be 15%. Figure 3.6 shows the relationship between time spent bidding and bidding movements coloured by the reward level, and 3.7 shows the same relationships coloured by the final monkey bid.</w:t>
      </w:r>
    </w:p>
    <w:p w14:paraId="164C0AF2" w14:textId="77777777" w:rsidR="007A22C9" w:rsidRDefault="007A22C9" w:rsidP="007A22C9">
      <w:r>
        <w:t>For both monkeys, the time to place bid and the total bidding movement were strongly correlated as expected (linear model R</w:t>
      </w:r>
      <w:r>
        <w:rPr>
          <w:vertAlign w:val="superscript"/>
        </w:rPr>
        <w:t>2</w:t>
      </w:r>
      <w:r>
        <w:t xml:space="preserve"> of 0.60 and 0.72 for Monkeys U and V respectively, p &lt; 0.0001). The speed of the bid indicator bar is limited so to move further takes more time. However, it is also clear from the net bidding plots that there are distinct clusters of bidding activity: a ‘slower’ cluster comprised of different reward levels and final bids with little correlation between net movement and movement time, and at least one other cluster that where a relationship exists between net movement and movement time (see bottom left panels).</w:t>
      </w:r>
    </w:p>
    <w:p w14:paraId="7E4C962A" w14:textId="77777777" w:rsidR="007A22C9" w:rsidRDefault="007A22C9" w:rsidP="007A22C9">
      <w:r>
        <w:t>The coordinates from the bottom left panels are used to train a k-means clustering algorithm. Cluster number is informed using the ‘elbow-method’ using the within cluster sum of squares per number of clusters to find an inflection point where additional clusters provide little extra variance explained (figure 3.8a). Using this and our priors we settled on three clusters which are identified per monkey using a k-means algorithm (figure 3.8b). Cluster numbers have been modified to be consistent between monkeys and net bidding movement has been plotted as its true value (c.f. figures 3.6 and 3.7 where the modular value is used).</w:t>
      </w:r>
    </w:p>
    <w:p w14:paraId="5B29C88F" w14:textId="77777777" w:rsidR="007A22C9" w:rsidRDefault="007A22C9" w:rsidP="007A22C9">
      <w:r>
        <w:t>Three clear clusters can be seen per monkey. In two clusters, the monkey moves their bid quickly towards a desired value. In cluster 1 (purple) where the monkey moves the bar efficiently down the budget towards a final bid and cluster 3 (green) where the monkey does the opposite, moving a bidding bar up towards its final value. In cluster 2, the monkey does neither. The net bidding movement tends to be smaller but take longer than in the other two clusters.</w:t>
      </w:r>
    </w:p>
    <w:p w14:paraId="6D00072A" w14:textId="77777777" w:rsidR="007A22C9" w:rsidRDefault="007A22C9" w:rsidP="007A22C9">
      <w:r>
        <w:t xml:space="preserve">This mystery is resolved in plot 3.9 where the individual trials movements are shown in multiple plots arranged by reward level and starting bid decile. Movements of the bidding bar are coloured by cluster as in figure 3.8. Both monkeys show similar bidding behaviour, quickly moving the joystick down or up to final bids that are further from the initial starting bid (purple cluster 1, top left and green cluster 3, bottom right of each panel). When the starting bid of a trial is closer to the monkey’s preferred final bid however, they tend to make large movements either up (monkey U) or down (monkey V) towards the extreme of the budget bar before returning the bid to its final position near where it started. This may be because to make a bid the monkey is required to move the bidding indicator bar from its initial position. It may also be the case that, although both monkeys are able to precisely target bids when forced to (see appendix 3.1), it is easier to make larger movements than finer ones. Instead of a fiddly small adjustment of the joystick, </w:t>
      </w:r>
      <w:r>
        <w:lastRenderedPageBreak/>
        <w:t>monkeys may save frustration by making larger movements of the joystick. If so, it may be interesting for future studies to see if and how this affects the accuracy of the monkey’s bids. As previously mentioned, it may be beneficial for any further work on animals performing the BDM to gather more accurate data from fewer trials with a greater cost of misbehaviour which should punish any inaccurate behaviour.</w:t>
      </w:r>
    </w:p>
    <w:p w14:paraId="351FC1B5" w14:textId="77777777" w:rsidR="007A22C9" w:rsidRDefault="007A22C9" w:rsidP="007A22C9">
      <w:r>
        <w:t xml:space="preserve">Figure 3.9 also shows the mean monkey bid per reward level (dotted line) and per reward level and starting bid tenth (dashed line). The effect of the starting bid on the monkey’s bid for an offered reward can be seen in the deviation of these two lines across different deciles of starting bid. This relationship is further explored in figure 3.10 where a clear effect of the bid starting at the monkey’s mean bid (dashed line) for a reward level can be seen. There is a discontinuity of monkey’s final bids at the point where the starting bid is roughly equal to the population mean of a monkey’s final bid for a given juice reward. In figure 3.10b) its possible to see how monkeys go from slightly bidding above their mean bid for an offered reward at the starting bid decile below this mean bid, to slightly underbidding as the starting bid is raised into the next decile. </w:t>
      </w:r>
    </w:p>
    <w:p w14:paraId="1E570284" w14:textId="77777777" w:rsidR="007A22C9" w:rsidRDefault="007A22C9" w:rsidP="007A22C9">
      <w:r>
        <w:t xml:space="preserve">We might have expected the inverse relationship to this (that monkeys bid higher when the starting bid is high and vice versa) given the potential effort costs of moving the joystick to change the cursor position </w:t>
      </w:r>
      <w:r>
        <w:fldChar w:fldCharType="begin" w:fldLock="1"/>
      </w:r>
      <w:r>
        <w:instrText>ADDIN CSL_CITATION {"citationItems":[{"id":"ITEM-1","itemData":{"author":[{"dropping-particle":"","family":"Burrell","given":"M. H.","non-dropping-particle":"","parse-names":false,"suffix":""}],"container-title":"Doctoral Thesis","id":"ITEM-1","issued":{"date-parts":[["2019"]]},"title":"Measuring the Subjective Value of Effort in Behaviour and Midbrain Dopamine Neurons","type":"article-journal"},"uris":["http://www.mendeley.com/documents/?uuid=8e337618-e55b-4939-b403-7857db14c40f"]}],"mendeley":{"formattedCitation":"(Burrell, 2019)","plainTextFormattedCitation":"(Burrell, 2019)","previouslyFormattedCitation":"(Burrell, 2019)"},"properties":{"noteIndex":0},"schema":"https://github.com/citation-style-language/schema/raw/master/csl-citation.json"}</w:instrText>
      </w:r>
      <w:r>
        <w:fldChar w:fldCharType="separate"/>
      </w:r>
      <w:r w:rsidRPr="001D507C">
        <w:rPr>
          <w:noProof/>
        </w:rPr>
        <w:t>(Burrell, 2019)</w:t>
      </w:r>
      <w:r>
        <w:fldChar w:fldCharType="end"/>
      </w:r>
      <w:r>
        <w:t>. It seems in this project that the speed of movement possible and the lack of resistance on the joystick seems to have negated this; the bidding itself requires little effort from the monkeys.</w:t>
      </w:r>
    </w:p>
    <w:p w14:paraId="0B08398E" w14:textId="77777777" w:rsidR="007A22C9" w:rsidRDefault="007A22C9" w:rsidP="007A22C9">
      <w:pPr>
        <w:rPr>
          <w:b/>
          <w:bCs/>
        </w:rPr>
      </w:pPr>
      <w:r>
        <w:rPr>
          <w:b/>
          <w:bCs/>
        </w:rPr>
        <w:t>Modelling monkey’s final bids</w:t>
      </w:r>
    </w:p>
    <w:p w14:paraId="5594A785" w14:textId="77777777" w:rsidR="007A22C9" w:rsidRDefault="007A22C9" w:rsidP="007A22C9">
      <w:r>
        <w:t>Given that both the reward level offered, and the initial location of the bidding bar affect the monkey’s final bid, we wanted to quantify the relative effect sizes of these and of other variables of importance. In total we selected 5 variables that were assumed to have relevance for a monkeys bids, the reward level and the starting bid, along with the total liquid (water and juice) in ml that each monkey had received up until a trial on any day, the randomly drawn computer bid on the previous trial, and whether or not the monkey won the previous trial. The distributions of each of these variables, colour by reward level) is shown in figure 3.11 where no variables show a strong co-varying relationship other than the computer bid and result of the previous trial.</w:t>
      </w:r>
    </w:p>
    <w:p w14:paraId="42EB763A" w14:textId="77777777" w:rsidR="007A22C9" w:rsidRDefault="007A22C9" w:rsidP="007A22C9">
      <w:r>
        <w:t>To regress these variables against the monkey’s bid on any trial, a beta distribution regression was carried out with the form:</w:t>
      </w:r>
    </w:p>
    <w:p w14:paraId="5E2371E6" w14:textId="77777777" w:rsidR="007A22C9" w:rsidRDefault="007A22C9" w:rsidP="007A22C9">
      <w:pPr>
        <w:pStyle w:val="Caption"/>
        <w:keepNext/>
      </w:pPr>
      <w:r>
        <w:t>Equation 3.</w:t>
      </w:r>
      <w:r>
        <w:fldChar w:fldCharType="begin"/>
      </w:r>
      <w:r>
        <w:instrText xml:space="preserve"> SEQ Equation \* ARABIC </w:instrText>
      </w:r>
      <w:r>
        <w:fldChar w:fldCharType="separate"/>
      </w:r>
      <w:r>
        <w:rPr>
          <w:noProof/>
        </w:rPr>
        <w:t>2</w:t>
      </w:r>
      <w:r>
        <w:rPr>
          <w:noProof/>
        </w:rPr>
        <w:fldChar w:fldCharType="end"/>
      </w:r>
    </w:p>
    <w:p w14:paraId="10D574CD" w14:textId="77777777" w:rsidR="007A22C9" w:rsidRPr="00764A61" w:rsidRDefault="007A22C9" w:rsidP="007A22C9">
      <w:pPr>
        <w:ind w:left="360"/>
        <w:rPr>
          <w:i/>
        </w:rPr>
      </w:pPr>
      <m:oMathPara>
        <m:oMath>
          <m:r>
            <w:rPr>
              <w:rFonts w:ascii="Cambria Math" w:hAnsi="Cambria Math"/>
            </w:rPr>
            <m:t xml:space="preserve">monkey's bid | monkey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(reward level) +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(starting bid)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(total liquid) +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 xml:space="preserve">(last trial computer bid) +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(last trial monkey win) + ε</m:t>
          </m:r>
        </m:oMath>
      </m:oMathPara>
    </w:p>
    <w:p w14:paraId="67EE93B1" w14:textId="77777777" w:rsidR="007A22C9" w:rsidRDefault="007A22C9" w:rsidP="007A22C9">
      <w:r>
        <w:t>A b</w:t>
      </w:r>
      <w:r w:rsidRPr="00AA566A">
        <w:t xml:space="preserve">eta </w:t>
      </w:r>
      <w:r>
        <w:t xml:space="preserve">regression model was chosen as the monkey’s bids fall in the range </w:t>
      </w:r>
      <m:oMath>
        <m:r>
          <w:rPr>
            <w:rFonts w:ascii="Cambria Math" w:hAnsi="Cambria Math"/>
          </w:rPr>
          <m:t>(0,1)</m:t>
        </m:r>
      </m:oMath>
      <w:r>
        <w:t>. To confirm the choice of model, we also fitted a range of distributions to the monkey’s bids, which showed a beta distribution fit to have the lowest Akaike information criteria (AIC) and largest log likelihood. Tables for the tests of distributions are shown in figure 3.11c and the parameters for the optimal fitted beta distribution are shown in figure3.11d. In figures 3.12a-c the empirically observed monkey bids and compared to these fitted beta distributions for each monkey. Quantile-quantile (Q-Q), CDF distribution, and theoretical vs actual proportion (P-P) plots are shown for both of these models. In each model, but especially for monkey V, observed points show a clear relationship with the theoretical predicted points, strongly suggesting that these beta distributions capture some of the pattern of bidding, and that a beta regression is a rational statistical choice.</w:t>
      </w:r>
    </w:p>
    <w:p w14:paraId="46A4E87C" w14:textId="77777777" w:rsidR="007A22C9" w:rsidRDefault="007A22C9" w:rsidP="007A22C9">
      <w:r>
        <w:t xml:space="preserve">Before performing regressions, all variables except monkey bid (which is naturally constrained to the range </w:t>
      </w:r>
      <m:oMath>
        <m:r>
          <w:rPr>
            <w:rFonts w:ascii="Cambria Math" w:hAnsi="Cambria Math"/>
          </w:rPr>
          <m:t>(0,1)</m:t>
        </m:r>
      </m:oMath>
      <w:r>
        <w:t>) were rescaled using the formula</w:t>
      </w:r>
    </w:p>
    <w:p w14:paraId="3F77A833" w14:textId="77777777" w:rsidR="007A22C9" w:rsidRDefault="007A22C9" w:rsidP="007A22C9">
      <w:pPr>
        <w:pStyle w:val="Caption"/>
        <w:keepNext/>
      </w:pPr>
      <w:r>
        <w:lastRenderedPageBreak/>
        <w:t xml:space="preserve">Equation </w:t>
      </w:r>
      <w:r>
        <w:fldChar w:fldCharType="begin"/>
      </w:r>
      <w:r>
        <w:instrText xml:space="preserve"> SEQ Equation \* ARABIC </w:instrText>
      </w:r>
      <w:r>
        <w:fldChar w:fldCharType="separate"/>
      </w:r>
      <w:r>
        <w:rPr>
          <w:noProof/>
        </w:rPr>
        <w:t>3</w:t>
      </w:r>
      <w:r>
        <w:rPr>
          <w:noProof/>
        </w:rPr>
        <w:fldChar w:fldCharType="end"/>
      </w:r>
      <w:r>
        <w:t>.3</w:t>
      </w:r>
    </w:p>
    <w:p w14:paraId="6C7C8D7B" w14:textId="77777777" w:rsidR="007A22C9" w:rsidRPr="007E506C" w:rsidRDefault="007A22C9" w:rsidP="007A22C9">
      <w:pPr>
        <w:ind w:left="360"/>
        <w:rPr>
          <w:rFonts w:eastAsiaTheme="minorEastAsia"/>
          <w:i/>
        </w:rPr>
      </w:pPr>
      <m:oMathPara>
        <m:oMath>
          <m:r>
            <w:rPr>
              <w:rFonts w:ascii="Cambria Math" w:hAnsi="Cambria Math"/>
            </w:rPr>
            <m:t>A = (a-</m:t>
          </m:r>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 / (</m:t>
          </m:r>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m:t>
          </m:r>
        </m:oMath>
      </m:oMathPara>
    </w:p>
    <w:p w14:paraId="014CA98A" w14:textId="77777777" w:rsidR="007A22C9" w:rsidRDefault="007A22C9" w:rsidP="007A22C9">
      <w:pPr>
        <w:rPr>
          <w:iCs/>
        </w:rPr>
      </w:pPr>
      <w:r>
        <w:rPr>
          <w:iCs/>
        </w:rPr>
        <w:t xml:space="preserve">Where a variable a is transformed into the rescaled variable A. </w:t>
      </w:r>
    </w:p>
    <w:p w14:paraId="7510BE5D" w14:textId="77777777" w:rsidR="007A22C9" w:rsidRDefault="007A22C9" w:rsidP="007A22C9">
      <w:pPr>
        <w:rPr>
          <w:iCs/>
        </w:rPr>
      </w:pPr>
      <w:r>
        <w:rPr>
          <w:iCs/>
        </w:rPr>
        <w:t xml:space="preserve">All beta regressions carried out used a log link-function. Our main focus in this chapter is to show the relative influence of various features of the data rather than their absolute predicted effect. Therefore we do not provide the absolute effects of a change by 1 unit of any unscaled feature </w:t>
      </w:r>
      <m:oMath>
        <m:r>
          <m:rPr>
            <m:sty m:val="b"/>
          </m:rPr>
          <w:rPr>
            <w:rFonts w:ascii="Cambria Math" w:hAnsi="Cambria Math"/>
          </w:rPr>
          <m:t>a</m:t>
        </m:r>
      </m:oMath>
      <w:r>
        <w:rPr>
          <w:iCs/>
        </w:rPr>
        <w:t>, though this can be calculated thus:</w:t>
      </w:r>
    </w:p>
    <w:p w14:paraId="1E63EE93" w14:textId="77777777" w:rsidR="007A22C9" w:rsidRDefault="007A22C9" w:rsidP="007A22C9">
      <w:pPr>
        <w:pStyle w:val="Caption"/>
        <w:keepNext/>
      </w:pPr>
      <w:r>
        <w:t xml:space="preserve">Equation3. </w:t>
      </w:r>
      <w:r>
        <w:fldChar w:fldCharType="begin"/>
      </w:r>
      <w:r>
        <w:instrText xml:space="preserve"> SEQ Equation \* ARABIC </w:instrText>
      </w:r>
      <w:r>
        <w:fldChar w:fldCharType="separate"/>
      </w:r>
      <w:r>
        <w:rPr>
          <w:noProof/>
        </w:rPr>
        <w:t>4</w:t>
      </w:r>
      <w:r>
        <w:rPr>
          <w:noProof/>
        </w:rPr>
        <w:fldChar w:fldCharType="end"/>
      </w:r>
    </w:p>
    <w:p w14:paraId="7AC434EC" w14:textId="77777777" w:rsidR="007A22C9" w:rsidRPr="001476BC" w:rsidRDefault="007A22C9" w:rsidP="007A22C9">
      <w:pPr>
        <w:ind w:left="360"/>
        <w:rPr>
          <w:iCs/>
        </w:rPr>
      </w:pPr>
      <m:oMathPara>
        <m:oMath>
          <m:r>
            <w:rPr>
              <w:rFonts w:ascii="Cambria Math" w:hAnsi="Cambria Math"/>
            </w:rPr>
            <m:t>Δ</m:t>
          </m:r>
          <m:acc>
            <m:accPr>
              <m:ctrlPr>
                <w:rPr>
                  <w:rFonts w:ascii="Cambria Math" w:hAnsi="Cambria Math"/>
                  <w:i/>
                  <w:iCs/>
                </w:rPr>
              </m:ctrlPr>
            </m:accPr>
            <m:e>
              <m:r>
                <w:rPr>
                  <w:rFonts w:ascii="Cambria Math" w:hAnsi="Cambria Math"/>
                </w:rPr>
                <m:t>y</m:t>
              </m:r>
            </m:e>
          </m:acc>
          <m:r>
            <w:rPr>
              <w:rFonts w:ascii="Cambria Math" w:hAnsi="Cambria Math"/>
            </w:rPr>
            <m:t xml:space="preserve">= </m:t>
          </m:r>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i/>
                          <w:iCs/>
                        </w:rPr>
                      </m:ctrlPr>
                    </m:sSubPr>
                    <m:e>
                      <m:r>
                        <w:rPr>
                          <w:rFonts w:ascii="Cambria Math" w:hAnsi="Cambria Math"/>
                        </w:rPr>
                        <m:t>β</m:t>
                      </m:r>
                    </m:e>
                    <m:sub>
                      <m:r>
                        <w:rPr>
                          <w:rFonts w:ascii="Cambria Math" w:hAnsi="Cambria Math"/>
                        </w:rPr>
                        <m:t>a</m:t>
                      </m:r>
                    </m:sub>
                  </m:sSub>
                  <m:r>
                    <w:rPr>
                      <w:rFonts w:ascii="Cambria Math" w:hAnsi="Cambria Math"/>
                    </w:rPr>
                    <m:t>)</m:t>
                  </m:r>
                </m:sup>
              </m:sSup>
            </m:num>
            <m:den>
              <m:r>
                <w:rPr>
                  <w:rFonts w:ascii="Cambria Math" w:hAnsi="Cambria Math"/>
                </w:rPr>
                <m:t xml:space="preserve">1 + </m:t>
              </m:r>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i/>
                          <w:iCs/>
                        </w:rPr>
                      </m:ctrlPr>
                    </m:sSubPr>
                    <m:e>
                      <m:r>
                        <w:rPr>
                          <w:rFonts w:ascii="Cambria Math" w:hAnsi="Cambria Math"/>
                        </w:rPr>
                        <m:t>β</m:t>
                      </m:r>
                    </m:e>
                    <m:sub>
                      <m:r>
                        <w:rPr>
                          <w:rFonts w:ascii="Cambria Math" w:hAnsi="Cambria Math"/>
                        </w:rPr>
                        <m:t>a</m:t>
                      </m:r>
                    </m:sub>
                  </m:sSub>
                  <m:r>
                    <w:rPr>
                      <w:rFonts w:ascii="Cambria Math" w:hAnsi="Cambria Math"/>
                    </w:rPr>
                    <m:t>)</m:t>
                  </m:r>
                </m:sup>
              </m:sSup>
              <m:r>
                <w:rPr>
                  <w:rFonts w:ascii="Cambria Math" w:hAnsi="Cambria Math"/>
                </w:rPr>
                <m:t xml:space="preserve"> </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β</m:t>
                      </m:r>
                    </m:e>
                    <m:sub>
                      <m:r>
                        <w:rPr>
                          <w:rFonts w:ascii="Cambria Math" w:hAnsi="Cambria Math"/>
                        </w:rPr>
                        <m:t>0</m:t>
                      </m:r>
                    </m:sub>
                  </m:sSub>
                </m:sup>
              </m:sSup>
            </m:num>
            <m:den>
              <m:r>
                <w:rPr>
                  <w:rFonts w:ascii="Cambria Math" w:hAnsi="Cambria Math"/>
                </w:rPr>
                <m:t xml:space="preserve">1 + </m:t>
              </m:r>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β</m:t>
                      </m:r>
                    </m:e>
                    <m:sub>
                      <m:r>
                        <w:rPr>
                          <w:rFonts w:ascii="Cambria Math" w:hAnsi="Cambria Math"/>
                        </w:rPr>
                        <m:t>0</m:t>
                      </m:r>
                    </m:sub>
                  </m:sSub>
                </m:sup>
              </m:sSup>
            </m:den>
          </m:f>
        </m:oMath>
      </m:oMathPara>
    </w:p>
    <w:p w14:paraId="542F326D" w14:textId="77777777" w:rsidR="007A22C9" w:rsidRDefault="007A22C9" w:rsidP="007A22C9">
      <w:r>
        <w:t>The two beta regressions produced by equation 3.2 are plotted in figure 3.13a (monkey U McFadden pseudo-R</w:t>
      </w:r>
      <w:r>
        <w:rPr>
          <w:vertAlign w:val="superscript"/>
        </w:rPr>
        <w:t>2</w:t>
      </w:r>
      <w:r>
        <w:t xml:space="preserve"> = 0.316; monkey V McFadden pseudo-R</w:t>
      </w:r>
      <w:r>
        <w:rPr>
          <w:vertAlign w:val="superscript"/>
        </w:rPr>
        <w:t xml:space="preserve">2 </w:t>
      </w:r>
      <w:r>
        <w:t>= 0.374) showing the dominant effect of the reward level offered on the monkey’s bid (</w:t>
      </w:r>
      <w:r>
        <w:rPr>
          <w:rFonts w:eastAsiaTheme="minorEastAsia"/>
        </w:rPr>
        <w:t xml:space="preserve">monkey U: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rPr>
        <w:t xml:space="preserve"> = 1.49</w:t>
      </w:r>
      <w:r w:rsidRPr="00C355BA">
        <w:rPr>
          <w:rFonts w:cstheme="minorHAnsi"/>
          <w:shd w:val="clear" w:color="auto" w:fill="FFFFFF"/>
        </w:rPr>
        <w:t>±</w:t>
      </w:r>
      <w:r>
        <w:rPr>
          <w:rFonts w:cstheme="minorHAnsi"/>
          <w:shd w:val="clear" w:color="auto" w:fill="FFFFFF"/>
        </w:rPr>
        <w:t>0.019</w:t>
      </w:r>
      <w:r>
        <w:rPr>
          <w:rFonts w:eastAsiaTheme="minorEastAsia"/>
        </w:rPr>
        <w:t xml:space="preserve">, Z-score = 77.5, p &lt; </w:t>
      </w:r>
      <w:r>
        <w:t xml:space="preserve">0.0001; monkey V: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rPr>
        <w:t xml:space="preserve"> </w:t>
      </w:r>
      <w:r w:rsidRPr="00C355BA">
        <w:rPr>
          <w:rFonts w:eastAsiaTheme="minorEastAsia" w:cstheme="minorHAnsi"/>
        </w:rPr>
        <w:t>= 1.72</w:t>
      </w:r>
      <w:r w:rsidRPr="00C355BA">
        <w:rPr>
          <w:rFonts w:cstheme="minorHAnsi"/>
          <w:shd w:val="clear" w:color="auto" w:fill="FFFFFF"/>
        </w:rPr>
        <w:t>±0.018</w:t>
      </w:r>
      <w:r w:rsidRPr="00C355BA">
        <w:rPr>
          <w:rFonts w:eastAsiaTheme="minorEastAsia" w:cstheme="minorHAnsi"/>
        </w:rPr>
        <w:t>, Z-score</w:t>
      </w:r>
      <w:r>
        <w:rPr>
          <w:rFonts w:eastAsiaTheme="minorEastAsia"/>
        </w:rPr>
        <w:t xml:space="preserve"> = 97.7, p &lt; </w:t>
      </w:r>
      <w:r>
        <w:t>0.0001). This is to be expected given the results already presented in figure 3.4. For both monkeys, the higher the reward level (i.e. the magnitude of juice offered), the greater the expected bid</w:t>
      </w:r>
      <w:r>
        <w:rPr>
          <w:rStyle w:val="FootnoteReference"/>
        </w:rPr>
        <w:footnoteReference w:id="52"/>
      </w:r>
      <w:r>
        <w:t xml:space="preserve">. </w:t>
      </w:r>
    </w:p>
    <w:p w14:paraId="31AE60A2" w14:textId="77777777" w:rsidR="007A22C9" w:rsidRDefault="007A22C9" w:rsidP="007A22C9">
      <w:r>
        <w:t>Both monkeys also show a negative coefficient for the starting bid position (</w:t>
      </w:r>
      <w:r>
        <w:rPr>
          <w:rFonts w:eastAsiaTheme="minorEastAsia"/>
        </w:rPr>
        <w:t xml:space="preserve">monkey U: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Pr>
          <w:rFonts w:eastAsiaTheme="minorEastAsia"/>
        </w:rPr>
        <w:t xml:space="preserve"> = -0.074</w:t>
      </w:r>
      <w:r w:rsidRPr="00C355BA">
        <w:rPr>
          <w:rFonts w:cstheme="minorHAnsi"/>
          <w:shd w:val="clear" w:color="auto" w:fill="FFFFFF"/>
        </w:rPr>
        <w:t>±</w:t>
      </w:r>
      <w:r>
        <w:rPr>
          <w:rFonts w:cstheme="minorHAnsi"/>
          <w:shd w:val="clear" w:color="auto" w:fill="FFFFFF"/>
        </w:rPr>
        <w:t>0.025</w:t>
      </w:r>
      <w:r>
        <w:rPr>
          <w:rFonts w:eastAsiaTheme="minorEastAsia"/>
        </w:rPr>
        <w:t>, Z-score = -3.0, p = 0.0029</w:t>
      </w:r>
      <w:r>
        <w:t xml:space="preserve">; monkey V: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Pr>
          <w:rFonts w:eastAsiaTheme="minorEastAsia"/>
        </w:rPr>
        <w:t xml:space="preserve"> </w:t>
      </w:r>
      <w:r w:rsidRPr="00C355BA">
        <w:rPr>
          <w:rFonts w:eastAsiaTheme="minorEastAsia" w:cstheme="minorHAnsi"/>
        </w:rPr>
        <w:t xml:space="preserve">= </w:t>
      </w:r>
      <w:r>
        <w:rPr>
          <w:rFonts w:eastAsiaTheme="minorEastAsia" w:cstheme="minorHAnsi"/>
        </w:rPr>
        <w:t>-0.326</w:t>
      </w:r>
      <w:r w:rsidRPr="00C355BA">
        <w:rPr>
          <w:rFonts w:cstheme="minorHAnsi"/>
          <w:shd w:val="clear" w:color="auto" w:fill="FFFFFF"/>
        </w:rPr>
        <w:t>±0.0</w:t>
      </w:r>
      <w:r>
        <w:rPr>
          <w:rFonts w:cstheme="minorHAnsi"/>
          <w:shd w:val="clear" w:color="auto" w:fill="FFFFFF"/>
        </w:rPr>
        <w:t>24</w:t>
      </w:r>
      <w:r w:rsidRPr="00C355BA">
        <w:rPr>
          <w:rFonts w:eastAsiaTheme="minorEastAsia" w:cstheme="minorHAnsi"/>
        </w:rPr>
        <w:t>, Z-score</w:t>
      </w:r>
      <w:r>
        <w:rPr>
          <w:rFonts w:eastAsiaTheme="minorEastAsia"/>
        </w:rPr>
        <w:t xml:space="preserve"> = -13.9, p &lt; </w:t>
      </w:r>
      <w:r>
        <w:t>0.0001) indicating that when the starting bid was higher, the monkey’s final bid tended to be lower. We discussed the reasons for counterintuitive finding in the previous section and in figures 3.5-3.10.</w:t>
      </w:r>
    </w:p>
    <w:p w14:paraId="09BDE2F3" w14:textId="77777777" w:rsidR="007A22C9" w:rsidRDefault="007A22C9" w:rsidP="007A22C9">
      <w:r>
        <w:t>The results of the last trial had a subtle but statistically significant effect for both monkeys with the randomly drawn computer bid on the last trial (</w:t>
      </w:r>
      <w:r>
        <w:rPr>
          <w:rFonts w:eastAsiaTheme="minorEastAsia"/>
        </w:rPr>
        <w:t xml:space="preserve">monkey U: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Pr>
          <w:rFonts w:eastAsiaTheme="minorEastAsia"/>
        </w:rPr>
        <w:t xml:space="preserve"> = 0.235</w:t>
      </w:r>
      <w:r w:rsidRPr="00C355BA">
        <w:rPr>
          <w:rFonts w:cstheme="minorHAnsi"/>
          <w:shd w:val="clear" w:color="auto" w:fill="FFFFFF"/>
        </w:rPr>
        <w:t>±</w:t>
      </w:r>
      <w:r>
        <w:rPr>
          <w:rFonts w:cstheme="minorHAnsi"/>
          <w:shd w:val="clear" w:color="auto" w:fill="FFFFFF"/>
        </w:rPr>
        <w:t>0.031</w:t>
      </w:r>
      <w:r>
        <w:rPr>
          <w:rFonts w:eastAsiaTheme="minorEastAsia"/>
        </w:rPr>
        <w:t>, Z-score = 7.7, p &lt; 0.0001</w:t>
      </w:r>
      <w:r>
        <w:t xml:space="preserve">; monkey V: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Pr>
          <w:rFonts w:eastAsiaTheme="minorEastAsia"/>
        </w:rPr>
        <w:t xml:space="preserve"> </w:t>
      </w:r>
      <w:r w:rsidRPr="00C355BA">
        <w:rPr>
          <w:rFonts w:eastAsiaTheme="minorEastAsia" w:cstheme="minorHAnsi"/>
        </w:rPr>
        <w:t>=</w:t>
      </w:r>
      <w:r>
        <w:rPr>
          <w:rFonts w:eastAsiaTheme="minorEastAsia" w:cstheme="minorHAnsi"/>
        </w:rPr>
        <w:t xml:space="preserve"> 0.144</w:t>
      </w:r>
      <w:r w:rsidRPr="00C355BA">
        <w:rPr>
          <w:rFonts w:cstheme="minorHAnsi"/>
          <w:shd w:val="clear" w:color="auto" w:fill="FFFFFF"/>
        </w:rPr>
        <w:t>±</w:t>
      </w:r>
      <w:r>
        <w:rPr>
          <w:rFonts w:cstheme="minorHAnsi"/>
          <w:shd w:val="clear" w:color="auto" w:fill="FFFFFF"/>
        </w:rPr>
        <w:t>0.031</w:t>
      </w:r>
      <w:r w:rsidRPr="00C355BA">
        <w:rPr>
          <w:rFonts w:eastAsiaTheme="minorEastAsia" w:cstheme="minorHAnsi"/>
        </w:rPr>
        <w:t>, Z-score</w:t>
      </w:r>
      <w:r>
        <w:rPr>
          <w:rFonts w:eastAsiaTheme="minorEastAsia"/>
        </w:rPr>
        <w:t xml:space="preserve"> = 4.7, p &lt; 0.0001 </w:t>
      </w:r>
      <w:r>
        <w:t>) and if the monkey won the last trial (</w:t>
      </w:r>
      <w:r>
        <w:rPr>
          <w:rFonts w:eastAsiaTheme="minorEastAsia"/>
        </w:rPr>
        <w:t xml:space="preserve">monkey U: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Pr>
          <w:rFonts w:eastAsiaTheme="minorEastAsia"/>
        </w:rPr>
        <w:t>= 0.189</w:t>
      </w:r>
      <w:r w:rsidRPr="00C355BA">
        <w:rPr>
          <w:rFonts w:cstheme="minorHAnsi"/>
          <w:shd w:val="clear" w:color="auto" w:fill="FFFFFF"/>
        </w:rPr>
        <w:t>±</w:t>
      </w:r>
      <w:r>
        <w:rPr>
          <w:rFonts w:cstheme="minorHAnsi"/>
          <w:shd w:val="clear" w:color="auto" w:fill="FFFFFF"/>
        </w:rPr>
        <w:t>0.017</w:t>
      </w:r>
      <w:r>
        <w:rPr>
          <w:rFonts w:eastAsiaTheme="minorEastAsia"/>
        </w:rPr>
        <w:t xml:space="preserve">, Z-score = 10.9, p &lt; 0.0001 </w:t>
      </w:r>
      <w:r>
        <w:t xml:space="preserve">; monkey V: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Pr>
          <w:rFonts w:eastAsiaTheme="minorEastAsia"/>
        </w:rPr>
        <w:t xml:space="preserve"> </w:t>
      </w:r>
      <w:r w:rsidRPr="00C355BA">
        <w:rPr>
          <w:rFonts w:eastAsiaTheme="minorEastAsia" w:cstheme="minorHAnsi"/>
        </w:rPr>
        <w:t>=</w:t>
      </w:r>
      <w:r>
        <w:rPr>
          <w:rFonts w:eastAsiaTheme="minorEastAsia" w:cstheme="minorHAnsi"/>
        </w:rPr>
        <w:t xml:space="preserve"> 0.094</w:t>
      </w:r>
      <w:r w:rsidRPr="00C355BA">
        <w:rPr>
          <w:rFonts w:cstheme="minorHAnsi"/>
          <w:shd w:val="clear" w:color="auto" w:fill="FFFFFF"/>
        </w:rPr>
        <w:t>±</w:t>
      </w:r>
      <w:r>
        <w:rPr>
          <w:rFonts w:cstheme="minorHAnsi"/>
          <w:shd w:val="clear" w:color="auto" w:fill="FFFFFF"/>
        </w:rPr>
        <w:t>0.018</w:t>
      </w:r>
      <w:r w:rsidRPr="00C355BA">
        <w:rPr>
          <w:rFonts w:eastAsiaTheme="minorEastAsia" w:cstheme="minorHAnsi"/>
        </w:rPr>
        <w:t>, Z-score</w:t>
      </w:r>
      <w:r>
        <w:rPr>
          <w:rFonts w:eastAsiaTheme="minorEastAsia"/>
        </w:rPr>
        <w:t xml:space="preserve"> = 5.3, p &lt; 0.0001 </w:t>
      </w:r>
      <w:r>
        <w:t xml:space="preserve">) tending to cause an increase in subsequent bid. The intuition behind the former effect is simple: a high randomly drawn bid might signal to the monkey that the distribution of bids it is facing has changed, especially if there have been multiple above average opposing bids in the recent past. Outside of the laboratory setting, opponent’s bids within an auction signal information about the true worth of an auctioned good </w:t>
      </w:r>
      <w:r>
        <w:fldChar w:fldCharType="begin" w:fldLock="1"/>
      </w:r>
      <w: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J.","non-dropping-particle":"","parse-names":false,"suffix":""}],"container-title":"Econometrica","id":"ITEM-1","issue":"5","issued":{"date-parts":[["1982"]]},"page":"1089-1122","title":"A Theory of Auctions and Competitive Bidding","type":"article-journal","volume":"50"},"uris":["http://www.mendeley.com/documents/?uuid=8903396c-902b-4159-bd65-b9839cd2de96"]}],"mendeley":{"formattedCitation":"(Milgrom &amp; Weber, 1982)","plainTextFormattedCitation":"(Milgrom &amp; Weber, 1982)","previouslyFormattedCitation":"(Milgrom &amp; Weber, 1982)"},"properties":{"noteIndex":0},"schema":"https://github.com/citation-style-language/schema/raw/master/csl-citation.json"}</w:instrText>
      </w:r>
      <w:r>
        <w:fldChar w:fldCharType="separate"/>
      </w:r>
      <w:r w:rsidRPr="004B40C2">
        <w:rPr>
          <w:noProof/>
        </w:rPr>
        <w:t>(Milgrom &amp; Weber, 1982)</w:t>
      </w:r>
      <w:r>
        <w:fldChar w:fldCharType="end"/>
      </w:r>
      <w:r>
        <w:t>; we review the literature on how a rational participant should incorporate other bidder’s values in appendix 1.1.</w:t>
      </w:r>
    </w:p>
    <w:p w14:paraId="54B82B50" w14:textId="77777777" w:rsidR="007A22C9" w:rsidRDefault="007A22C9" w:rsidP="007A22C9">
      <w:r>
        <w:t xml:space="preserve">That the monkeys tending to bid higher than otherwise expected if they won the last trial is more difficult to rationalise. We might have expected the reverse phenomena to occur, that monkeys who win an auction trial would </w:t>
      </w:r>
      <w:r>
        <w:rPr>
          <w:i/>
          <w:iCs/>
        </w:rPr>
        <w:t>decrease</w:t>
      </w:r>
      <w:r>
        <w:t xml:space="preserve"> their subsequent bid in line with findings about ‘hot hand’ effects in psychology </w:t>
      </w:r>
      <w:r>
        <w:fldChar w:fldCharType="begin" w:fldLock="1"/>
      </w:r>
      <w:r>
        <w:instrText>ADDIN CSL_CITATION {"citationItems":[{"id":"ITEM-1","itemData":{"author":[{"dropping-particle":"","family":"Gilovich","given":"Thomas","non-dropping-particle":"","parse-names":false,"suffix":""},{"dropping-particle":"","family":"Vallone","given":"Robert","non-dropping-particle":"","parse-names":false,"suffix":""},{"dropping-particle":"","family":"Tversky","given":"Amos","non-dropping-particle":"","parse-names":false,"suffix":""}],"container-title":"Cognitve Psychology","id":"ITEM-1","issued":{"date-parts":[["1985"]]},"page":"295-314","title":"The Hot Hand in Basketball: On the Misperception of Random Sequences","type":"article-journal","volume":"17"},"uris":["http://www.mendeley.com/documents/?uuid=9a86dfc6-676f-4ca5-9aed-2c3818fdd833"]}],"mendeley":{"formattedCitation":"(Gilovich et al., 1985)","plainTextFormattedCitation":"(Gilovich et al., 1985)","previouslyFormattedCitation":"(Gilovich et al., 1985)"},"properties":{"noteIndex":0},"schema":"https://github.com/citation-style-language/schema/raw/master/csl-citation.json"}</w:instrText>
      </w:r>
      <w:r>
        <w:fldChar w:fldCharType="separate"/>
      </w:r>
      <w:r w:rsidRPr="004B40C2">
        <w:rPr>
          <w:noProof/>
        </w:rPr>
        <w:t>(Gilovich et al., 1985)</w:t>
      </w:r>
      <w:r>
        <w:fldChar w:fldCharType="end"/>
      </w:r>
      <w:r>
        <w:t xml:space="preserve">. This effect observes that people who succeed at a task with certain, relatively fixed, probability believe that they will then have a greater chance of succeeding in the subsequent attempt (e.g. sportsmen who make a difficult shot will believe they will also make the next, similarly difficult, shot they make), even when attempts are independent. Participants in first-price auctions might believe that they have a higher chance of winning subsequent auctions and thus shade their bid to lower costs incurred in </w:t>
      </w:r>
      <w:r>
        <w:lastRenderedPageBreak/>
        <w:t>the event of a win. In theory the BDM has no such advantage as the dominant strategy is always to bid one’s true value (see chapter 2).</w:t>
      </w:r>
    </w:p>
    <w:p w14:paraId="38628E41" w14:textId="77777777" w:rsidR="007A22C9" w:rsidRDefault="007A22C9" w:rsidP="007A22C9">
      <w:r>
        <w:t>When regressions are performed grouped by monkey and date (figure3.13b and figure 3.13c), the dominance of the reward level on bid is clear is to see. Data is smoothed to the mean coefficient estimate of the last 5 sessions in figure 3.13c where reward juice offer is clearly separable from other variables of interest. This parameter had the greatest positive coefficient in 137/163 sessions for monkey U and 111/142 sessions for monkey V.</w:t>
      </w:r>
    </w:p>
    <w:p w14:paraId="37F8268F" w14:textId="77777777" w:rsidR="007A22C9" w:rsidRDefault="007A22C9" w:rsidP="007A22C9">
      <w:r>
        <w:t xml:space="preserve">The total amount of liquid a monkey has received has a much more variable, though generally prominent, and positive, aggregate effect on bids. The high variance in this parameters estimated coefficient might be because, although the amount of liquid the monkey receives </w:t>
      </w:r>
      <w:r>
        <w:rPr>
          <w:i/>
          <w:iCs/>
        </w:rPr>
        <w:t>in task</w:t>
      </w:r>
      <w:r>
        <w:t xml:space="preserve"> is carefully recorded, this is not exactly equal to their level of liquid deprivation. For example, liquids given to the monkey to incentivise their leaving the cage or whilst their craniotomy chamber is cleaned prior to recording is imprecise and at the whim of the experimenter (though of course we tried to keep this consistent across days and sessions where possible), and monkeys may be more or less liquid deprived due to factors entirely outside of the experiments control, for instance the intensity of sunlight into their housing area, or energy expended since the last session. </w:t>
      </w:r>
    </w:p>
    <w:p w14:paraId="45EC18B6" w14:textId="77777777" w:rsidR="007A22C9" w:rsidRDefault="007A22C9" w:rsidP="007A22C9">
      <w:pPr>
        <w:rPr>
          <w:rFonts w:eastAsiaTheme="minorEastAsia"/>
        </w:rPr>
      </w:pPr>
      <w:r>
        <w:t xml:space="preserve">The results of the last trial were mostly insignificant on a single session level with only a fraction of total sessions showing significance at (uncorrected for multiple comparisons) p &lt; 0.05. For monkey U only 11/163 sessions showed a statistically significant regressor for the computer bid on the last trial but with a low average coefficient (mean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Pr>
          <w:rFonts w:eastAsiaTheme="minorEastAsia"/>
        </w:rPr>
        <w:t xml:space="preserve"> of significant sessions = 0.154), and a further 11/163 sessions had a significant relationship between monkey bid and whether or not the monkey won the last trial (again with a low average relationship,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Pr>
          <w:rFonts w:eastAsiaTheme="minorEastAsia"/>
        </w:rPr>
        <w:t xml:space="preserve"> = -0.018). Monkey V showed similar results with 11/142 sessions showing a significant relationship between the monkey’s bid and the previous computer bid and 13/142 showing a significant relationship between the monkey’s bid and the result of the last trial (for significant sessions, mean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Pr>
          <w:rFonts w:eastAsiaTheme="minorEastAsia"/>
        </w:rPr>
        <w:t xml:space="preserve"> = 0.076, mean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Pr>
          <w:rFonts w:eastAsiaTheme="minorEastAsia"/>
        </w:rPr>
        <w:t xml:space="preserve"> = -0.025).</w:t>
      </w:r>
    </w:p>
    <w:p w14:paraId="0D7CD304" w14:textId="77777777" w:rsidR="007A22C9" w:rsidRPr="0077682D" w:rsidRDefault="007A22C9" w:rsidP="007A22C9">
      <w:pPr>
        <w:rPr>
          <w:b/>
          <w:bCs/>
          <w:color w:val="FF0000"/>
        </w:rPr>
      </w:pPr>
      <w:r>
        <w:rPr>
          <w:rFonts w:eastAsiaTheme="minorEastAsia"/>
        </w:rPr>
        <w:t>Finally, there was evidence for systematic starting bid effect on the monkey’s final bid for</w:t>
      </w:r>
      <w:r>
        <w:rPr>
          <w:rFonts w:eastAsiaTheme="minorEastAsia"/>
          <w:b/>
          <w:bCs/>
        </w:rPr>
        <w:t xml:space="preserve"> </w:t>
      </w:r>
      <w:r w:rsidRPr="0077682D">
        <w:rPr>
          <w:rFonts w:eastAsiaTheme="minorEastAsia"/>
        </w:rPr>
        <w:t>monkey V</w:t>
      </w:r>
      <w:r>
        <w:rPr>
          <w:rFonts w:eastAsiaTheme="minorEastAsia"/>
        </w:rPr>
        <w:t xml:space="preserve"> across multiple sessions, with all but one session revealing a negative estimate for the relationship between starting bid and final bid. For monkey U, the effect of the starting bid on their eventual bid for an offer was more variable across the year spent recording data (figure 3.13c). </w:t>
      </w:r>
    </w:p>
    <w:p w14:paraId="08B7EC37" w14:textId="77777777" w:rsidR="007A22C9" w:rsidRDefault="007A22C9" w:rsidP="007A22C9">
      <w:pPr>
        <w:rPr>
          <w:b/>
          <w:bCs/>
        </w:rPr>
      </w:pPr>
      <w:r>
        <w:rPr>
          <w:b/>
          <w:bCs/>
        </w:rPr>
        <w:t>Single fractal sessions</w:t>
      </w:r>
    </w:p>
    <w:p w14:paraId="12EDB075" w14:textId="77777777" w:rsidR="007A22C9" w:rsidRDefault="007A22C9" w:rsidP="007A22C9">
      <w:r>
        <w:t>To control for the dominant effect of reward level and to remove any framing effects, we also recorded from the two monkeys facing only one reward level per session. Monkeys were repeatedly shown the medium level reward with the same representative fractal and juice amount offered as when that fractal was present with the two other (higher and lower) reward levels (i.e. 0.45ml for monkey U and 1.0ml for monkey V). Otherwise the task remained unchanged and as in figure 3.1.</w:t>
      </w:r>
    </w:p>
    <w:p w14:paraId="43972E01" w14:textId="77777777" w:rsidR="007A22C9" w:rsidRDefault="007A22C9" w:rsidP="007A22C9">
      <w:r>
        <w:t>Every bid made by the primates is plotted as a boxplot in figure 3.14a. Though a Wilcoxon test for mean ranks showed significant differences (p &lt; 0.0001 for monkey V, p = 0.004 for monkey U), visual inspection of the distributions led us to believe that this significance arises from overpowering of the tests. Testing using Cohen’s d statistic confirmed this returning a ‘small’ difference (</w:t>
      </w:r>
      <w:r w:rsidRPr="001E6C3D">
        <w:t>0.4666</w:t>
      </w:r>
      <w:r>
        <w:t>) for monkey V and a ‘negligible’ difference (</w:t>
      </w:r>
      <w:r w:rsidRPr="001E6C3D">
        <w:t>0.0771</w:t>
      </w:r>
      <w:r>
        <w:t>) for monkey U</w:t>
      </w:r>
      <w:r>
        <w:rPr>
          <w:rStyle w:val="FootnoteReference"/>
        </w:rPr>
        <w:footnoteReference w:id="53"/>
      </w:r>
      <w:r>
        <w:t xml:space="preserve">. Plotting the mean session bids for the medium reward level showed visually similar results (figure 3.14b). Due to the aggregation of data, the difference in medians was only significant for monkey V (p &lt; 0.0001, Cohen’s d 1.0449). These differences could be due to task independence effects (e.g. without the framing of the lower and higher value rewards offered, monkey’s bids might change), but seems likely to at least in part be a temporal effect. In figure 3.14c the mean </w:t>
      </w:r>
      <w:r>
        <w:lastRenderedPageBreak/>
        <w:t>monkey bid for the middle reward level is plotted over time. Sessions where only one reward level was offered are again plotted in block colour in comparison to semi-transparent plotting of sessions where all 3 fractals were offered to the monkey (plotted for the last month before switching of tasks). Though the population mean bids for each context are not negligibly different (dotted and dashed lines), the mean bids for each monkey continue roughly where they ended for session in which 3 fractals were shown. Differences computed by a Wilcoxon test were not significant (p = 0.716) for mean medium fractal bids made by monkey U and Cohen’s d statistic was again negligible (0.0237).</w:t>
      </w:r>
    </w:p>
    <w:p w14:paraId="19CCAA5E" w14:textId="77777777" w:rsidR="007A22C9" w:rsidRDefault="007A22C9" w:rsidP="007A22C9">
      <w:r>
        <w:t xml:space="preserve">As before, the distribution of bids were fitted to a beta distribution, showing a good agreement between theoretical and empirical observations (figure 3.15). A beta regression of the same form as equation 3.2 was used to investigate the various coefficients of features in our data, except for the removal of the first independent term, the reward juice offer, which was equal across the dataset. </w:t>
      </w:r>
    </w:p>
    <w:p w14:paraId="5BB08EFF" w14:textId="77777777" w:rsidR="007A22C9" w:rsidRDefault="007A22C9" w:rsidP="007A22C9">
      <w:pPr>
        <w:pStyle w:val="Caption"/>
        <w:keepNext/>
      </w:pPr>
      <w:r>
        <w:t>Equation 3.</w:t>
      </w:r>
      <w:r>
        <w:fldChar w:fldCharType="begin"/>
      </w:r>
      <w:r>
        <w:instrText xml:space="preserve"> SEQ Equation \* ARABIC </w:instrText>
      </w:r>
      <w:r>
        <w:fldChar w:fldCharType="separate"/>
      </w:r>
      <w:r>
        <w:rPr>
          <w:noProof/>
        </w:rPr>
        <w:t>5</w:t>
      </w:r>
      <w:r>
        <w:rPr>
          <w:noProof/>
        </w:rPr>
        <w:fldChar w:fldCharType="end"/>
      </w:r>
    </w:p>
    <w:p w14:paraId="1F6AA4FB" w14:textId="77777777" w:rsidR="007A22C9" w:rsidRPr="00EB3352" w:rsidRDefault="007A22C9" w:rsidP="007A22C9">
      <w:pPr>
        <w:ind w:left="360"/>
        <w:rPr>
          <w:i/>
        </w:rPr>
      </w:pPr>
      <m:oMathPara>
        <m:oMath>
          <m:r>
            <w:rPr>
              <w:rFonts w:ascii="Cambria Math" w:hAnsi="Cambria Math"/>
            </w:rPr>
            <m:t xml:space="preserve">monkey's bid | monkey | medium reward only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(starting bid) +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(total liquid)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(last trial computer bid) +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(last trial monkey win) + ε</m:t>
          </m:r>
        </m:oMath>
      </m:oMathPara>
    </w:p>
    <w:p w14:paraId="5947EA94" w14:textId="77777777" w:rsidR="007A22C9" w:rsidRDefault="007A22C9" w:rsidP="007A22C9">
      <w:pPr>
        <w:rPr>
          <w:rFonts w:cstheme="minorHAnsi"/>
          <w:shd w:val="clear" w:color="auto" w:fill="FFFFFF"/>
        </w:rPr>
      </w:pPr>
      <w:r>
        <w:t>The estimates for the four selected coefficients for a beta regression of all bids split by monkey are shown in figure 3.16a. As with the regression for all three reward levels, only the starting bid and the total liquid received seem to have a prominent effect. For monkey U, the results on the last trial were significant at p &lt; 0.05 (last trial win = 0.0003, last trial computer bid = 0.0364) though with reasonably low coefficient estimates (0.172</w:t>
      </w:r>
      <w:r w:rsidRPr="00C355BA">
        <w:rPr>
          <w:rFonts w:cstheme="minorHAnsi"/>
          <w:shd w:val="clear" w:color="auto" w:fill="FFFFFF"/>
        </w:rPr>
        <w:t>±</w:t>
      </w:r>
      <w:r>
        <w:rPr>
          <w:rFonts w:cstheme="minorHAnsi"/>
          <w:shd w:val="clear" w:color="auto" w:fill="FFFFFF"/>
        </w:rPr>
        <w:t>0.048</w:t>
      </w:r>
      <w:r>
        <w:t xml:space="preserve"> and 0.175</w:t>
      </w:r>
      <w:r w:rsidRPr="00C355BA">
        <w:rPr>
          <w:rFonts w:cstheme="minorHAnsi"/>
          <w:shd w:val="clear" w:color="auto" w:fill="FFFFFF"/>
        </w:rPr>
        <w:t>±</w:t>
      </w:r>
      <w:r>
        <w:rPr>
          <w:rFonts w:cstheme="minorHAnsi"/>
          <w:shd w:val="clear" w:color="auto" w:fill="FFFFFF"/>
        </w:rPr>
        <w:t>0.084</w:t>
      </w:r>
      <w:r>
        <w:t xml:space="preserve"> respectively). There was no noticeable effect of the total liquid acquired by the monkey within the session on his bids (p = 0.486, coefficient estimate =  -0.054</w:t>
      </w:r>
      <w:r w:rsidRPr="00C355BA">
        <w:rPr>
          <w:rFonts w:cstheme="minorHAnsi"/>
          <w:shd w:val="clear" w:color="auto" w:fill="FFFFFF"/>
        </w:rPr>
        <w:t>±</w:t>
      </w:r>
      <w:r>
        <w:rPr>
          <w:rFonts w:cstheme="minorHAnsi"/>
          <w:shd w:val="clear" w:color="auto" w:fill="FFFFFF"/>
        </w:rPr>
        <w:t>0.077). Only the starting bid seemed to significantly influence the bids of monkey U in this context (</w:t>
      </w:r>
      <w:r>
        <w:t>p &lt; 0.0001, coefficient estimate = -0.649</w:t>
      </w:r>
      <w:r w:rsidRPr="00C355BA">
        <w:rPr>
          <w:rFonts w:cstheme="minorHAnsi"/>
          <w:shd w:val="clear" w:color="auto" w:fill="FFFFFF"/>
        </w:rPr>
        <w:t>±</w:t>
      </w:r>
      <w:r>
        <w:rPr>
          <w:rFonts w:cstheme="minorHAnsi"/>
          <w:shd w:val="clear" w:color="auto" w:fill="FFFFFF"/>
        </w:rPr>
        <w:t>0.055).</w:t>
      </w:r>
    </w:p>
    <w:p w14:paraId="36FF0EDA" w14:textId="77777777" w:rsidR="007A22C9" w:rsidRDefault="007A22C9" w:rsidP="007A22C9">
      <w:pPr>
        <w:rPr>
          <w:rFonts w:cstheme="minorHAnsi"/>
          <w:shd w:val="clear" w:color="auto" w:fill="FFFFFF"/>
        </w:rPr>
      </w:pPr>
      <w:r>
        <w:t>For monkey V, the total liquid received was by far the dominant feature with an estimate of 1.47</w:t>
      </w:r>
      <w:r w:rsidRPr="00C355BA">
        <w:rPr>
          <w:rFonts w:cstheme="minorHAnsi"/>
          <w:shd w:val="clear" w:color="auto" w:fill="FFFFFF"/>
        </w:rPr>
        <w:t>±</w:t>
      </w:r>
      <w:r>
        <w:rPr>
          <w:rFonts w:cstheme="minorHAnsi"/>
          <w:shd w:val="clear" w:color="auto" w:fill="FFFFFF"/>
        </w:rPr>
        <w:t>0.066 (p &lt; 0.0001). Though the estimates other parameters showed significance (last trial win: p &lt; 0.0001, estimate = 0.165</w:t>
      </w:r>
      <w:r w:rsidRPr="00C355BA">
        <w:rPr>
          <w:rFonts w:cstheme="minorHAnsi"/>
          <w:shd w:val="clear" w:color="auto" w:fill="FFFFFF"/>
        </w:rPr>
        <w:t>±</w:t>
      </w:r>
      <w:r>
        <w:rPr>
          <w:rFonts w:cstheme="minorHAnsi"/>
          <w:shd w:val="clear" w:color="auto" w:fill="FFFFFF"/>
        </w:rPr>
        <w:t>0.040; last trial computer bid: p = 0.0368, estimate = 0.126</w:t>
      </w:r>
      <w:r w:rsidRPr="00C355BA">
        <w:rPr>
          <w:rFonts w:cstheme="minorHAnsi"/>
          <w:shd w:val="clear" w:color="auto" w:fill="FFFFFF"/>
        </w:rPr>
        <w:t>±</w:t>
      </w:r>
      <w:r>
        <w:rPr>
          <w:rFonts w:cstheme="minorHAnsi"/>
          <w:shd w:val="clear" w:color="auto" w:fill="FFFFFF"/>
        </w:rPr>
        <w:t>0.060; starting bid: p = 0.0004, estimate = 0.162</w:t>
      </w:r>
      <w:r w:rsidRPr="00C355BA">
        <w:rPr>
          <w:rFonts w:cstheme="minorHAnsi"/>
          <w:shd w:val="clear" w:color="auto" w:fill="FFFFFF"/>
        </w:rPr>
        <w:t>±</w:t>
      </w:r>
      <w:r>
        <w:rPr>
          <w:rFonts w:cstheme="minorHAnsi"/>
          <w:shd w:val="clear" w:color="auto" w:fill="FFFFFF"/>
        </w:rPr>
        <w:t xml:space="preserve">0.043), the estimated betas were comparatively low. </w:t>
      </w:r>
    </w:p>
    <w:p w14:paraId="71E987ED" w14:textId="77777777" w:rsidR="007A22C9" w:rsidRDefault="007A22C9" w:rsidP="007A22C9">
      <w:r>
        <w:t>Similar results were seen when regressions were performed grouped by monkey and date (figure 3.16b). For monkey U only the starting bid (14/22) and total liquid (9/22) were significant regressors on a single session level. For monkey V, the total liquid the monkey had received in the task was significant for 21 of the total 22 sessions, whereas the starting bid (3/22), last trial computer bid (2/22), and last trial win (1/22) generally did not significantly influence bids. Interestingly, as with figure 3.13b, total liquid was by far the most variable feature between sessions, perhaps for the same reasons as hypothesised above. The estimates of coefficients from this regression and plotted over time in figure 3.16c. In comparison to figure 3.13c, these estimates are not smoothed over multiple sessions.</w:t>
      </w:r>
    </w:p>
    <w:p w14:paraId="27107AEC" w14:textId="77777777" w:rsidR="007A22C9" w:rsidRDefault="007A22C9" w:rsidP="007A22C9">
      <w:pPr>
        <w:rPr>
          <w:b/>
          <w:bCs/>
        </w:rPr>
      </w:pPr>
      <w:r>
        <w:rPr>
          <w:b/>
          <w:bCs/>
        </w:rPr>
        <w:t>Comparison of behaviour between auction and binary choice paradigms</w:t>
      </w:r>
    </w:p>
    <w:p w14:paraId="3E4871E6" w14:textId="77777777" w:rsidR="007A22C9" w:rsidRDefault="007A22C9" w:rsidP="007A22C9">
      <w:r>
        <w:t xml:space="preserve">Given that both monkeys seemed capable of understanding and performing the BDM task, we were naturally interested in how the results of the BDM compared to those elicited from binary choice tasks. Monkeys were also trained on a similar task in which they could decide between a ‘bundle’ comprising of a juice reward offer and some amount of water, or 1.2ml of water (corresponding to the full budget of the BDM task; figure 3.17c). Amounts of juice in the reward bundle were signified by the same fractals as used in the BDM task and corresponded to the same volume and concentration of a juice (figure 3.17b). The water in the bundle varied between 0.12 and 1.2ml of water, in 0.12ml (i.e. 10% of the BDM bidding range) increments. The primates made choices on this task using the left/right axis of the joystick, that is, orthogonal to the movements made to select their bid in the BDM. </w:t>
      </w:r>
    </w:p>
    <w:p w14:paraId="7C4646F0" w14:textId="77777777" w:rsidR="007A22C9" w:rsidRDefault="007A22C9" w:rsidP="007A22C9">
      <w:r>
        <w:lastRenderedPageBreak/>
        <w:t>This task can be thought as mathematically (but perhaps not mechanically) identical to a BDM auction where the participant bids second. Instead of indicating the level of a bid, the subject simply has to say whether they want to bid above (choose bundle of juice and some water) or below (choose simply retaining the full ‘budget’ of water) a hypothetical computer’s bid. As the winner of any BDM auction pays the second price bidding anywhere above an imagined bid results in the same outcome: the bidder wins the offered good (juice) and pays the randomly drawn bid. Therefore, the water that is subtracted from a possible maximum of 1.2ml of water in a bundle can be thought of as such a pseudo-bid. To encourage this consistency in tasks, the stimuli representing the amounts of water offered were presented as similarly between this ‘bundle choice’ task and the BDM (figure3.17b), where a reversal of a hatching pattern indicated the water withheld from the monkey from the full 1.2ml budget. In addition, the epoch times and the hardware used were also kept identical between tasks.</w:t>
      </w:r>
    </w:p>
    <w:p w14:paraId="2F1C62D8" w14:textId="77777777" w:rsidR="007A22C9" w:rsidRDefault="007A22C9" w:rsidP="007A22C9">
      <w:r>
        <w:t xml:space="preserve">The only extra requirement for monkeys during this task was that the bid had to be placed (using the same criteria as for the BDM) at least 5% of the screen’s width away from the centre of the screen to signify the half of the screen containing the offer the monkey wished to select. </w:t>
      </w:r>
    </w:p>
    <w:p w14:paraId="6F08C378" w14:textId="77777777" w:rsidR="007A22C9" w:rsidRDefault="007A22C9" w:rsidP="007A22C9">
      <w:r>
        <w:t xml:space="preserve">Data from this bundle choice task is filtered using the same methods as data from the BDM task (see appendix 3.2). In addition, the first sessions monkeys performed on this task were removed as these were the first occasions monkeys had performed such a binary choice task in many months. Two such sessions were removed for Monkey U (the first bundle choice sessions in October 2019 and in September 2020) and one was removed for Monkey V (the first bundle choice session in October 2020). </w:t>
      </w:r>
    </w:p>
    <w:p w14:paraId="3E3FCBFA" w14:textId="77777777" w:rsidR="007A22C9" w:rsidRDefault="007A22C9" w:rsidP="007A22C9">
      <w:r>
        <w:t>Monkeys were able to make bids using the joystick well within the time required (figure 3.18a), without a consistent ending location preferred for the marker. From figure 3.18a it is also clear that we were able to gather many more trials (n = 2267 from 23 sessions) from monkey U than from monkey V (n = 714 trials from 6 separate sessions). Shortly after starting this phase of the project, t</w:t>
      </w:r>
      <w:r w:rsidRPr="006B3584">
        <w:t xml:space="preserve">he </w:t>
      </w:r>
      <w:r>
        <w:t xml:space="preserve">cranial </w:t>
      </w:r>
      <w:r w:rsidRPr="006B3584">
        <w:t>implant</w:t>
      </w:r>
      <w:r>
        <w:t xml:space="preserve"> (see chapter 4) on monkey V</w:t>
      </w:r>
      <w:r w:rsidRPr="006B3584">
        <w:t xml:space="preserve"> unexpectedly failed</w:t>
      </w:r>
      <w:r>
        <w:t xml:space="preserve"> </w:t>
      </w:r>
      <w:r w:rsidRPr="006B3584">
        <w:t>and the animal had to be sacrificed per Home Office Project Licence guidelines.</w:t>
      </w:r>
      <w:r>
        <w:t xml:space="preserve"> We analyse and discuss the results from monkey V alongside those from monkey U, though will caveat that the data from this monkey is much less complete.</w:t>
      </w:r>
    </w:p>
    <w:p w14:paraId="3081198D" w14:textId="77777777" w:rsidR="007A22C9" w:rsidRDefault="007A22C9" w:rsidP="007A22C9">
      <w:r>
        <w:t xml:space="preserve">The bid placement and reaction times of the monkeys did not vary significantly with the juice offered in a bundle on a two-way ANOVA test (Bonferroni-corrected p &lt; </w:t>
      </w:r>
      <w:r w:rsidRPr="008760E6">
        <w:t>0.00625</w:t>
      </w:r>
      <w:r>
        <w:t>; bid placement time: monkey U: F = 0.478, p = 0.489, monkey V: F = 1.84, p = 0.175, reaction time: monkey U: F = 0.495, p = 0.482, monkey V: F = 5.52, p = 0.019). The bidding time for monkey V was significantly correlated with the water offered in a bundle (F = 25.2, p &lt; 0.0001), though no other timing event was (bid placement time: monkey U: F = 0.578, p = 0.447, reaction time: monkey U: F = 3.84, p = 0.0502, monkey V: F = 0.266, p = 0.606). A linear model estimates the size of this bidding time effect on monkey V to be a change of roughly 170ms difference in bidding time across the entire range of bundle offers (coefficient estimate = 169.58</w:t>
      </w:r>
      <w:r w:rsidRPr="00C355BA">
        <w:rPr>
          <w:rFonts w:cstheme="minorHAnsi"/>
          <w:shd w:val="clear" w:color="auto" w:fill="FFFFFF"/>
        </w:rPr>
        <w:t>±</w:t>
      </w:r>
      <w:r>
        <w:rPr>
          <w:rFonts w:cstheme="minorHAnsi"/>
          <w:shd w:val="clear" w:color="auto" w:fill="FFFFFF"/>
        </w:rPr>
        <w:t>33.81</w:t>
      </w:r>
      <w:r>
        <w:t>, p &lt; 0.0001), and so we are led to believe this is an effect of overpowered tests. For visual inspection of the distribution of reaction and bidding times by juice and water volumes offered in bundles, see figure 3.18b.</w:t>
      </w:r>
    </w:p>
    <w:p w14:paraId="63BE06FE" w14:textId="77777777" w:rsidR="007A22C9" w:rsidRDefault="007A22C9" w:rsidP="007A22C9">
      <w:r>
        <w:t>To compare the utility of the identical fractal stimuli indicating an equivalent volume of juice across the BDM auction task and bundle choice tasks, a psychometric curve of the probability of a monkey choosing any given bundle over the full budget volume of water was produced (figure 3.19). For either monkey, the total fraction that any bundle option was chosen is plotted against the amount of water the monkey had to sacrifice to choose that bundle. For instance, if a monkey choose a bundle of an amount of juice and 0.78ml of water, they had to sacrifice 0.42ml (1.2ml – 0.78ml) of extra water they would have received if they choose the ‘budget’ option.</w:t>
      </w:r>
    </w:p>
    <w:p w14:paraId="0C1F3723" w14:textId="77777777" w:rsidR="007A22C9" w:rsidRDefault="007A22C9" w:rsidP="007A22C9">
      <w:r>
        <w:t xml:space="preserve">Both monkeys show clear rank ordering in the average amount of water they are willing to forgo to select an amount of juice. The low reward level requires greater amounts of water to be present in a bundle for that bundle to be of equal average utility to the monkey as the 1.2ml of water present in the budget. The aggregate choice data was then fitted with a logistic function (solid lines). The amount of water a monkey </w:t>
      </w:r>
      <w:r>
        <w:lastRenderedPageBreak/>
        <w:t>would be willing to sacrifice for a given volume of juice with a 0.5 probability could be interpolated from this function, giving the equivalent of the BDM’s ‘willingness-to-pay’. As discussed in chapter 1 of this thesis, the is also referred to as the ‘indifference point’ of bundle task.</w:t>
      </w:r>
    </w:p>
    <w:p w14:paraId="2492ECAB" w14:textId="77777777" w:rsidR="007A22C9" w:rsidRDefault="007A22C9" w:rsidP="007A22C9">
      <w:pPr>
        <w:rPr>
          <w:rFonts w:cstheme="minorHAnsi"/>
          <w:shd w:val="clear" w:color="auto" w:fill="FFFFFF"/>
        </w:rPr>
      </w:pPr>
      <w:r>
        <w:t>For monkey U, indifference points were roughly evenly spaced across the bidding range, with a low and approximately even standard error of the fit (low volume juice offer = 0.219</w:t>
      </w:r>
      <w:r w:rsidRPr="00C355BA">
        <w:rPr>
          <w:rFonts w:cstheme="minorHAnsi"/>
          <w:shd w:val="clear" w:color="auto" w:fill="FFFFFF"/>
        </w:rPr>
        <w:t>±</w:t>
      </w:r>
      <w:r>
        <w:rPr>
          <w:rFonts w:cstheme="minorHAnsi"/>
          <w:shd w:val="clear" w:color="auto" w:fill="FFFFFF"/>
        </w:rPr>
        <w:t>0.011ml, medium volume juice offer = 0.417</w:t>
      </w:r>
      <w:r w:rsidRPr="00C355BA">
        <w:rPr>
          <w:rFonts w:cstheme="minorHAnsi"/>
          <w:shd w:val="clear" w:color="auto" w:fill="FFFFFF"/>
        </w:rPr>
        <w:t>±</w:t>
      </w:r>
      <w:r>
        <w:rPr>
          <w:rFonts w:cstheme="minorHAnsi"/>
          <w:shd w:val="clear" w:color="auto" w:fill="FFFFFF"/>
        </w:rPr>
        <w:t>0.013ml, high volume juice offer = 0.680</w:t>
      </w:r>
      <w:r w:rsidRPr="00C355BA">
        <w:rPr>
          <w:rFonts w:cstheme="minorHAnsi"/>
          <w:shd w:val="clear" w:color="auto" w:fill="FFFFFF"/>
        </w:rPr>
        <w:t>±</w:t>
      </w:r>
      <w:r>
        <w:rPr>
          <w:rFonts w:cstheme="minorHAnsi"/>
          <w:shd w:val="clear" w:color="auto" w:fill="FFFFFF"/>
        </w:rPr>
        <w:t>0.020ml).</w:t>
      </w:r>
    </w:p>
    <w:p w14:paraId="338E2361" w14:textId="77777777" w:rsidR="007A22C9" w:rsidRDefault="007A22C9" w:rsidP="007A22C9">
      <w:pPr>
        <w:rPr>
          <w:rFonts w:cstheme="minorHAnsi"/>
          <w:shd w:val="clear" w:color="auto" w:fill="FFFFFF"/>
        </w:rPr>
      </w:pPr>
      <w:r>
        <w:rPr>
          <w:rFonts w:cstheme="minorHAnsi"/>
          <w:shd w:val="clear" w:color="auto" w:fill="FFFFFF"/>
        </w:rPr>
        <w:t xml:space="preserve">For monkey V, choice fractions were much more variable, with large and overlapping standard errors for bundles of equivalent water volumes. This was likely due to the lower number of trials carried out by monkey V before premature termination of the experiment, with the limited data collected representing the first bundle choice sessions the monkey had performed for over a year and since implantation of the craniotomy chamber. Nevertheless, we were able to calculate the following indifference points using the same method as for monkey U: </w:t>
      </w:r>
      <w:r>
        <w:t>low volume juice offer = 0.288</w:t>
      </w:r>
      <w:r w:rsidRPr="00C355BA">
        <w:rPr>
          <w:rFonts w:cstheme="minorHAnsi"/>
          <w:shd w:val="clear" w:color="auto" w:fill="FFFFFF"/>
        </w:rPr>
        <w:t>±</w:t>
      </w:r>
      <w:r>
        <w:rPr>
          <w:rFonts w:cstheme="minorHAnsi"/>
          <w:shd w:val="clear" w:color="auto" w:fill="FFFFFF"/>
        </w:rPr>
        <w:t>0.022ml, medium volume juice offer = 0.577</w:t>
      </w:r>
      <w:r w:rsidRPr="00C355BA">
        <w:rPr>
          <w:rFonts w:cstheme="minorHAnsi"/>
          <w:shd w:val="clear" w:color="auto" w:fill="FFFFFF"/>
        </w:rPr>
        <w:t>±</w:t>
      </w:r>
      <w:r>
        <w:rPr>
          <w:rFonts w:cstheme="minorHAnsi"/>
          <w:shd w:val="clear" w:color="auto" w:fill="FFFFFF"/>
        </w:rPr>
        <w:t>0.032ml, high volume juice offer = 1.264</w:t>
      </w:r>
      <w:r w:rsidRPr="00C355BA">
        <w:rPr>
          <w:rFonts w:cstheme="minorHAnsi"/>
          <w:shd w:val="clear" w:color="auto" w:fill="FFFFFF"/>
        </w:rPr>
        <w:t>±</w:t>
      </w:r>
      <w:r>
        <w:rPr>
          <w:rFonts w:cstheme="minorHAnsi"/>
          <w:shd w:val="clear" w:color="auto" w:fill="FFFFFF"/>
        </w:rPr>
        <w:t>0.208ml. Note the comparatively larger standard errors of these estimates than those for monkey U, and especially for the higher volume reward option, for which the indifference point minus the standard error of the mean is outside the tested range (&gt;1).</w:t>
      </w:r>
    </w:p>
    <w:p w14:paraId="6EF0101C" w14:textId="77777777" w:rsidR="007A22C9" w:rsidRDefault="007A22C9" w:rsidP="007A22C9">
      <w:pPr>
        <w:rPr>
          <w:rFonts w:cstheme="minorHAnsi"/>
          <w:shd w:val="clear" w:color="auto" w:fill="FFFFFF"/>
        </w:rPr>
      </w:pPr>
      <w:r>
        <w:rPr>
          <w:rFonts w:cstheme="minorHAnsi"/>
          <w:shd w:val="clear" w:color="auto" w:fill="FFFFFF"/>
        </w:rPr>
        <w:t xml:space="preserve">We also used a logistic function to measure the effect of selected variables on monkey’s choices. Unlike for the BDM, we use the regression to predict the chance of a monkey picking the option presented on a certain side of the screen (the right sided option). The regression then gives us the estimates of the coefficients for the defined variables, plus an error term which roughly corresponds to the monkey’s bias in choosing options presented on one side of the screen over those presented on the other. The side that bundles appear on is semi-random but is balanced over multiple sessions so monkeys will have faced the same bundle choices on either side of the screen in roughly equal proportions. Both monkeys made choices using their right arms which have asymmetric biomechanical efforts, which are known to influence choices in humans </w:t>
      </w:r>
      <w:r>
        <w:rPr>
          <w:rFonts w:cstheme="minorHAnsi"/>
          <w:shd w:val="clear" w:color="auto" w:fill="FFFFFF"/>
        </w:rPr>
        <w:fldChar w:fldCharType="begin" w:fldLock="1"/>
      </w:r>
      <w:r>
        <w:rPr>
          <w:rFonts w:cstheme="minorHAnsi"/>
          <w:shd w:val="clear" w:color="auto" w:fill="FFFFFF"/>
        </w:rPr>
        <w:instrText>ADDIN CSL_CITATION {"citationItems":[{"id":"ITEM-1","itemData":{"DOI":"10.1152/jn.00975.2010","ISSN":"00223077","PMID":"21451055","abstract":"There is considerable debate on the extent to which biomechanical properties of movements are taken into account before and during voluntary movements. For example, while several models have described reach planning as primarily kinematic, some studies have suggested that implicit knowledge about biomechanics may also exert some influence on the planning of reaching movements. Here, we investigated whether decisions about reaching movements are influenced by biomechanical factors and whether these factors are taken into account before movement onset. To this end, we designed an experimental paradigm in which humans made free choices between two potential reaching movements where the options varied in path distance as well as biomechanical factors related to movement energy and stability. Our results suggest that the biomechanical properties of potential actions strongly influence the selection between them. In particular, in our task, subjects preferred movements whose final trajectory was better aligned with the major axis of the arm's mobility ellipse, even when the launching properties were very similar. This reveals that the nervous system can predict biomechanical properties of potential actions before movement onset and that these predictions, in addition to purely abstract criteria, may influence the decisionmaking process. © 2011 the American Physiological Society.","author":[{"dropping-particle":"","family":"Cos","given":"Ignasi","non-dropping-particle":"","parse-names":false,"suffix":""},{"dropping-particle":"","family":"Bélanger","given":"Nicolas","non-dropping-particle":"","parse-names":false,"suffix":""},{"dropping-particle":"","family":"Cisek","given":"Paul","non-dropping-particle":"","parse-names":false,"suffix":""}],"container-title":"Journal of Neurophysiology","id":"ITEM-1","issue":"6","issued":{"date-parts":[["2011"]]},"page":"3022-3033","title":"The influence of predicted arm biomechanics on decision making","type":"article-journal","volume":"105"},"uris":["http://www.mendeley.com/documents/?uuid=0024304a-be9d-4b17-a373-aea03262db21"]}],"mendeley":{"formattedCitation":"(Cos et al., 2011)","plainTextFormattedCitation":"(Cos et al., 2011)","previouslyFormattedCitation":"(Cos et al., 2011)"},"properties":{"noteIndex":0},"schema":"https://github.com/citation-style-language/schema/raw/master/csl-citation.json"}</w:instrText>
      </w:r>
      <w:r>
        <w:rPr>
          <w:rFonts w:cstheme="minorHAnsi"/>
          <w:shd w:val="clear" w:color="auto" w:fill="FFFFFF"/>
        </w:rPr>
        <w:fldChar w:fldCharType="separate"/>
      </w:r>
      <w:r w:rsidRPr="006E757E">
        <w:rPr>
          <w:rFonts w:cstheme="minorHAnsi"/>
          <w:noProof/>
          <w:shd w:val="clear" w:color="auto" w:fill="FFFFFF"/>
        </w:rPr>
        <w:t>(Cos et al., 2011)</w:t>
      </w:r>
      <w:r>
        <w:rPr>
          <w:rFonts w:cstheme="minorHAnsi"/>
          <w:shd w:val="clear" w:color="auto" w:fill="FFFFFF"/>
        </w:rPr>
        <w:fldChar w:fldCharType="end"/>
      </w:r>
      <w:r>
        <w:rPr>
          <w:rFonts w:cstheme="minorHAnsi"/>
          <w:shd w:val="clear" w:color="auto" w:fill="FFFFFF"/>
        </w:rPr>
        <w:t>. Our logistic regression on all trials completed by the monkeys took the following form:</w:t>
      </w:r>
    </w:p>
    <w:p w14:paraId="0AA6F424" w14:textId="77777777" w:rsidR="007A22C9" w:rsidRDefault="007A22C9" w:rsidP="007A22C9">
      <w:pPr>
        <w:pStyle w:val="Caption"/>
        <w:keepNext/>
      </w:pPr>
      <w:r>
        <w:t>Equation 3.</w:t>
      </w:r>
      <w:r>
        <w:fldChar w:fldCharType="begin"/>
      </w:r>
      <w:r>
        <w:instrText xml:space="preserve"> SEQ Equation \* ARABIC </w:instrText>
      </w:r>
      <w:r>
        <w:fldChar w:fldCharType="separate"/>
      </w:r>
      <w:r>
        <w:rPr>
          <w:noProof/>
        </w:rPr>
        <w:t>6</w:t>
      </w:r>
      <w:r>
        <w:fldChar w:fldCharType="end"/>
      </w:r>
    </w:p>
    <w:p w14:paraId="41F0C732" w14:textId="77777777" w:rsidR="007A22C9" w:rsidRPr="0077007B" w:rsidRDefault="007A22C9" w:rsidP="007A22C9">
      <w:pPr>
        <w:rPr>
          <w:i/>
        </w:rPr>
      </w:pPr>
      <m:oMathPara>
        <m:oMath>
          <m:r>
            <w:rPr>
              <w:rFonts w:ascii="Cambria Math" w:hAnsi="Cambria Math"/>
            </w:rPr>
            <m:t>p(choose right option) | monkey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(juice offered) +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(bundle water offered)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(last trial chose right) +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(last trial chose bundle) + ε</m:t>
          </m:r>
        </m:oMath>
      </m:oMathPara>
    </w:p>
    <w:p w14:paraId="4D1692E5" w14:textId="77777777" w:rsidR="007A22C9" w:rsidRDefault="007A22C9" w:rsidP="007A22C9">
      <w:r>
        <w:t xml:space="preserve">Where the juice and water offers refer to the difference between the liquids offered on the right side of the screen compared to the left. The variables for the last trial are both binary variables indicating if the monkey chose the right side of the screen or the bundle on the last trial.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refers to the intercept of the regression which corresponds to the monkey’s side bias as discussed. The results of this regression over all trials is shown in figure 3.20a.</w:t>
      </w:r>
    </w:p>
    <w:p w14:paraId="760E2AD6" w14:textId="77777777" w:rsidR="007A22C9" w:rsidRDefault="007A22C9" w:rsidP="007A22C9">
      <w:pPr>
        <w:rPr>
          <w:rFonts w:cstheme="minorHAnsi"/>
          <w:shd w:val="clear" w:color="auto" w:fill="FFFFFF"/>
        </w:rPr>
      </w:pPr>
      <w:r>
        <w:t xml:space="preserve">By far the dominant features for monkey’s choices were the amounts of liquid offered (p &lt; 0.0001, monkey U: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rPr>
        <w:t xml:space="preserve"> </w:t>
      </w:r>
      <w:r>
        <w:t>= 22.7</w:t>
      </w:r>
      <w:r w:rsidRPr="00C355BA">
        <w:rPr>
          <w:rFonts w:cstheme="minorHAnsi"/>
          <w:shd w:val="clear" w:color="auto" w:fill="FFFFFF"/>
        </w:rPr>
        <w:t>±</w:t>
      </w:r>
      <w:r>
        <w:rPr>
          <w:rFonts w:cstheme="minorHAnsi"/>
          <w:shd w:val="clear" w:color="auto" w:fill="FFFFFF"/>
        </w:rPr>
        <w:t xml:space="preserve">0.313,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Pr>
          <w:rFonts w:eastAsiaTheme="minorEastAsia" w:cstheme="minorHAnsi"/>
        </w:rPr>
        <w:t xml:space="preserve"> </w:t>
      </w:r>
      <w:r>
        <w:rPr>
          <w:rFonts w:cstheme="minorHAnsi"/>
          <w:shd w:val="clear" w:color="auto" w:fill="FFFFFF"/>
        </w:rPr>
        <w:t>= 24.1</w:t>
      </w:r>
      <w:r w:rsidRPr="00C355BA">
        <w:rPr>
          <w:rFonts w:cstheme="minorHAnsi"/>
          <w:shd w:val="clear" w:color="auto" w:fill="FFFFFF"/>
        </w:rPr>
        <w:t>±</w:t>
      </w:r>
      <w:r>
        <w:rPr>
          <w:rFonts w:cstheme="minorHAnsi"/>
          <w:shd w:val="clear" w:color="auto" w:fill="FFFFFF"/>
        </w:rPr>
        <w:t xml:space="preserve">0.259; monkey V: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cstheme="minorHAnsi"/>
        </w:rPr>
        <w:t xml:space="preserve"> </w:t>
      </w:r>
      <w:r>
        <w:rPr>
          <w:rFonts w:cstheme="minorHAnsi"/>
          <w:shd w:val="clear" w:color="auto" w:fill="FFFFFF"/>
        </w:rPr>
        <w:t>= 12.8</w:t>
      </w:r>
      <w:r w:rsidRPr="00C355BA">
        <w:rPr>
          <w:rFonts w:cstheme="minorHAnsi"/>
          <w:shd w:val="clear" w:color="auto" w:fill="FFFFFF"/>
        </w:rPr>
        <w:t>±</w:t>
      </w:r>
      <w:r>
        <w:rPr>
          <w:rFonts w:cstheme="minorHAnsi"/>
          <w:shd w:val="clear" w:color="auto" w:fill="FFFFFF"/>
        </w:rPr>
        <w:t xml:space="preserve">0.388,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Pr>
          <w:rFonts w:eastAsiaTheme="minorEastAsia" w:cstheme="minorHAnsi"/>
        </w:rPr>
        <w:t xml:space="preserve"> </w:t>
      </w:r>
      <w:r>
        <w:rPr>
          <w:rFonts w:cstheme="minorHAnsi"/>
          <w:shd w:val="clear" w:color="auto" w:fill="FFFFFF"/>
        </w:rPr>
        <w:t>= 12.1</w:t>
      </w:r>
      <w:r w:rsidRPr="00C355BA">
        <w:rPr>
          <w:rFonts w:cstheme="minorHAnsi"/>
          <w:shd w:val="clear" w:color="auto" w:fill="FFFFFF"/>
        </w:rPr>
        <w:t>±</w:t>
      </w:r>
      <w:r>
        <w:rPr>
          <w:rFonts w:cstheme="minorHAnsi"/>
          <w:shd w:val="clear" w:color="auto" w:fill="FFFFFF"/>
        </w:rPr>
        <w:t xml:space="preserve">0.540). By contrast, the choices made on the last trial had a negligible relationship with the monkey’s subsequent choices (chose right last trial: monkey U: p = 0.994,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Pr>
          <w:rFonts w:eastAsiaTheme="minorEastAsia" w:cstheme="minorHAnsi"/>
        </w:rPr>
        <w:t xml:space="preserve"> </w:t>
      </w:r>
      <w:r>
        <w:rPr>
          <w:rFonts w:cstheme="minorHAnsi"/>
          <w:shd w:val="clear" w:color="auto" w:fill="FFFFFF"/>
        </w:rPr>
        <w:t>= -0.0001</w:t>
      </w:r>
      <w:r w:rsidRPr="00C355BA">
        <w:rPr>
          <w:rFonts w:cstheme="minorHAnsi"/>
          <w:shd w:val="clear" w:color="auto" w:fill="FFFFFF"/>
        </w:rPr>
        <w:t>±</w:t>
      </w:r>
      <w:r>
        <w:rPr>
          <w:rFonts w:cstheme="minorHAnsi"/>
          <w:shd w:val="clear" w:color="auto" w:fill="FFFFFF"/>
        </w:rPr>
        <w:t xml:space="preserve">0.124; monkey V: p = 0.410,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Pr>
          <w:rFonts w:eastAsiaTheme="minorEastAsia" w:cstheme="minorHAnsi"/>
        </w:rPr>
        <w:t xml:space="preserve"> </w:t>
      </w:r>
      <w:r>
        <w:rPr>
          <w:rFonts w:cstheme="minorHAnsi"/>
          <w:shd w:val="clear" w:color="auto" w:fill="FFFFFF"/>
        </w:rPr>
        <w:t>= 0.221</w:t>
      </w:r>
      <w:r w:rsidRPr="00C355BA">
        <w:rPr>
          <w:rFonts w:cstheme="minorHAnsi"/>
          <w:shd w:val="clear" w:color="auto" w:fill="FFFFFF"/>
        </w:rPr>
        <w:t>±</w:t>
      </w:r>
      <w:r>
        <w:rPr>
          <w:rFonts w:cstheme="minorHAnsi"/>
          <w:shd w:val="clear" w:color="auto" w:fill="FFFFFF"/>
        </w:rPr>
        <w:t xml:space="preserve">0.269; chose bundle last trial: monkey U: p = 0.445,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Pr>
          <w:rFonts w:eastAsiaTheme="minorEastAsia" w:cstheme="minorHAnsi"/>
        </w:rPr>
        <w:t xml:space="preserve"> </w:t>
      </w:r>
      <w:r>
        <w:rPr>
          <w:rFonts w:cstheme="minorHAnsi"/>
          <w:shd w:val="clear" w:color="auto" w:fill="FFFFFF"/>
        </w:rPr>
        <w:t>= -0.094</w:t>
      </w:r>
      <w:r w:rsidRPr="00C355BA">
        <w:rPr>
          <w:rFonts w:cstheme="minorHAnsi"/>
          <w:shd w:val="clear" w:color="auto" w:fill="FFFFFF"/>
        </w:rPr>
        <w:t>±</w:t>
      </w:r>
      <w:r>
        <w:rPr>
          <w:rFonts w:cstheme="minorHAnsi"/>
          <w:shd w:val="clear" w:color="auto" w:fill="FFFFFF"/>
        </w:rPr>
        <w:t xml:space="preserve">0.123; monkey V: p = 0.129,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Pr>
          <w:rFonts w:eastAsiaTheme="minorEastAsia" w:cstheme="minorHAnsi"/>
        </w:rPr>
        <w:t xml:space="preserve"> </w:t>
      </w:r>
      <w:r>
        <w:rPr>
          <w:rFonts w:cstheme="minorHAnsi"/>
          <w:shd w:val="clear" w:color="auto" w:fill="FFFFFF"/>
        </w:rPr>
        <w:t>= -0.417</w:t>
      </w:r>
      <w:r w:rsidRPr="00C355BA">
        <w:rPr>
          <w:rFonts w:cstheme="minorHAnsi"/>
          <w:shd w:val="clear" w:color="auto" w:fill="FFFFFF"/>
        </w:rPr>
        <w:t>±</w:t>
      </w:r>
      <w:r>
        <w:rPr>
          <w:rFonts w:cstheme="minorHAnsi"/>
          <w:shd w:val="clear" w:color="auto" w:fill="FFFFFF"/>
        </w:rPr>
        <w:t>0.274).</w:t>
      </w:r>
    </w:p>
    <w:p w14:paraId="188E572B" w14:textId="77777777" w:rsidR="007A22C9" w:rsidRDefault="007A22C9" w:rsidP="007A22C9">
      <w:pPr>
        <w:rPr>
          <w:rFonts w:cstheme="minorHAnsi"/>
          <w:shd w:val="clear" w:color="auto" w:fill="FFFFFF"/>
        </w:rPr>
      </w:pPr>
      <w:r>
        <w:rPr>
          <w:rFonts w:cstheme="minorHAnsi"/>
          <w:shd w:val="clear" w:color="auto" w:fill="FFFFFF"/>
        </w:rPr>
        <w:t xml:space="preserve">Monkey U was negligibly right-biased (p = 0.080,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cstheme="minorHAnsi"/>
        </w:rPr>
        <w:t xml:space="preserve"> = 0.192</w:t>
      </w:r>
      <w:r w:rsidRPr="00C355BA">
        <w:rPr>
          <w:rFonts w:cstheme="minorHAnsi"/>
          <w:shd w:val="clear" w:color="auto" w:fill="FFFFFF"/>
        </w:rPr>
        <w:t>±</w:t>
      </w:r>
      <w:r>
        <w:rPr>
          <w:rFonts w:cstheme="minorHAnsi"/>
          <w:shd w:val="clear" w:color="auto" w:fill="FFFFFF"/>
        </w:rPr>
        <w:t xml:space="preserve">0.110), whereas monkey V showed a significant, though small left bias (p &lt; 0.0001,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cstheme="minorHAnsi"/>
        </w:rPr>
        <w:t xml:space="preserve"> = </w:t>
      </w:r>
      <w:r>
        <w:rPr>
          <w:rFonts w:cstheme="minorHAnsi"/>
          <w:shd w:val="clear" w:color="auto" w:fill="FFFFFF"/>
        </w:rPr>
        <w:t>-1.21</w:t>
      </w:r>
      <w:r w:rsidRPr="00C355BA">
        <w:rPr>
          <w:rFonts w:cstheme="minorHAnsi"/>
          <w:shd w:val="clear" w:color="auto" w:fill="FFFFFF"/>
        </w:rPr>
        <w:t>±</w:t>
      </w:r>
      <w:r>
        <w:rPr>
          <w:rFonts w:cstheme="minorHAnsi"/>
          <w:shd w:val="clear" w:color="auto" w:fill="FFFFFF"/>
        </w:rPr>
        <w:t>0.260). Performing a regression of the same form as equation 3.6, but grouping by monkey and session date paints a more modest picture of this side bias. Only 3 of the 23 sessions performed by monkey U had a significant within-session side bias, and only 3 of the 6 bundle-choice sessions for monkey V showed a left-sided bias. These minor biases seemed to diminish over time (figure 3.20c) which may reflect the monkey’s adjustment to the new task context after over a year of training solely on the BDM task.</w:t>
      </w:r>
    </w:p>
    <w:p w14:paraId="27B2D72D" w14:textId="77777777" w:rsidR="007A22C9" w:rsidRDefault="007A22C9" w:rsidP="007A22C9">
      <w:pPr>
        <w:rPr>
          <w:rFonts w:eastAsiaTheme="minorEastAsia" w:cstheme="minorHAnsi"/>
        </w:rPr>
      </w:pPr>
      <w:r>
        <w:rPr>
          <w:rFonts w:cstheme="minorHAnsi"/>
          <w:shd w:val="clear" w:color="auto" w:fill="FFFFFF"/>
        </w:rPr>
        <w:lastRenderedPageBreak/>
        <w:t xml:space="preserve">As recording dopaminergic neuron activity during the BDM task was the main focus of this project, training on the bundle-choice task was sparse. In figure 3.20c we plot the regression coefficient estimates by session number rather than date as for monkey U sessions took place in October-November 2019 and September-October 2020. These two blocks of sessions are delineated with a dotted line. Thought the juice and water offers are by far the dominant feature in both blocks of sessions, it is perhaps interesting that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Pr>
          <w:rFonts w:eastAsiaTheme="minorEastAsia" w:cstheme="minorHAnsi"/>
        </w:rPr>
        <w:t xml:space="preserve"> is generally larger than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cstheme="minorHAnsi"/>
        </w:rPr>
        <w:t>in sessions completed in 2019, but the reverse is true for the sessions completed a year later. This may reflect small changes in monkeys juice preference over long periods of experimentation.</w:t>
      </w:r>
    </w:p>
    <w:p w14:paraId="12F5A8ED" w14:textId="77777777" w:rsidR="007A22C9" w:rsidRPr="0026555F" w:rsidRDefault="007A22C9" w:rsidP="007A22C9">
      <w:pPr>
        <w:rPr>
          <w:rFonts w:eastAsiaTheme="minorEastAsia" w:cstheme="minorHAnsi"/>
          <w:b/>
          <w:bCs/>
          <w:color w:val="FF0000"/>
        </w:rPr>
      </w:pPr>
      <w:r w:rsidRPr="0026555F">
        <w:rPr>
          <w:rFonts w:eastAsiaTheme="minorEastAsia" w:cstheme="minorHAnsi"/>
          <w:b/>
          <w:bCs/>
          <w:color w:val="FF0000"/>
        </w:rPr>
        <w:t xml:space="preserve">I may do some random utility modelling in here. I don’t think it’s strictly necessary for our hypotheses but we have the data so it would be nice to properly model the utility the monkey’s receive per unit of water. This is currently in progress </w:t>
      </w:r>
      <w:r>
        <w:rPr>
          <w:rFonts w:eastAsiaTheme="minorEastAsia" w:cstheme="minorHAnsi"/>
          <w:b/>
          <w:bCs/>
          <w:color w:val="FF0000"/>
        </w:rPr>
        <w:t>but I don’t think it makes any substantial difference to the main hypothesis of the thesis or chapter.</w:t>
      </w:r>
    </w:p>
    <w:p w14:paraId="755E3BD3" w14:textId="77777777" w:rsidR="007A22C9" w:rsidRPr="00DA395F" w:rsidRDefault="007A22C9" w:rsidP="007A22C9">
      <w:pPr>
        <w:rPr>
          <w:b/>
          <w:bCs/>
          <w:color w:val="FF0000"/>
        </w:rPr>
      </w:pPr>
      <w:r w:rsidRPr="00DA395F">
        <w:rPr>
          <w:b/>
          <w:bCs/>
          <w:color w:val="FF0000"/>
        </w:rPr>
        <w:t>Plot 3 – random utility model?</w:t>
      </w:r>
    </w:p>
    <w:p w14:paraId="3B2A028B" w14:textId="77777777" w:rsidR="007A22C9" w:rsidRPr="00DA395F" w:rsidRDefault="007A22C9" w:rsidP="007A22C9">
      <w:pPr>
        <w:rPr>
          <w:b/>
          <w:bCs/>
          <w:color w:val="FF0000"/>
        </w:rPr>
      </w:pPr>
      <w:r w:rsidRPr="00DA395F">
        <w:rPr>
          <w:b/>
          <w:bCs/>
          <w:color w:val="FF0000"/>
        </w:rPr>
        <w:t xml:space="preserve">Plot 4 – satiety shift of utility curve </w:t>
      </w:r>
    </w:p>
    <w:p w14:paraId="55B04FC2" w14:textId="77777777" w:rsidR="007A22C9" w:rsidRDefault="007A22C9" w:rsidP="007A22C9">
      <w:r w:rsidRPr="0076596F">
        <w:t xml:space="preserve">Comparing the indifference points elicited by the bundle choice task to the mean willingness-to-pay </w:t>
      </w:r>
      <w:r>
        <w:t xml:space="preserve">(WTP) </w:t>
      </w:r>
      <w:r w:rsidRPr="0076596F">
        <w:t>per session for each reward level shows a potentially interesting effect of task on reward evaluation behaviour. For both monkeys, behavioural reports of utility for a given volume of juice was generally lower in the bundle choice task</w:t>
      </w:r>
      <w:r>
        <w:t xml:space="preserve"> </w:t>
      </w:r>
      <w:r w:rsidRPr="0076596F">
        <w:rPr>
          <w:b/>
          <w:bCs/>
          <w:color w:val="FF0000"/>
        </w:rPr>
        <w:t>STATS TEST – T-TEST?</w:t>
      </w:r>
      <w:r>
        <w:t xml:space="preserve">. Previous research into monkey’s behaviour on the BDM task found no significant differences in these WTP estimates </w:t>
      </w:r>
      <w:r>
        <w:fldChar w:fldCharType="begin" w:fldLock="1"/>
      </w:r>
      <w: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2019)","plainTextFormattedCitation":"(Al-Mohammad &amp; Schultz, 2019)","previouslyFormattedCitation":"(Al-Mohammad &amp; Schultz, 2019)"},"properties":{"noteIndex":0},"schema":"https://github.com/citation-style-language/schema/raw/master/csl-citation.json"}</w:instrText>
      </w:r>
      <w:r>
        <w:fldChar w:fldCharType="separate"/>
      </w:r>
      <w:r w:rsidRPr="0076596F">
        <w:rPr>
          <w:noProof/>
        </w:rPr>
        <w:t>(Al-Mohammad &amp; Schultz, 2019)</w:t>
      </w:r>
      <w:r>
        <w:fldChar w:fldCharType="end"/>
      </w:r>
      <w:r>
        <w:t xml:space="preserve">, however, such divergence might not be unexpected. Behavioural economic research into human performance of equivalent tasks finds divergence in the WTP derived from non-hypothetical auction and choice experiments, though these experiments consistently report a </w:t>
      </w:r>
      <w:r>
        <w:rPr>
          <w:i/>
          <w:iCs/>
        </w:rPr>
        <w:t>higher</w:t>
      </w:r>
      <w:r>
        <w:t xml:space="preserve"> WTP elicited from choice experiments than from auctions </w:t>
      </w:r>
      <w:r>
        <w:fldChar w:fldCharType="begin" w:fldLock="1"/>
      </w:r>
      <w:r>
        <w:instrText>ADDIN CSL_CITATION {"citationItems":[{"id":"ITEM-1","itemData":{"DOI":"10.2202/1538-0637.1539","ISBN":"2001354001055","author":[{"dropping-particle":"","family":"Lusk","given":"Jayson","non-dropping-particle":"","parse-names":false,"suffix":""},{"dropping-particle":"","family":"Schroeder","given":"Ted C","non-dropping-particle":"","parse-names":false,"suffix":""}],"container-title":"Advances in Economic Analysis and Policy","id":"ITEM-1","issued":{"date-parts":[["2006"]]},"page":"1-37","title":"Auction Bids and Shopping Choices","type":"article-journal","volume":"6"},"uris":["http://www.mendeley.com/documents/?uuid=fb057152-5ede-4103-b673-f2f3995dd943"]},{"id":"ITEM-2","itemData":{"author":[{"dropping-particle":"","family":"Banerji","given":"A.","non-dropping-particle":"","parse-names":false,"suffix":""},{"dropping-particle":"","family":"Cowdhury, Shyamal","given":"","non-dropping-particle":"","parse-names":false,"suffix":""},{"dropping-particle":"","family":"Groote","given":"Hugo","non-dropping-particle":"De","parse-names":false,"suffix":""},{"dropping-particle":"V.","family":"Meenakshi","given":"J.","non-dropping-particle":"","parse-names":false,"suffix":""},{"dropping-particle":"","family":"Haleegoah","given":"Joyce","non-dropping-particle":"","parse-names":false,"suffix":""},{"dropping-particle":"","family":"Ewool","given":"Manfred","non-dropping-particle":"","parse-names":false,"suffix":""}],"container-title":"HarvestPlus","id":"ITEM-2","issued":{"date-parts":[["2013"]]},"title":"Using elicitation mechanisms to estimate the demand for nutritious maize. Evidence from experiments in rural Ghana","type":"article-journal"},"uris":["http://www.mendeley.com/documents/?uuid=5be18602-b40f-456b-8391-e9d66b271c72"]},{"id":"ITEM-3","itemData":{"DOI":"10.1111/1477-9552.12273","ISSN":"14779552","abstract":"Two of the experimental methods used to estimate willingness-to-pay (WTP) for a non-market good, the Becker-DeGroot-Marschak (BDM) mechanism and the non-hypothetical choice experiment (nHCE) often lead to significantly different WTP estimates, complicating the choice between the methods. In Zambia the same group of researchers used both techniques to evaluate WTP for orange maize, which provides more vitamin A than other varieties. This provided an opportunity to analyse the sources of the difference. In the BDM experiment, one group of respondents was provided with more training opportunities than the other, and made higher bids. Accounting for lexicographic behaviour in the nHCE reduced the estimated WTP. These two design factors together resulted in a decrease in the WTP difference for orange maize (1,279–632 ZMK) although the difference remains statistically significant. More training was also shown to eliminate the effects of different orders in which maize varieties were presented.","author":[{"dropping-particle":"","family":"Hamukwala","given":"Priscilla","non-dropping-particle":"","parse-names":false,"suffix":""},{"dropping-particle":"","family":"Oparinde","given":"Adewale","non-dropping-particle":"","parse-names":false,"suffix":""},{"dropping-particle":"","family":"Binswanger-Mkhize","given":"Hans Peter","non-dropping-particle":"","parse-names":false,"suffix":""},{"dropping-particle":"","family":"Kirsten","given":"Johann","non-dropping-particle":"","parse-names":false,"suffix":""}],"container-title":"Journal of Agricultural Economics","id":"ITEM-3","issue":"1","issued":{"date-parts":[["2019"]]},"page":"81-100","title":"Design Factors Influencing Willingness-to-Pay Estimates in the Becker-DeGroot-Marschak (BDM) Mechanism and the Non-hypothetical Choice Experiment: A Case of Biofortified Maize in Zambia","type":"article-journal","volume":"70"},"uris":["http://www.mendeley.com/documents/?uuid=de21d8a3-de05-4628-8134-6c15183ecc02"]}],"mendeley":{"formattedCitation":"(Banerji et al., 2013; Hamukwala et al., 2019; Lusk &amp; Schroeder, 2006)","plainTextFormattedCitation":"(Banerji et al., 2013; Hamukwala et al., 2019; Lusk &amp; Schroeder, 2006)","previouslyFormattedCitation":"(Banerji et al., 2013; Hamukwala et al., 2019; Lusk &amp; Schroeder, 2006)"},"properties":{"noteIndex":0},"schema":"https://github.com/citation-style-language/schema/raw/master/csl-citation.json"}</w:instrText>
      </w:r>
      <w:r>
        <w:fldChar w:fldCharType="separate"/>
      </w:r>
      <w:r w:rsidRPr="0076596F">
        <w:rPr>
          <w:noProof/>
        </w:rPr>
        <w:t>(Banerji et al., 2013; Hamukwala et al., 2019; Lusk &amp; Schroeder, 2006)</w:t>
      </w:r>
      <w:r>
        <w:fldChar w:fldCharType="end"/>
      </w:r>
      <w:r>
        <w:t>. Due to the nature of non-hypothetical choices made by human participants, these studies compare the mean WTP of multiple subjects for a given auction and choice set in comparison to ours, in which single monkeys make many economic decisions.</w:t>
      </w:r>
    </w:p>
    <w:p w14:paraId="67F0A755" w14:textId="77777777" w:rsidR="007A22C9" w:rsidRDefault="007A22C9" w:rsidP="007A22C9">
      <w:r>
        <w:t xml:space="preserve">Our data is limited by the scope of this project, and by the early termination of one of the monkeys, but we strongly feel such potential divergences of WTP estimates warrant further investigation. Ideally, monkeys trained on interleaved auction and choice trials could account for the trade off in human studies between the number of individual WTP estimates for an auction/choice, the hypothetical nature of many such choices, and the pooling of WTP estimates between individuals. Furthermore, if such findings provide support that preferences are constructed </w:t>
      </w:r>
      <w:r>
        <w:rPr>
          <w:i/>
          <w:iCs/>
        </w:rPr>
        <w:t>ad punctum</w:t>
      </w:r>
      <w:r>
        <w:t xml:space="preserve"> in the experimental context which they are presented </w:t>
      </w:r>
      <w:r>
        <w:fldChar w:fldCharType="begin" w:fldLock="1"/>
      </w:r>
      <w:r>
        <w:instrText>ADDIN CSL_CITATION {"citationItems":[{"id":"ITEM-1","itemData":{"author":[{"dropping-particle":"","family":"Slovic","given":"Paul","non-dropping-particle":"","parse-names":false,"suffix":""}],"container-title":"American Psychologist","id":"ITEM-1","issue":"5","issued":{"date-parts":[["1995"]]},"page":"364-371","title":"The Construction of Preference","type":"article-journal","volume":"50"},"uris":["http://www.mendeley.com/documents/?uuid=c5d9a602-6565-44f3-9d88-1c4e24b35baa"]}],"mendeley":{"formattedCitation":"(Slovic, 1995)","plainTextFormattedCitation":"(Slovic, 1995)","previouslyFormattedCitation":"(Slovic, 1995)"},"properties":{"noteIndex":0},"schema":"https://github.com/citation-style-language/schema/raw/master/csl-citation.json"}</w:instrText>
      </w:r>
      <w:r>
        <w:fldChar w:fldCharType="separate"/>
      </w:r>
      <w:r w:rsidRPr="00BD078A">
        <w:rPr>
          <w:noProof/>
        </w:rPr>
        <w:t>(Slovic, 1995)</w:t>
      </w:r>
      <w:r>
        <w:fldChar w:fldCharType="end"/>
      </w:r>
      <w:r>
        <w:t xml:space="preserve">, what then is the implication for the neuronal processes which abstract the value of stimuli away from (e.g.) the fractal presented? If the dopaminergic neurons of the midbrain are a ‘reward retina’ </w:t>
      </w:r>
      <w:r>
        <w:fldChar w:fldCharType="begin" w:fldLock="1"/>
      </w:r>
      <w:r>
        <w:instrText>ADDIN CSL_CITATION {"citationItems":[{"id":"ITEM-1","itemData":{"author":[{"dropping-particle":"","family":"Schultz","given":"Wolfram","non-dropping-particle":"","parse-names":false,"suffix":""}],"container-title":"Neuroeconomics: Decision Making and the Brain: First Edition","id":"ITEM-1","issued":{"date-parts":[["2009"]]},"title":"Midbrain Dopamine Neurons: A Retina of the Reward System?","type":"chapter"},"uris":["http://www.mendeley.com/documents/?uuid=f3505cf7-d54f-40ef-ad4d-e5919801a6a5"]}],"mendeley":{"formattedCitation":"(Schultz, 2009)","plainTextFormattedCitation":"(Schultz, 2009)"},"properties":{"noteIndex":0},"schema":"https://github.com/citation-style-language/schema/raw/master/csl-citation.json"}</w:instrText>
      </w:r>
      <w:r>
        <w:fldChar w:fldCharType="separate"/>
      </w:r>
      <w:r w:rsidRPr="00DF3AA8">
        <w:rPr>
          <w:noProof/>
        </w:rPr>
        <w:t>(Schultz, 2009)</w:t>
      </w:r>
      <w:r>
        <w:fldChar w:fldCharType="end"/>
      </w:r>
      <w:r>
        <w:t xml:space="preserve">, is the utility of a good reflected in the activity of these neurons also task dependent, and if not, where do such effects arise? </w:t>
      </w:r>
    </w:p>
    <w:p w14:paraId="16504A43" w14:textId="77777777" w:rsidR="007A22C9" w:rsidRDefault="007A22C9" w:rsidP="007A22C9">
      <w:r>
        <w:t xml:space="preserve">Nevertheless, the differences in WTP elicited between tasks in this study are relatively minor. The differences in WTP may arise simply due to task dependent effects, e.g. the relative complexity of the BDM. In such auction tasks, the monkey can only find an optimal strategy by exploring the bidspace and comparing their predicted and experienced utility on a trial-by-trial basis. This is in stark contrast to the bundle choice task where the monkeys received exactly what they chose. </w:t>
      </w:r>
    </w:p>
    <w:p w14:paraId="213DB2C6" w14:textId="77777777" w:rsidR="007A22C9" w:rsidRDefault="007A22C9" w:rsidP="007A22C9">
      <w:r>
        <w:t xml:space="preserve">To compare these experienced utilities, we take the WTP as estimated from the bundle choice task as a ‘ground truth’ of the value of each reward volume in terms of water. We define the potential ‘optimal’ utility a monkey could experience as the utility they receive (in common currency units of water) if they bid </w:t>
      </w:r>
      <w:r>
        <w:lastRenderedPageBreak/>
        <w:t>this amount on every single trial across the ~1 year span we report auction task data from (figure 3.23b)</w:t>
      </w:r>
      <w:r>
        <w:rPr>
          <w:rStyle w:val="FootnoteReference"/>
        </w:rPr>
        <w:footnoteReference w:id="54"/>
      </w:r>
      <w:r>
        <w:t xml:space="preserve">. The fraction of this optimal utility a monkey actually experienced on a session by session basis is plotted in brown per reward level. Median experienced utility tends to match this potential optimal utility well (Monkey U: lowest reward level: 98.8%, medium reward level: 98.3%, highest reward level: 98.5%; monkey V: lowest reward level: 98.4%, medium reward level: 98.9%, highest reward level: 94.5%). </w:t>
      </w:r>
    </w:p>
    <w:p w14:paraId="570025E1" w14:textId="77777777" w:rsidR="007A22C9" w:rsidRDefault="007A22C9" w:rsidP="007A22C9">
      <w:pPr>
        <w:rPr>
          <w:rFonts w:cstheme="minorHAnsi"/>
          <w:shd w:val="clear" w:color="auto" w:fill="FFFFFF"/>
        </w:rPr>
      </w:pPr>
      <w:r>
        <w:t>Per trial, the difference in utility experienced by the monkeys from their BDM bids, compared to what they would have experienced if they always bid the estimated WTP from the bundle choice was small. Had monkeys bid their fitted choice WTP on every single BDM trial, they would have received the equivalent utility of 1.342</w:t>
      </w:r>
      <w:r w:rsidRPr="00C355BA">
        <w:rPr>
          <w:rFonts w:cstheme="minorHAnsi"/>
          <w:shd w:val="clear" w:color="auto" w:fill="FFFFFF"/>
        </w:rPr>
        <w:t>±</w:t>
      </w:r>
      <w:r>
        <w:rPr>
          <w:rFonts w:cstheme="minorHAnsi"/>
          <w:shd w:val="clear" w:color="auto" w:fill="FFFFFF"/>
        </w:rPr>
        <w:t>0.030ml (monkey U) and 1.616</w:t>
      </w:r>
      <w:r w:rsidRPr="00C355BA">
        <w:rPr>
          <w:rFonts w:cstheme="minorHAnsi"/>
          <w:shd w:val="clear" w:color="auto" w:fill="FFFFFF"/>
        </w:rPr>
        <w:t>±</w:t>
      </w:r>
      <w:r>
        <w:rPr>
          <w:rFonts w:cstheme="minorHAnsi"/>
          <w:shd w:val="clear" w:color="auto" w:fill="FFFFFF"/>
        </w:rPr>
        <w:t>0.031ml (monkey V; falling to 1.344</w:t>
      </w:r>
      <w:r w:rsidRPr="00C355BA">
        <w:rPr>
          <w:rFonts w:cstheme="minorHAnsi"/>
          <w:shd w:val="clear" w:color="auto" w:fill="FFFFFF"/>
        </w:rPr>
        <w:t>±</w:t>
      </w:r>
      <w:r>
        <w:rPr>
          <w:rFonts w:cstheme="minorHAnsi"/>
          <w:shd w:val="clear" w:color="auto" w:fill="FFFFFF"/>
        </w:rPr>
        <w:t>0.020ml when excluding the highest reward level) of water per trial on average. This difference in received utility per trial reflects the difference in valuation of the offered juice volumes. In comparison, monkey’s actual bids resulted in the receipt of an average of 1.317</w:t>
      </w:r>
      <w:r w:rsidRPr="00C355BA">
        <w:rPr>
          <w:rFonts w:cstheme="minorHAnsi"/>
          <w:shd w:val="clear" w:color="auto" w:fill="FFFFFF"/>
        </w:rPr>
        <w:t>±</w:t>
      </w:r>
      <w:r>
        <w:rPr>
          <w:rFonts w:cstheme="minorHAnsi"/>
          <w:shd w:val="clear" w:color="auto" w:fill="FFFFFF"/>
        </w:rPr>
        <w:t>0.038ml (monkey U) and 1.562</w:t>
      </w:r>
      <w:r w:rsidRPr="00C355BA">
        <w:rPr>
          <w:rFonts w:cstheme="minorHAnsi"/>
          <w:shd w:val="clear" w:color="auto" w:fill="FFFFFF"/>
        </w:rPr>
        <w:t>±</w:t>
      </w:r>
      <w:r>
        <w:rPr>
          <w:rFonts w:cstheme="minorHAnsi"/>
          <w:shd w:val="clear" w:color="auto" w:fill="FFFFFF"/>
        </w:rPr>
        <w:t>0.032ml (monkey V, 1.323</w:t>
      </w:r>
      <w:r w:rsidRPr="00C355BA">
        <w:rPr>
          <w:rFonts w:cstheme="minorHAnsi"/>
          <w:shd w:val="clear" w:color="auto" w:fill="FFFFFF"/>
        </w:rPr>
        <w:t>±</w:t>
      </w:r>
      <w:r>
        <w:rPr>
          <w:rFonts w:cstheme="minorHAnsi"/>
          <w:shd w:val="clear" w:color="auto" w:fill="FFFFFF"/>
        </w:rPr>
        <w:t>0.023 when excluding the highest reward level) water utils worth. The difference between optimal and realised utility per trial is therefore only a fraction of that of a single millilitre of water. Monkey U lost out on an average of 0.025</w:t>
      </w:r>
      <w:r w:rsidRPr="00C355BA">
        <w:rPr>
          <w:rFonts w:cstheme="minorHAnsi"/>
          <w:shd w:val="clear" w:color="auto" w:fill="FFFFFF"/>
        </w:rPr>
        <w:t>±</w:t>
      </w:r>
      <w:r>
        <w:rPr>
          <w:rFonts w:cstheme="minorHAnsi"/>
          <w:shd w:val="clear" w:color="auto" w:fill="FFFFFF"/>
        </w:rPr>
        <w:t>0.013ml utils worth of water per trial compared to his WTP as estimated by the bundle choice task, and monkey V 0.053</w:t>
      </w:r>
      <w:r w:rsidRPr="00C355BA">
        <w:rPr>
          <w:rFonts w:cstheme="minorHAnsi"/>
          <w:shd w:val="clear" w:color="auto" w:fill="FFFFFF"/>
        </w:rPr>
        <w:t>±</w:t>
      </w:r>
      <w:r>
        <w:rPr>
          <w:rFonts w:cstheme="minorHAnsi"/>
          <w:shd w:val="clear" w:color="auto" w:fill="FFFFFF"/>
        </w:rPr>
        <w:t>0.021ml (removing the highest reward level trials gives similar results to monkey U, 0.020</w:t>
      </w:r>
      <w:r w:rsidRPr="00C355BA">
        <w:rPr>
          <w:rFonts w:cstheme="minorHAnsi"/>
          <w:shd w:val="clear" w:color="auto" w:fill="FFFFFF"/>
        </w:rPr>
        <w:t>±</w:t>
      </w:r>
      <w:r>
        <w:rPr>
          <w:rFonts w:cstheme="minorHAnsi"/>
          <w:shd w:val="clear" w:color="auto" w:fill="FFFFFF"/>
        </w:rPr>
        <w:t>0.08ml per trial).</w:t>
      </w:r>
    </w:p>
    <w:p w14:paraId="3BB9FB4F" w14:textId="77777777" w:rsidR="007A22C9" w:rsidRDefault="007A22C9" w:rsidP="007A22C9">
      <w:r>
        <w:rPr>
          <w:rFonts w:cstheme="minorHAnsi"/>
          <w:shd w:val="clear" w:color="auto" w:fill="FFFFFF"/>
        </w:rPr>
        <w:t>This experienced utility is also compared to a hypothetical random bidder (purple bars, figure 3.23b). Such a randomly bidding monkey would have experienced significantly less utility per trial (one-way ANOVA, monkey U: F</w:t>
      </w:r>
      <w:r>
        <w:rPr>
          <w:rFonts w:cstheme="minorHAnsi"/>
          <w:shd w:val="clear" w:color="auto" w:fill="FFFFFF"/>
          <w:vertAlign w:val="subscript"/>
        </w:rPr>
        <w:t>2,18892</w:t>
      </w:r>
      <w:r>
        <w:rPr>
          <w:rFonts w:cstheme="minorHAnsi"/>
          <w:shd w:val="clear" w:color="auto" w:fill="FFFFFF"/>
        </w:rPr>
        <w:t xml:space="preserve"> = 951.6, p &lt; 0.001; monkey V: F</w:t>
      </w:r>
      <w:r>
        <w:rPr>
          <w:rFonts w:cstheme="minorHAnsi"/>
          <w:shd w:val="clear" w:color="auto" w:fill="FFFFFF"/>
          <w:vertAlign w:val="subscript"/>
        </w:rPr>
        <w:t>2,11105</w:t>
      </w:r>
      <w:r>
        <w:rPr>
          <w:rFonts w:cstheme="minorHAnsi"/>
          <w:shd w:val="clear" w:color="auto" w:fill="FFFFFF"/>
        </w:rPr>
        <w:t xml:space="preserve"> = 428.3, p &lt; 0.0001), though still would only have missed out on a relatively small water-volume utilities worth per trial (monkey U: 0.067</w:t>
      </w:r>
      <w:r w:rsidRPr="00C355BA">
        <w:rPr>
          <w:rFonts w:cstheme="minorHAnsi"/>
          <w:shd w:val="clear" w:color="auto" w:fill="FFFFFF"/>
        </w:rPr>
        <w:t>±</w:t>
      </w:r>
      <w:r>
        <w:rPr>
          <w:rFonts w:cstheme="minorHAnsi"/>
          <w:shd w:val="clear" w:color="auto" w:fill="FFFFFF"/>
        </w:rPr>
        <w:t>0.008ml, monkey V: 0.055</w:t>
      </w:r>
      <w:r w:rsidRPr="00C355BA">
        <w:rPr>
          <w:rFonts w:cstheme="minorHAnsi"/>
          <w:shd w:val="clear" w:color="auto" w:fill="FFFFFF"/>
        </w:rPr>
        <w:t>±</w:t>
      </w:r>
      <w:r>
        <w:rPr>
          <w:rFonts w:cstheme="minorHAnsi"/>
          <w:shd w:val="clear" w:color="auto" w:fill="FFFFFF"/>
        </w:rPr>
        <w:t>0.007ml). The small incentive per trial for monkeys to bid their true utility for an offered good reflects the shallow cost of misbehaviour function, a known limitation of the BDM as presented in this project (see chapter 2).</w:t>
      </w:r>
    </w:p>
    <w:p w14:paraId="68EAE5FB" w14:textId="77777777" w:rsidR="007A22C9" w:rsidRDefault="007A22C9" w:rsidP="007A22C9">
      <w:r>
        <w:t xml:space="preserve">The comparison of monkey’s behaviour on the BDM and bundle choice tasks suggests that both are feasible mechanisms to elicit utility reports from animals. Having validated the BDM auction task in macaques, we spend the next chapter discussing the activity of recorded single putative dopaminergic neurons from the animal’s midbrains during this task. We expect that the activity of these neurons to reflect the utility calculations the monkeys must perform in order to maximise their returns of liquids during auctions trials </w:t>
      </w:r>
      <w:r>
        <w:fldChar w:fldCharType="begin" w:fldLock="1"/>
      </w:r>
      <w:r>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utility","type":"article-journal","volume":"24"},"uris":["http://www.mendeley.com/documents/?uuid=7c4277a4-4814-491b-afd5-67ddc993078e"]}],"mendeley":{"formattedCitation":"(Stauffer et al., 2014)","plainTextFormattedCitation":"(Stauffer et al., 2014)","previouslyFormattedCitation":"(Stauffer et al., 2014)"},"properties":{"noteIndex":0},"schema":"https://github.com/citation-style-language/schema/raw/master/csl-citation.json"}</w:instrText>
      </w:r>
      <w:r>
        <w:fldChar w:fldCharType="separate"/>
      </w:r>
      <w:r w:rsidRPr="007D05E5">
        <w:rPr>
          <w:noProof/>
        </w:rPr>
        <w:t>(Stauffer et al., 2014)</w:t>
      </w:r>
      <w:r>
        <w:fldChar w:fldCharType="end"/>
      </w:r>
      <w:r>
        <w:t>, and therefore, to be able to correlate this utility-dependent response with the monkey’s bidding choices on a single trial level.</w:t>
      </w:r>
    </w:p>
    <w:p w14:paraId="1685B7AF" w14:textId="77777777" w:rsidR="007A22C9" w:rsidRDefault="007A22C9" w:rsidP="007A22C9"/>
    <w:p w14:paraId="22E484D3" w14:textId="77777777" w:rsidR="007A22C9" w:rsidRDefault="007A22C9" w:rsidP="007A22C9">
      <w:r>
        <w:rPr>
          <w:noProof/>
        </w:rPr>
        <w:lastRenderedPageBreak/>
        <mc:AlternateContent>
          <mc:Choice Requires="wps">
            <w:drawing>
              <wp:anchor distT="45720" distB="45720" distL="114300" distR="114300" simplePos="0" relativeHeight="251683840" behindDoc="0" locked="0" layoutInCell="1" allowOverlap="1" wp14:anchorId="72315581" wp14:editId="69AA1D56">
                <wp:simplePos x="0" y="0"/>
                <wp:positionH relativeFrom="margin">
                  <wp:align>left</wp:align>
                </wp:positionH>
                <wp:positionV relativeFrom="paragraph">
                  <wp:posOffset>4114800</wp:posOffset>
                </wp:positionV>
                <wp:extent cx="6096000" cy="2636520"/>
                <wp:effectExtent l="0" t="0" r="19050" b="1143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2636520"/>
                        </a:xfrm>
                        <a:prstGeom prst="rect">
                          <a:avLst/>
                        </a:prstGeom>
                        <a:solidFill>
                          <a:srgbClr val="FFFFFF"/>
                        </a:solidFill>
                        <a:ln w="9525">
                          <a:solidFill>
                            <a:srgbClr val="000000"/>
                          </a:solidFill>
                          <a:miter lim="800000"/>
                          <a:headEnd/>
                          <a:tailEnd/>
                        </a:ln>
                      </wps:spPr>
                      <wps:txbx>
                        <w:txbxContent>
                          <w:p w14:paraId="73617409" w14:textId="77777777" w:rsidR="007A22C9" w:rsidRPr="00F72CD4" w:rsidRDefault="007A22C9" w:rsidP="007A22C9">
                            <w:r>
                              <w:rPr>
                                <w:b/>
                                <w:bCs/>
                              </w:rPr>
                              <w:t xml:space="preserve">Figure 3.1a-c) The components of the BDM task used in this thesis. </w:t>
                            </w:r>
                            <w:r w:rsidRPr="00F72CD4">
                              <w:t xml:space="preserve">A) </w:t>
                            </w:r>
                            <w:r>
                              <w:t>The monkey uses a joystick to interact with the task presented on a computer screen at head height 70cm from itself. To manipulate their bid the monkey moves the joystick towards or away from them (‘up/down’). B) the payouts of any trial of the task are defined by the juice offer fractal (indicating a certain magnitude of blackcurrant juice of constant concentration) to be bid for, and the water budget. A ‘full’ budget represents 1.2ml of water. Any payment a monkey makes on a winning auction trial is subtracted from this and indicating by a reversal of hatching. C) The epochs of the BDM task as seen by the monkey (not to scale; task does not include arrows in ‘monkey bidding’ epoch). Times are in seconds and indicate the change of the display and the delivery of liquids to the monkey. When the computer bid is revealed trials are fall into ‘monkey wins’ and ‘computer wins’ categories. Where the monkey’s bid (purple) is higher than the random computer bid (green), the monkey wins and pays for the juice offer. In comparison, when the monkey’s bid is lower than the computer’s bid the monkey retains the full 1.2ml water budget but does not receive any juice. After each trial, a random 2.5-3.5 second intertrial interval is interleaved.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15581" id="_x0000_s1041" type="#_x0000_t202" style="position:absolute;margin-left:0;margin-top:324pt;width:480pt;height:207.6pt;z-index:251683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">
                <v:textbox>
                  <w:txbxContent>
                    <w:p w14:paraId="73617409" w14:textId="77777777" w:rsidR="007A22C9" w:rsidRPr="00F72CD4" w:rsidRDefault="007A22C9" w:rsidP="007A22C9">
                      <w:r>
                        <w:rPr>
                          <w:b/>
                          <w:bCs/>
                        </w:rPr>
                        <w:t xml:space="preserve">Figure 3.1a-c) The components of the BDM task used in this thesis. </w:t>
                      </w:r>
                      <w:r w:rsidRPr="00F72CD4">
                        <w:t xml:space="preserve">A) </w:t>
                      </w:r>
                      <w:r>
                        <w:t>The monkey uses a joystick to interact with the task presented on a computer screen at head height 70cm from itself. To manipulate their bid the monkey moves the joystick towards or away from them (‘up/down’). B) the payouts of any trial of the task are defined by the juice offer fractal (indicating a certain magnitude of blackcurrant juice of constant concentration) to be bid for, and the water budget. A ‘full’ budget represents 1.2ml of water. Any payment a monkey makes on a winning auction trial is subtracted from this and indicating by a reversal of hatching. C) The epochs of the BDM task as seen by the monkey (not to scale; task does not include arrows in ‘monkey bidding’ epoch). Times are in seconds and indicate the change of the display and the delivery of liquids to the monkey. When the computer bid is revealed trials are fall into ‘monkey wins’ and ‘computer wins’ categories. Where the monkey’s bid (purple) is higher than the random computer bid (green), the monkey wins and pays for the juice offer. In comparison, when the monkey’s bid is lower than the computer’s bid the monkey retains the full 1.2ml water budget but does not receive any juice. After each trial, a random 2.5-3.5 second intertrial interval is interleaved.</w:t>
                      </w:r>
                    </w:p>
                  </w:txbxContent>
                </v:textbox>
                <w10:wrap type="square" anchorx="margin"/>
              </v:shape>
            </w:pict>
          </mc:Fallback>
        </mc:AlternateContent>
      </w:r>
      <w:r>
        <w:rPr>
          <w:noProof/>
        </w:rPr>
        <w:drawing>
          <wp:anchor distT="0" distB="0" distL="114300" distR="114300" simplePos="0" relativeHeight="251684864" behindDoc="1" locked="0" layoutInCell="1" allowOverlap="1" wp14:anchorId="3E34669A" wp14:editId="7B50ED2C">
            <wp:simplePos x="0" y="0"/>
            <wp:positionH relativeFrom="column">
              <wp:posOffset>0</wp:posOffset>
            </wp:positionH>
            <wp:positionV relativeFrom="paragraph">
              <wp:posOffset>0</wp:posOffset>
            </wp:positionV>
            <wp:extent cx="6184265" cy="3953510"/>
            <wp:effectExtent l="0" t="0" r="6985" b="8890"/>
            <wp:wrapTight wrapText="bothSides">
              <wp:wrapPolygon edited="0">
                <wp:start x="0" y="0"/>
                <wp:lineTo x="0" y="21544"/>
                <wp:lineTo x="21558" y="21544"/>
                <wp:lineTo x="21558" y="0"/>
                <wp:lineTo x="0" y="0"/>
              </wp:wrapPolygon>
            </wp:wrapTight>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84265" cy="3953510"/>
                    </a:xfrm>
                    <a:prstGeom prst="rect">
                      <a:avLst/>
                    </a:prstGeom>
                  </pic:spPr>
                </pic:pic>
              </a:graphicData>
            </a:graphic>
          </wp:anchor>
        </w:drawing>
      </w:r>
    </w:p>
    <w:p w14:paraId="33C85ABC" w14:textId="77777777" w:rsidR="007A22C9" w:rsidRPr="00184E5A" w:rsidRDefault="007A22C9" w:rsidP="007A22C9"/>
    <w:p w14:paraId="284DAE19" w14:textId="77777777" w:rsidR="007A22C9" w:rsidRPr="00184E5A" w:rsidRDefault="007A22C9" w:rsidP="007A22C9"/>
    <w:p w14:paraId="471CB9B7" w14:textId="77777777" w:rsidR="007A22C9" w:rsidRPr="00184E5A" w:rsidRDefault="007A22C9" w:rsidP="007A22C9"/>
    <w:p w14:paraId="340D8A02" w14:textId="77777777" w:rsidR="007A22C9" w:rsidRPr="00184E5A" w:rsidRDefault="007A22C9" w:rsidP="007A22C9"/>
    <w:p w14:paraId="0674311E" w14:textId="77777777" w:rsidR="007A22C9" w:rsidRDefault="007A22C9" w:rsidP="007A22C9"/>
    <w:p w14:paraId="328CFCD4" w14:textId="77777777" w:rsidR="007A22C9" w:rsidRDefault="007A22C9" w:rsidP="007A22C9">
      <w:pPr>
        <w:tabs>
          <w:tab w:val="left" w:pos="1485"/>
        </w:tabs>
      </w:pPr>
      <w:r>
        <w:tab/>
      </w:r>
    </w:p>
    <w:p w14:paraId="65CC1BF1" w14:textId="77777777" w:rsidR="007A22C9" w:rsidRDefault="007A22C9" w:rsidP="007A22C9">
      <w:r>
        <w:rPr>
          <w:noProof/>
        </w:rPr>
        <w:lastRenderedPageBreak/>
        <mc:AlternateContent>
          <mc:Choice Requires="wps">
            <w:drawing>
              <wp:anchor distT="45720" distB="45720" distL="114300" distR="114300" simplePos="0" relativeHeight="251707392" behindDoc="0" locked="0" layoutInCell="1" allowOverlap="1" wp14:anchorId="6AA798E8" wp14:editId="3AA1FA16">
                <wp:simplePos x="0" y="0"/>
                <wp:positionH relativeFrom="margin">
                  <wp:align>left</wp:align>
                </wp:positionH>
                <wp:positionV relativeFrom="paragraph">
                  <wp:posOffset>4861560</wp:posOffset>
                </wp:positionV>
                <wp:extent cx="5913120" cy="1261110"/>
                <wp:effectExtent l="0" t="0" r="11430" b="1524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1261533"/>
                        </a:xfrm>
                        <a:prstGeom prst="rect">
                          <a:avLst/>
                        </a:prstGeom>
                        <a:solidFill>
                          <a:srgbClr val="FFFFFF"/>
                        </a:solidFill>
                        <a:ln w="9525">
                          <a:solidFill>
                            <a:srgbClr val="000000"/>
                          </a:solidFill>
                          <a:miter lim="800000"/>
                          <a:headEnd/>
                          <a:tailEnd/>
                        </a:ln>
                      </wps:spPr>
                      <wps:txbx>
                        <w:txbxContent>
                          <w:p w14:paraId="24747692" w14:textId="77777777" w:rsidR="007A22C9" w:rsidRPr="00E05EA5" w:rsidRDefault="007A22C9" w:rsidP="007A22C9">
                            <w:r>
                              <w:rPr>
                                <w:b/>
                                <w:bCs/>
                              </w:rPr>
                              <w:t xml:space="preserve">Figure 3.2 The weights of the two monkeys over the recording phase of the project. </w:t>
                            </w:r>
                            <w:r>
                              <w:t xml:space="preserve">Monkeys were weighed prior to task performance on a weekly basis. The weights of the two monkeys remained steady of the entirety of the project. Monkey U was relatively large and heavy and monkey V relatively small and skinny, but both were within the normal physiological range for </w:t>
                            </w:r>
                            <w:r>
                              <w:rPr>
                                <w:i/>
                                <w:iCs/>
                              </w:rPr>
                              <w:t>Macaca mulatta</w:t>
                            </w:r>
                            <w:r>
                              <w:t xml:space="preserve"> primates. The weights of the monkeys were used to calculate the liquid supplement given to each after experiments to maintain a minimum level of liquid deprivation.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798E8" id="_x0000_s1042" type="#_x0000_t202" style="position:absolute;margin-left:0;margin-top:382.8pt;width:465.6pt;height:99.3pt;z-index:251707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">
                <v:textbox>
                  <w:txbxContent>
                    <w:p w14:paraId="24747692" w14:textId="77777777" w:rsidR="007A22C9" w:rsidRPr="00E05EA5" w:rsidRDefault="007A22C9" w:rsidP="007A22C9">
                      <w:r>
                        <w:rPr>
                          <w:b/>
                          <w:bCs/>
                        </w:rPr>
                        <w:t xml:space="preserve">Figure 3.2 The weights of the two monkeys over the recording phase of the project. </w:t>
                      </w:r>
                      <w:r>
                        <w:t xml:space="preserve">Monkeys were weighed prior to task performance on a weekly basis. The weights of the two monkeys remained steady of the entirety of the project. Monkey U was relatively large and heavy and monkey V relatively small and skinny, but both were within the normal physiological range for </w:t>
                      </w:r>
                      <w:r>
                        <w:rPr>
                          <w:i/>
                          <w:iCs/>
                        </w:rPr>
                        <w:t>Macaca mulatta</w:t>
                      </w:r>
                      <w:r>
                        <w:t xml:space="preserve"> primates. The weights of the monkeys were used to calculate the liquid supplement given to each after experiments to maintain a minimum level of liquid deprivation.</w:t>
                      </w:r>
                    </w:p>
                  </w:txbxContent>
                </v:textbox>
                <w10:wrap type="square" anchorx="margin"/>
              </v:shape>
            </w:pict>
          </mc:Fallback>
        </mc:AlternateContent>
      </w:r>
      <w:r>
        <w:br w:type="page"/>
      </w:r>
      <w:r>
        <w:rPr>
          <w:noProof/>
        </w:rPr>
        <w:drawing>
          <wp:anchor distT="0" distB="0" distL="114300" distR="114300" simplePos="0" relativeHeight="251706368" behindDoc="1" locked="0" layoutInCell="1" allowOverlap="1" wp14:anchorId="7303F6DB" wp14:editId="7A2219BB">
            <wp:simplePos x="0" y="0"/>
            <wp:positionH relativeFrom="column">
              <wp:posOffset>0</wp:posOffset>
            </wp:positionH>
            <wp:positionV relativeFrom="paragraph">
              <wp:posOffset>0</wp:posOffset>
            </wp:positionV>
            <wp:extent cx="5731510" cy="4900295"/>
            <wp:effectExtent l="0" t="0" r="2540" b="0"/>
            <wp:wrapTight wrapText="bothSides">
              <wp:wrapPolygon edited="0">
                <wp:start x="0" y="0"/>
                <wp:lineTo x="0" y="21496"/>
                <wp:lineTo x="21538" y="21496"/>
                <wp:lineTo x="21538" y="0"/>
                <wp:lineTo x="0" y="0"/>
              </wp:wrapPolygon>
            </wp:wrapTight>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5731510" cy="4900295"/>
                    </a:xfrm>
                    <a:prstGeom prst="rect">
                      <a:avLst/>
                    </a:prstGeom>
                  </pic:spPr>
                </pic:pic>
              </a:graphicData>
            </a:graphic>
          </wp:anchor>
        </w:drawing>
      </w:r>
    </w:p>
    <w:p w14:paraId="6258DEF7" w14:textId="77777777" w:rsidR="007A22C9" w:rsidRDefault="007A22C9" w:rsidP="007A22C9">
      <w:pPr>
        <w:tabs>
          <w:tab w:val="left" w:pos="1485"/>
        </w:tabs>
        <w:rPr>
          <w:noProof/>
        </w:rPr>
      </w:pPr>
      <w:r>
        <w:rPr>
          <w:noProof/>
        </w:rPr>
        <w:lastRenderedPageBreak/>
        <mc:AlternateContent>
          <mc:Choice Requires="wps">
            <w:drawing>
              <wp:anchor distT="45720" distB="45720" distL="114300" distR="114300" simplePos="0" relativeHeight="251685888" behindDoc="0" locked="0" layoutInCell="1" allowOverlap="1" wp14:anchorId="0942039D" wp14:editId="44914812">
                <wp:simplePos x="0" y="0"/>
                <wp:positionH relativeFrom="margin">
                  <wp:align>right</wp:align>
                </wp:positionH>
                <wp:positionV relativeFrom="paragraph">
                  <wp:posOffset>5966460</wp:posOffset>
                </wp:positionV>
                <wp:extent cx="5715000" cy="3093720"/>
                <wp:effectExtent l="0" t="0" r="19050" b="1143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093720"/>
                        </a:xfrm>
                        <a:prstGeom prst="rect">
                          <a:avLst/>
                        </a:prstGeom>
                        <a:solidFill>
                          <a:srgbClr val="FFFFFF"/>
                        </a:solidFill>
                        <a:ln w="9525">
                          <a:solidFill>
                            <a:srgbClr val="000000"/>
                          </a:solidFill>
                          <a:miter lim="800000"/>
                          <a:headEnd/>
                          <a:tailEnd/>
                        </a:ln>
                      </wps:spPr>
                      <wps:txbx>
                        <w:txbxContent>
                          <w:p w14:paraId="40FCD82C" w14:textId="77777777" w:rsidR="007A22C9" w:rsidRPr="000A3A83" w:rsidRDefault="007A22C9" w:rsidP="007A22C9">
                            <w:pPr>
                              <w:rPr>
                                <w:rFonts w:ascii="Times New Roman" w:hAnsi="Times New Roman" w:cs="Times New Roman"/>
                                <w:sz w:val="20"/>
                                <w:szCs w:val="20"/>
                              </w:rPr>
                            </w:pPr>
                            <w:r w:rsidRPr="000A3A83">
                              <w:rPr>
                                <w:rFonts w:ascii="Times New Roman" w:hAnsi="Times New Roman" w:cs="Times New Roman"/>
                                <w:b/>
                                <w:bCs/>
                                <w:sz w:val="20"/>
                                <w:szCs w:val="20"/>
                              </w:rPr>
                              <w:t xml:space="preserve">Figure </w:t>
                            </w:r>
                            <w:r>
                              <w:rPr>
                                <w:rFonts w:ascii="Times New Roman" w:hAnsi="Times New Roman" w:cs="Times New Roman"/>
                                <w:b/>
                                <w:bCs/>
                                <w:sz w:val="20"/>
                                <w:szCs w:val="20"/>
                              </w:rPr>
                              <w:t>3.</w:t>
                            </w:r>
                            <w:r w:rsidRPr="000A3A83">
                              <w:rPr>
                                <w:rFonts w:ascii="Times New Roman" w:hAnsi="Times New Roman" w:cs="Times New Roman"/>
                                <w:b/>
                                <w:bCs/>
                                <w:sz w:val="20"/>
                                <w:szCs w:val="20"/>
                              </w:rPr>
                              <w:t xml:space="preserve">3a-e) Performance of two monkeys on the BDM task over the duration of this project. </w:t>
                            </w:r>
                            <w:r w:rsidRPr="000A3A83">
                              <w:rPr>
                                <w:rFonts w:ascii="Times New Roman" w:hAnsi="Times New Roman" w:cs="Times New Roman"/>
                                <w:sz w:val="20"/>
                                <w:szCs w:val="20"/>
                              </w:rPr>
                              <w:t xml:space="preserve">Two monkeys (‘U’ and ‘V’) were trained on the BDM (see </w:t>
                            </w:r>
                            <w:r w:rsidRPr="000A3A83">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rsidRPr="000A3A83">
                              <w:rPr>
                                <w:rFonts w:ascii="Times New Roman" w:hAnsi="Times New Roman" w:cs="Times New Roman"/>
                                <w:sz w:val="20"/>
                                <w:szCs w:val="20"/>
                              </w:rPr>
                              <w:fldChar w:fldCharType="separate"/>
                            </w:r>
                            <w:r w:rsidRPr="000A3A83">
                              <w:rPr>
                                <w:rFonts w:ascii="Times New Roman" w:hAnsi="Times New Roman" w:cs="Times New Roman"/>
                                <w:noProof/>
                                <w:sz w:val="20"/>
                                <w:szCs w:val="20"/>
                              </w:rPr>
                              <w:t>Al-Mohammad &amp; Schultz, 2019</w:t>
                            </w:r>
                            <w:r w:rsidRPr="000A3A83">
                              <w:rPr>
                                <w:rFonts w:ascii="Times New Roman" w:hAnsi="Times New Roman" w:cs="Times New Roman"/>
                                <w:sz w:val="20"/>
                                <w:szCs w:val="20"/>
                              </w:rPr>
                              <w:fldChar w:fldCharType="end"/>
                            </w:r>
                            <w:r w:rsidRPr="000A3A83">
                              <w:rPr>
                                <w:rFonts w:ascii="Times New Roman" w:hAnsi="Times New Roman" w:cs="Times New Roman"/>
                                <w:sz w:val="20"/>
                                <w:szCs w:val="20"/>
                              </w:rPr>
                              <w:t xml:space="preserve"> and appendix 3.1). Once trained, monkeys performed BDM in 5 sessions per week completing a range of trials per session (A). ‘Complete’ trials indicate that monkeys successfully made bids which were compared against a randomly drawn computer bid and paid out. Incomplete trials resulted in an error timeout and no receipt of juice or water budget. Peaks for both monkeys occur at 200 and 240 trials where sessions were halted by the experimenter to maintain behaviour on subsequent sessions. B) During the initial retraining phase of the project, which aimed for monkeys to complete at least 200 trials per session which they regularly achieved. Dashed lines for Monkey U refer firstly (April 2018) to the initiation of head fixed training and later (October 2018) to the surgical implantation of a recording chamber. The single dashed line for Monkey V (September 2019) refers to the surgical implantation of headbars and a recording chamber after which the monkey was immediately trained to perform auctions while head-fixed. C) BDM trials from the neuronal recording phase of the project were filtered to exclude trials and sessions using a priori criteria (appendix 3.2) resulting in a smaller number of sessions and trials per session. Dashed line indicated mean number of trials (115.9 for Monkey U and 114.3 for Monkey V). D) shows how the number of </w:t>
                            </w:r>
                            <w:r>
                              <w:rPr>
                                <w:rFonts w:ascii="Times New Roman" w:hAnsi="Times New Roman" w:cs="Times New Roman"/>
                                <w:sz w:val="20"/>
                                <w:szCs w:val="20"/>
                              </w:rPr>
                              <w:t>‘</w:t>
                            </w:r>
                            <w:r w:rsidRPr="000A3A83">
                              <w:rPr>
                                <w:rFonts w:ascii="Times New Roman" w:hAnsi="Times New Roman" w:cs="Times New Roman"/>
                                <w:sz w:val="20"/>
                                <w:szCs w:val="20"/>
                              </w:rPr>
                              <w:t>good</w:t>
                            </w:r>
                            <w:r>
                              <w:rPr>
                                <w:rFonts w:ascii="Times New Roman" w:hAnsi="Times New Roman" w:cs="Times New Roman"/>
                                <w:sz w:val="20"/>
                                <w:szCs w:val="20"/>
                              </w:rPr>
                              <w:t>’</w:t>
                            </w:r>
                            <w:r w:rsidRPr="000A3A83">
                              <w:rPr>
                                <w:rFonts w:ascii="Times New Roman" w:hAnsi="Times New Roman" w:cs="Times New Roman"/>
                                <w:sz w:val="20"/>
                                <w:szCs w:val="20"/>
                              </w:rPr>
                              <w:t xml:space="preserve"> BDM trials per session varies over time during this phase. In E) </w:t>
                            </w:r>
                            <w:r>
                              <w:rPr>
                                <w:rFonts w:ascii="Times New Roman" w:hAnsi="Times New Roman" w:cs="Times New Roman"/>
                                <w:sz w:val="20"/>
                                <w:szCs w:val="20"/>
                              </w:rPr>
                              <w:t>the number of trials and sessions are shown for the whole of the project (‘All Sessions’), the neuronal recording phase of ~1 year per monkey (‘Recording Phase’) and of filtered ‘good’ trials completed during the recording phase filtered as in appendix 3.2 (‘Post Exclusion’).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2039D" id="_x0000_s1043" type="#_x0000_t202" style="position:absolute;margin-left:398.8pt;margin-top:469.8pt;width:450pt;height:243.6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">
                <v:textbox>
                  <w:txbxContent>
                    <w:p w14:paraId="40FCD82C" w14:textId="77777777" w:rsidR="007A22C9" w:rsidRPr="000A3A83" w:rsidRDefault="007A22C9" w:rsidP="007A22C9">
                      <w:pPr>
                        <w:rPr>
                          <w:rFonts w:ascii="Times New Roman" w:hAnsi="Times New Roman" w:cs="Times New Roman"/>
                          <w:sz w:val="20"/>
                          <w:szCs w:val="20"/>
                        </w:rPr>
                      </w:pPr>
                      <w:r w:rsidRPr="000A3A83">
                        <w:rPr>
                          <w:rFonts w:ascii="Times New Roman" w:hAnsi="Times New Roman" w:cs="Times New Roman"/>
                          <w:b/>
                          <w:bCs/>
                          <w:sz w:val="20"/>
                          <w:szCs w:val="20"/>
                        </w:rPr>
                        <w:t xml:space="preserve">Figure </w:t>
                      </w:r>
                      <w:r>
                        <w:rPr>
                          <w:rFonts w:ascii="Times New Roman" w:hAnsi="Times New Roman" w:cs="Times New Roman"/>
                          <w:b/>
                          <w:bCs/>
                          <w:sz w:val="20"/>
                          <w:szCs w:val="20"/>
                        </w:rPr>
                        <w:t>3.</w:t>
                      </w:r>
                      <w:r w:rsidRPr="000A3A83">
                        <w:rPr>
                          <w:rFonts w:ascii="Times New Roman" w:hAnsi="Times New Roman" w:cs="Times New Roman"/>
                          <w:b/>
                          <w:bCs/>
                          <w:sz w:val="20"/>
                          <w:szCs w:val="20"/>
                        </w:rPr>
                        <w:t xml:space="preserve">3a-e) Performance of two monkeys on the BDM task over the duration of this project. </w:t>
                      </w:r>
                      <w:r w:rsidRPr="000A3A83">
                        <w:rPr>
                          <w:rFonts w:ascii="Times New Roman" w:hAnsi="Times New Roman" w:cs="Times New Roman"/>
                          <w:sz w:val="20"/>
                          <w:szCs w:val="20"/>
                        </w:rPr>
                        <w:t xml:space="preserve">Two monkeys (‘U’ and ‘V’) were trained on the BDM (see </w:t>
                      </w:r>
                      <w:r w:rsidRPr="000A3A83">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rsidRPr="000A3A83">
                        <w:rPr>
                          <w:rFonts w:ascii="Times New Roman" w:hAnsi="Times New Roman" w:cs="Times New Roman"/>
                          <w:sz w:val="20"/>
                          <w:szCs w:val="20"/>
                        </w:rPr>
                        <w:fldChar w:fldCharType="separate"/>
                      </w:r>
                      <w:r w:rsidRPr="000A3A83">
                        <w:rPr>
                          <w:rFonts w:ascii="Times New Roman" w:hAnsi="Times New Roman" w:cs="Times New Roman"/>
                          <w:noProof/>
                          <w:sz w:val="20"/>
                          <w:szCs w:val="20"/>
                        </w:rPr>
                        <w:t>Al-Mohammad &amp; Schultz, 2019</w:t>
                      </w:r>
                      <w:r w:rsidRPr="000A3A83">
                        <w:rPr>
                          <w:rFonts w:ascii="Times New Roman" w:hAnsi="Times New Roman" w:cs="Times New Roman"/>
                          <w:sz w:val="20"/>
                          <w:szCs w:val="20"/>
                        </w:rPr>
                        <w:fldChar w:fldCharType="end"/>
                      </w:r>
                      <w:r w:rsidRPr="000A3A83">
                        <w:rPr>
                          <w:rFonts w:ascii="Times New Roman" w:hAnsi="Times New Roman" w:cs="Times New Roman"/>
                          <w:sz w:val="20"/>
                          <w:szCs w:val="20"/>
                        </w:rPr>
                        <w:t xml:space="preserve"> and appendix 3.1). Once trained, monkeys performed BDM in 5 sessions per week completing a range of trials per session (A). ‘Complete’ trials indicate that monkeys successfully made bids which were compared against a randomly drawn computer bid and paid out. Incomplete trials resulted in an error timeout and no receipt of juice or water budget. Peaks for both monkeys occur at 200 and 240 trials where sessions were halted by the experimenter to maintain behaviour on subsequent sessions. B) During the initial retraining phase of the project, which aimed for monkeys to complete at least 200 trials per session which they regularly achieved. Dashed lines for Monkey U refer firstly (April 2018) to the initiation of head fixed training and later (October 2018) to the surgical implantation of a recording chamber. The single dashed line for Monkey V (September 2019) refers to the surgical implantation of headbars and a recording chamber after which the monkey was immediately trained to perform auctions while head-fixed. C) BDM trials from the neuronal recording phase of the project were filtered to exclude trials and sessions using a priori criteria (appendix 3.2) resulting in a smaller number of sessions and trials per session. Dashed line indicated mean number of trials (115.9 for Monkey U and 114.3 for Monkey V). D) shows how the number of </w:t>
                      </w:r>
                      <w:r>
                        <w:rPr>
                          <w:rFonts w:ascii="Times New Roman" w:hAnsi="Times New Roman" w:cs="Times New Roman"/>
                          <w:sz w:val="20"/>
                          <w:szCs w:val="20"/>
                        </w:rPr>
                        <w:t>‘</w:t>
                      </w:r>
                      <w:r w:rsidRPr="000A3A83">
                        <w:rPr>
                          <w:rFonts w:ascii="Times New Roman" w:hAnsi="Times New Roman" w:cs="Times New Roman"/>
                          <w:sz w:val="20"/>
                          <w:szCs w:val="20"/>
                        </w:rPr>
                        <w:t>good</w:t>
                      </w:r>
                      <w:r>
                        <w:rPr>
                          <w:rFonts w:ascii="Times New Roman" w:hAnsi="Times New Roman" w:cs="Times New Roman"/>
                          <w:sz w:val="20"/>
                          <w:szCs w:val="20"/>
                        </w:rPr>
                        <w:t>’</w:t>
                      </w:r>
                      <w:r w:rsidRPr="000A3A83">
                        <w:rPr>
                          <w:rFonts w:ascii="Times New Roman" w:hAnsi="Times New Roman" w:cs="Times New Roman"/>
                          <w:sz w:val="20"/>
                          <w:szCs w:val="20"/>
                        </w:rPr>
                        <w:t xml:space="preserve"> BDM trials per session varies over time during this phase. In E) </w:t>
                      </w:r>
                      <w:r>
                        <w:rPr>
                          <w:rFonts w:ascii="Times New Roman" w:hAnsi="Times New Roman" w:cs="Times New Roman"/>
                          <w:sz w:val="20"/>
                          <w:szCs w:val="20"/>
                        </w:rPr>
                        <w:t>the number of trials and sessions are shown for the whole of the project (‘All Sessions’), the neuronal recording phase of ~1 year per monkey (‘Recording Phase’) and of filtered ‘good’ trials completed during the recording phase filtered as in appendix 3.2 (‘Post Exclusion’).</w:t>
                      </w:r>
                    </w:p>
                  </w:txbxContent>
                </v:textbox>
                <w10:wrap type="square" anchorx="margin"/>
              </v:shape>
            </w:pict>
          </mc:Fallback>
        </mc:AlternateContent>
      </w:r>
      <w:r>
        <w:rPr>
          <w:noProof/>
        </w:rPr>
        <w:drawing>
          <wp:anchor distT="0" distB="0" distL="114300" distR="114300" simplePos="0" relativeHeight="251686912" behindDoc="1" locked="0" layoutInCell="1" allowOverlap="1" wp14:anchorId="1486B08F" wp14:editId="0E302582">
            <wp:simplePos x="0" y="0"/>
            <wp:positionH relativeFrom="margin">
              <wp:align>left</wp:align>
            </wp:positionH>
            <wp:positionV relativeFrom="paragraph">
              <wp:posOffset>0</wp:posOffset>
            </wp:positionV>
            <wp:extent cx="5731510" cy="5922010"/>
            <wp:effectExtent l="0" t="0" r="2540" b="2540"/>
            <wp:wrapTight wrapText="bothSides">
              <wp:wrapPolygon edited="0">
                <wp:start x="0" y="0"/>
                <wp:lineTo x="0" y="18205"/>
                <wp:lineTo x="287" y="18899"/>
                <wp:lineTo x="287" y="21540"/>
                <wp:lineTo x="21538" y="21540"/>
                <wp:lineTo x="21538" y="18483"/>
                <wp:lineTo x="21251" y="17788"/>
                <wp:lineTo x="21251" y="0"/>
                <wp:lineTo x="0" y="0"/>
              </wp:wrapPolygon>
            </wp:wrapTight>
            <wp:docPr id="53" name="Picture 5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5922010"/>
                    </a:xfrm>
                    <a:prstGeom prst="rect">
                      <a:avLst/>
                    </a:prstGeom>
                  </pic:spPr>
                </pic:pic>
              </a:graphicData>
            </a:graphic>
            <wp14:sizeRelH relativeFrom="margin">
              <wp14:pctWidth>0</wp14:pctWidth>
            </wp14:sizeRelH>
            <wp14:sizeRelV relativeFrom="margin">
              <wp14:pctHeight>0</wp14:pctHeight>
            </wp14:sizeRelV>
          </wp:anchor>
        </w:drawing>
      </w:r>
    </w:p>
    <w:p w14:paraId="066E9196" w14:textId="77777777" w:rsidR="007A22C9" w:rsidRDefault="007A22C9" w:rsidP="007A22C9">
      <w:pPr>
        <w:rPr>
          <w:noProof/>
        </w:rPr>
      </w:pPr>
      <w:r>
        <w:rPr>
          <w:noProof/>
        </w:rPr>
        <w:drawing>
          <wp:anchor distT="0" distB="0" distL="114300" distR="114300" simplePos="0" relativeHeight="251688960" behindDoc="1" locked="0" layoutInCell="1" allowOverlap="1" wp14:anchorId="681BB19C" wp14:editId="09798F28">
            <wp:simplePos x="0" y="0"/>
            <wp:positionH relativeFrom="margin">
              <wp:align>left</wp:align>
            </wp:positionH>
            <wp:positionV relativeFrom="paragraph">
              <wp:posOffset>0</wp:posOffset>
            </wp:positionV>
            <wp:extent cx="5731510" cy="5088890"/>
            <wp:effectExtent l="0" t="0" r="2540" b="0"/>
            <wp:wrapTight wrapText="bothSides">
              <wp:wrapPolygon edited="0">
                <wp:start x="0" y="0"/>
                <wp:lineTo x="0" y="21508"/>
                <wp:lineTo x="21538" y="21508"/>
                <wp:lineTo x="21538" y="0"/>
                <wp:lineTo x="0" y="0"/>
              </wp:wrapPolygon>
            </wp:wrapTight>
            <wp:docPr id="54" name="Graphic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5731510" cy="5088890"/>
                    </a:xfrm>
                    <a:prstGeom prst="rect">
                      <a:avLst/>
                    </a:prstGeom>
                  </pic:spPr>
                </pic:pic>
              </a:graphicData>
            </a:graphic>
          </wp:anchor>
        </w:drawing>
      </w:r>
      <w:r>
        <w:rPr>
          <w:noProof/>
        </w:rPr>
        <mc:AlternateContent>
          <mc:Choice Requires="wps">
            <w:drawing>
              <wp:anchor distT="45720" distB="45720" distL="114300" distR="114300" simplePos="0" relativeHeight="251687936" behindDoc="0" locked="0" layoutInCell="1" allowOverlap="1" wp14:anchorId="1775B113" wp14:editId="1916DA94">
                <wp:simplePos x="0" y="0"/>
                <wp:positionH relativeFrom="margin">
                  <wp:align>right</wp:align>
                </wp:positionH>
                <wp:positionV relativeFrom="paragraph">
                  <wp:posOffset>5102860</wp:posOffset>
                </wp:positionV>
                <wp:extent cx="5707380" cy="2049780"/>
                <wp:effectExtent l="0" t="0" r="26670" b="2667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049780"/>
                        </a:xfrm>
                        <a:prstGeom prst="rect">
                          <a:avLst/>
                        </a:prstGeom>
                        <a:solidFill>
                          <a:srgbClr val="FFFFFF"/>
                        </a:solidFill>
                        <a:ln w="9525">
                          <a:solidFill>
                            <a:srgbClr val="000000"/>
                          </a:solidFill>
                          <a:miter lim="800000"/>
                          <a:headEnd/>
                          <a:tailEnd/>
                        </a:ln>
                      </wps:spPr>
                      <wps:txbx>
                        <w:txbxContent>
                          <w:p w14:paraId="2D64DC4F" w14:textId="77777777" w:rsidR="007A22C9" w:rsidRPr="00283B18" w:rsidRDefault="007A22C9" w:rsidP="007A22C9">
                            <w:pPr>
                              <w:rPr>
                                <w:rFonts w:ascii="Times New Roman" w:hAnsi="Times New Roman" w:cs="Times New Roman"/>
                                <w:sz w:val="20"/>
                                <w:szCs w:val="20"/>
                              </w:rPr>
                            </w:pPr>
                            <w:r w:rsidRPr="00234A68">
                              <w:rPr>
                                <w:rFonts w:ascii="Times New Roman" w:hAnsi="Times New Roman" w:cs="Times New Roman"/>
                                <w:b/>
                                <w:bCs/>
                                <w:sz w:val="20"/>
                                <w:szCs w:val="20"/>
                              </w:rPr>
                              <w:t>Figure 3.4a-d) Monkeys show rank ordered bidding on the BDM auction task.</w:t>
                            </w:r>
                            <w:r>
                              <w:rPr>
                                <w:rFonts w:ascii="Times New Roman" w:hAnsi="Times New Roman" w:cs="Times New Roman"/>
                                <w:b/>
                                <w:bCs/>
                                <w:sz w:val="20"/>
                                <w:szCs w:val="20"/>
                              </w:rPr>
                              <w:t xml:space="preserve"> </w:t>
                            </w:r>
                            <w:r>
                              <w:rPr>
                                <w:rFonts w:ascii="Times New Roman" w:hAnsi="Times New Roman" w:cs="Times New Roman"/>
                                <w:sz w:val="20"/>
                                <w:szCs w:val="20"/>
                              </w:rPr>
                              <w:t>A) boxplots of each individual bid made by either monkey during the recording phase, post exclusion (n = 18893 for Monkey U; 16241 for Monkey V). Bids are separated by monkey and by the level of the reward offer into ‘high’, ‘medium’, and ‘low’ categories whose magnitude varied by monkey but were consistent across the entire phase (0.2, 0.45, 0.7ml Monkey U; 0.3, 1.0, 1.7ml Monkey V). B) boxplots of the mean bid per reward level per session (n = 163 for Monkey U; 142 for Monkey V) for each monkey. Individual mean session bids are overlaid in a beeswarm. Stars for plots A and B indicate significance for all corrected pairwise Wilcoxon comparisons p &lt; 0.0001. C) the proportion of individual sessions for which a one-sided Wilcoxon test (uncorrected) between all bids made by a monkey showed significant differences (p &lt; 0.05) in the level of the bid. X axis shows reward offer levels tested between, ‘low’, ‘med’ (medium), and ‘high’. D) Estimate of the Spearman</w:t>
                            </w:r>
                            <w:r w:rsidRPr="00DF7ECE">
                              <w:rPr>
                                <w:rFonts w:ascii="Times New Roman" w:hAnsi="Times New Roman" w:cs="Times New Roman"/>
                                <w:sz w:val="20"/>
                                <w:szCs w:val="20"/>
                              </w:rPr>
                              <w:t>’s</w:t>
                            </w:r>
                            <w:r w:rsidRPr="00DF7ECE">
                              <w:rPr>
                                <w:rFonts w:ascii="Times New Roman" w:hAnsi="Times New Roman" w:cs="Times New Roman"/>
                                <w:color w:val="202124"/>
                                <w:sz w:val="20"/>
                                <w:szCs w:val="20"/>
                                <w:shd w:val="clear" w:color="auto" w:fill="FFFFFF"/>
                              </w:rPr>
                              <w:t xml:space="preserve"> ρ</w:t>
                            </w:r>
                            <w:r>
                              <w:rPr>
                                <w:rFonts w:ascii="Times New Roman" w:hAnsi="Times New Roman" w:cs="Times New Roman"/>
                                <w:color w:val="202124"/>
                                <w:sz w:val="20"/>
                                <w:szCs w:val="20"/>
                                <w:shd w:val="clear" w:color="auto" w:fill="FFFFFF"/>
                              </w:rPr>
                              <w:t xml:space="preserve"> between the reward offer level and the monkey’s bids per date. Dashed lines indicate mean Spearman’s</w:t>
                            </w:r>
                            <w:r w:rsidRPr="00DF7ECE">
                              <w:rPr>
                                <w:rFonts w:ascii="Times New Roman" w:hAnsi="Times New Roman" w:cs="Times New Roman"/>
                                <w:color w:val="202124"/>
                                <w:sz w:val="20"/>
                                <w:szCs w:val="20"/>
                                <w:shd w:val="clear" w:color="auto" w:fill="FFFFFF"/>
                              </w:rPr>
                              <w:t xml:space="preserve"> ρ</w:t>
                            </w:r>
                            <w:r>
                              <w:rPr>
                                <w:rFonts w:ascii="Times New Roman" w:hAnsi="Times New Roman" w:cs="Times New Roman"/>
                                <w:color w:val="202124"/>
                                <w:sz w:val="20"/>
                                <w:szCs w:val="20"/>
                                <w:shd w:val="clear" w:color="auto" w:fill="FFFFFF"/>
                              </w:rPr>
                              <w:t xml:space="preserve"> over the entire period (0.632 for Monkey U; 0.672 for Monkey V).</w:t>
                            </w:r>
                            <w:r w:rsidRPr="00DF7ECE">
                              <w:rPr>
                                <w:rFonts w:ascii="Arial" w:hAnsi="Arial" w:cs="Arial"/>
                                <w:color w:val="202124"/>
                                <w:shd w:val="clear" w:color="auto" w:fill="FFFFF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75B113" id="_x0000_s1044" type="#_x0000_t202" style="position:absolute;margin-left:398.2pt;margin-top:401.8pt;width:449.4pt;height:161.4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">
                <v:textbox>
                  <w:txbxContent>
                    <w:p w14:paraId="2D64DC4F" w14:textId="77777777" w:rsidR="007A22C9" w:rsidRPr="00283B18" w:rsidRDefault="007A22C9" w:rsidP="007A22C9">
                      <w:pPr>
                        <w:rPr>
                          <w:rFonts w:ascii="Times New Roman" w:hAnsi="Times New Roman" w:cs="Times New Roman"/>
                          <w:sz w:val="20"/>
                          <w:szCs w:val="20"/>
                        </w:rPr>
                      </w:pPr>
                      <w:r w:rsidRPr="00234A68">
                        <w:rPr>
                          <w:rFonts w:ascii="Times New Roman" w:hAnsi="Times New Roman" w:cs="Times New Roman"/>
                          <w:b/>
                          <w:bCs/>
                          <w:sz w:val="20"/>
                          <w:szCs w:val="20"/>
                        </w:rPr>
                        <w:t>Figure 3.4a-d) Monkeys show rank ordered bidding on the BDM auction task.</w:t>
                      </w:r>
                      <w:r>
                        <w:rPr>
                          <w:rFonts w:ascii="Times New Roman" w:hAnsi="Times New Roman" w:cs="Times New Roman"/>
                          <w:b/>
                          <w:bCs/>
                          <w:sz w:val="20"/>
                          <w:szCs w:val="20"/>
                        </w:rPr>
                        <w:t xml:space="preserve"> </w:t>
                      </w:r>
                      <w:r>
                        <w:rPr>
                          <w:rFonts w:ascii="Times New Roman" w:hAnsi="Times New Roman" w:cs="Times New Roman"/>
                          <w:sz w:val="20"/>
                          <w:szCs w:val="20"/>
                        </w:rPr>
                        <w:t>A) boxplots of each individual bid made by either monkey during the recording phase, post exclusion (n = 18893 for Monkey U; 16241 for Monkey V). Bids are separated by monkey and by the level of the reward offer into ‘high’, ‘medium’, and ‘low’ categories whose magnitude varied by monkey but were consistent across the entire phase (0.2, 0.45, 0.7ml Monkey U; 0.3, 1.0, 1.7ml Monkey V). B) boxplots of the mean bid per reward level per session (n = 163 for Monkey U; 142 for Monkey V) for each monkey. Individual mean session bids are overlaid in a beeswarm. Stars for plots A and B indicate significance for all corrected pairwise Wilcoxon comparisons p &lt; 0.0001. C) the proportion of individual sessions for which a one-sided Wilcoxon test (uncorrected) between all bids made by a monkey showed significant differences (p &lt; 0.05) in the level of the bid. X axis shows reward offer levels tested between, ‘low’, ‘med’ (medium), and ‘high’. D) Estimate of the Spearman</w:t>
                      </w:r>
                      <w:r w:rsidRPr="00DF7ECE">
                        <w:rPr>
                          <w:rFonts w:ascii="Times New Roman" w:hAnsi="Times New Roman" w:cs="Times New Roman"/>
                          <w:sz w:val="20"/>
                          <w:szCs w:val="20"/>
                        </w:rPr>
                        <w:t>’s</w:t>
                      </w:r>
                      <w:r w:rsidRPr="00DF7ECE">
                        <w:rPr>
                          <w:rFonts w:ascii="Times New Roman" w:hAnsi="Times New Roman" w:cs="Times New Roman"/>
                          <w:color w:val="202124"/>
                          <w:sz w:val="20"/>
                          <w:szCs w:val="20"/>
                          <w:shd w:val="clear" w:color="auto" w:fill="FFFFFF"/>
                        </w:rPr>
                        <w:t xml:space="preserve"> ρ</w:t>
                      </w:r>
                      <w:r>
                        <w:rPr>
                          <w:rFonts w:ascii="Times New Roman" w:hAnsi="Times New Roman" w:cs="Times New Roman"/>
                          <w:color w:val="202124"/>
                          <w:sz w:val="20"/>
                          <w:szCs w:val="20"/>
                          <w:shd w:val="clear" w:color="auto" w:fill="FFFFFF"/>
                        </w:rPr>
                        <w:t xml:space="preserve"> between the reward offer level and the monkey’s bids per date. Dashed lines indicate mean Spearman’s</w:t>
                      </w:r>
                      <w:r w:rsidRPr="00DF7ECE">
                        <w:rPr>
                          <w:rFonts w:ascii="Times New Roman" w:hAnsi="Times New Roman" w:cs="Times New Roman"/>
                          <w:color w:val="202124"/>
                          <w:sz w:val="20"/>
                          <w:szCs w:val="20"/>
                          <w:shd w:val="clear" w:color="auto" w:fill="FFFFFF"/>
                        </w:rPr>
                        <w:t xml:space="preserve"> ρ</w:t>
                      </w:r>
                      <w:r>
                        <w:rPr>
                          <w:rFonts w:ascii="Times New Roman" w:hAnsi="Times New Roman" w:cs="Times New Roman"/>
                          <w:color w:val="202124"/>
                          <w:sz w:val="20"/>
                          <w:szCs w:val="20"/>
                          <w:shd w:val="clear" w:color="auto" w:fill="FFFFFF"/>
                        </w:rPr>
                        <w:t xml:space="preserve"> over the entire period (0.632 for Monkey U; 0.672 for Monkey V).</w:t>
                      </w:r>
                      <w:r w:rsidRPr="00DF7ECE">
                        <w:rPr>
                          <w:rFonts w:ascii="Arial" w:hAnsi="Arial" w:cs="Arial"/>
                          <w:color w:val="202124"/>
                          <w:shd w:val="clear" w:color="auto" w:fill="FFFFFF"/>
                        </w:rPr>
                        <w:t xml:space="preserve"> </w:t>
                      </w:r>
                    </w:p>
                  </w:txbxContent>
                </v:textbox>
                <w10:wrap type="square" anchorx="margin"/>
              </v:shape>
            </w:pict>
          </mc:Fallback>
        </mc:AlternateContent>
      </w:r>
    </w:p>
    <w:p w14:paraId="5AD3D187" w14:textId="77777777" w:rsidR="007A22C9" w:rsidRDefault="007A22C9" w:rsidP="007A22C9">
      <w:pPr>
        <w:rPr>
          <w:noProof/>
        </w:rPr>
      </w:pPr>
    </w:p>
    <w:p w14:paraId="0B19FE10" w14:textId="77777777" w:rsidR="007A22C9" w:rsidRDefault="007A22C9" w:rsidP="007A22C9">
      <w:pPr>
        <w:tabs>
          <w:tab w:val="left" w:pos="2387"/>
        </w:tabs>
      </w:pPr>
      <w:r>
        <w:tab/>
      </w:r>
    </w:p>
    <w:p w14:paraId="7F34735E" w14:textId="77777777" w:rsidR="007A22C9" w:rsidRDefault="007A22C9" w:rsidP="007A22C9">
      <w:r>
        <w:br w:type="page"/>
      </w:r>
    </w:p>
    <w:p w14:paraId="1A3AC8E6" w14:textId="77777777" w:rsidR="007A22C9" w:rsidRDefault="007A22C9" w:rsidP="007A22C9">
      <w:pPr>
        <w:jc w:val="center"/>
        <w:rPr>
          <w:b/>
          <w:bCs/>
        </w:rPr>
      </w:pPr>
      <w:r>
        <w:rPr>
          <w:noProof/>
        </w:rPr>
        <w:lastRenderedPageBreak/>
        <mc:AlternateContent>
          <mc:Choice Requires="wps">
            <w:drawing>
              <wp:anchor distT="45720" distB="45720" distL="114300" distR="114300" simplePos="0" relativeHeight="251689984" behindDoc="0" locked="0" layoutInCell="1" allowOverlap="1" wp14:anchorId="1CCC2DD8" wp14:editId="60077548">
                <wp:simplePos x="0" y="0"/>
                <wp:positionH relativeFrom="margin">
                  <wp:align>right</wp:align>
                </wp:positionH>
                <wp:positionV relativeFrom="paragraph">
                  <wp:posOffset>5185410</wp:posOffset>
                </wp:positionV>
                <wp:extent cx="5707380" cy="1708785"/>
                <wp:effectExtent l="0" t="0" r="26670" b="2476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709057"/>
                        </a:xfrm>
                        <a:prstGeom prst="rect">
                          <a:avLst/>
                        </a:prstGeom>
                        <a:solidFill>
                          <a:srgbClr val="FFFFFF"/>
                        </a:solidFill>
                        <a:ln w="9525">
                          <a:solidFill>
                            <a:srgbClr val="000000"/>
                          </a:solidFill>
                          <a:miter lim="800000"/>
                          <a:headEnd/>
                          <a:tailEnd/>
                        </a:ln>
                      </wps:spPr>
                      <wps:txbx>
                        <w:txbxContent>
                          <w:p w14:paraId="5A9FB9C5" w14:textId="77777777" w:rsidR="007A22C9" w:rsidRPr="00127D08" w:rsidRDefault="007A22C9" w:rsidP="007A22C9">
                            <w:pPr>
                              <w:rPr>
                                <w:rFonts w:ascii="Times New Roman" w:hAnsi="Times New Roman" w:cs="Times New Roman"/>
                              </w:rPr>
                            </w:pPr>
                            <w:r w:rsidRPr="00127D08">
                              <w:rPr>
                                <w:rFonts w:ascii="Times New Roman" w:hAnsi="Times New Roman" w:cs="Times New Roman"/>
                                <w:b/>
                                <w:bCs/>
                                <w:color w:val="FF0000"/>
                              </w:rPr>
                              <w:t xml:space="preserve">CHANGE COUNT TO TRIAL COUNT ON FIGS INC 3.3 </w:t>
                            </w:r>
                            <w:r w:rsidRPr="00127D08">
                              <w:rPr>
                                <w:rFonts w:ascii="Times New Roman" w:hAnsi="Times New Roman" w:cs="Times New Roman"/>
                                <w:b/>
                                <w:bCs/>
                              </w:rPr>
                              <w:t>Figure 3.</w:t>
                            </w:r>
                            <w:r w:rsidRPr="00127D08">
                              <w:rPr>
                                <w:rFonts w:ascii="Times New Roman" w:hAnsi="Times New Roman" w:cs="Times New Roman"/>
                                <w:b/>
                                <w:bCs/>
                                <w:color w:val="202124"/>
                                <w:shd w:val="clear" w:color="auto" w:fill="FFFFFF"/>
                              </w:rPr>
                              <w:t>5</w:t>
                            </w:r>
                            <w:r>
                              <w:rPr>
                                <w:rFonts w:ascii="Times New Roman" w:hAnsi="Times New Roman" w:cs="Times New Roman"/>
                                <w:b/>
                                <w:bCs/>
                                <w:color w:val="202124"/>
                                <w:shd w:val="clear" w:color="auto" w:fill="FFFFFF"/>
                              </w:rPr>
                              <w:t>a-b)</w:t>
                            </w:r>
                            <w:r w:rsidRPr="00127D08">
                              <w:rPr>
                                <w:rFonts w:ascii="Times New Roman" w:hAnsi="Times New Roman" w:cs="Times New Roman"/>
                                <w:b/>
                                <w:bCs/>
                                <w:color w:val="202124"/>
                                <w:shd w:val="clear" w:color="auto" w:fill="FFFFFF"/>
                              </w:rPr>
                              <w:t xml:space="preserve"> Monkey joystick behaviour while completing the BDM task.</w:t>
                            </w:r>
                            <w:r>
                              <w:rPr>
                                <w:rFonts w:ascii="Times New Roman" w:hAnsi="Times New Roman" w:cs="Times New Roman"/>
                                <w:color w:val="202124"/>
                                <w:shd w:val="clear" w:color="auto" w:fill="FFFFFF"/>
                              </w:rPr>
                              <w:t xml:space="preserve"> Trained monkeys were able to quickly move bids to their preferred locations. A) The total time spent moving a bid from the beginning of the bidding epoch. Monkey U was slightly faster to make bids in general. This graph does not include the time the joystick had to be held still to ‘place’ bids (see methods). Note the slightly longer tail for Monkey V whose ‘placement time’ was reduced from 1 second to 700ms. When considering the total time spent moving the joystick (i.e. from the first movement of the bidding indicator to the last) monkeys, especially Monkey U, show behaviour that seems to fall more into two populations of ‘fast’ and ‘slow’ bids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C2DD8" id="_x0000_s1045" type="#_x0000_t202" style="position:absolute;left:0;text-align:left;margin-left:398.2pt;margin-top:408.3pt;width:449.4pt;height:134.55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">
                <v:textbox>
                  <w:txbxContent>
                    <w:p w14:paraId="5A9FB9C5" w14:textId="77777777" w:rsidR="007A22C9" w:rsidRPr="00127D08" w:rsidRDefault="007A22C9" w:rsidP="007A22C9">
                      <w:pPr>
                        <w:rPr>
                          <w:rFonts w:ascii="Times New Roman" w:hAnsi="Times New Roman" w:cs="Times New Roman"/>
                        </w:rPr>
                      </w:pPr>
                      <w:r w:rsidRPr="00127D08">
                        <w:rPr>
                          <w:rFonts w:ascii="Times New Roman" w:hAnsi="Times New Roman" w:cs="Times New Roman"/>
                          <w:b/>
                          <w:bCs/>
                          <w:color w:val="FF0000"/>
                        </w:rPr>
                        <w:t xml:space="preserve">CHANGE COUNT TO TRIAL COUNT ON FIGS INC 3.3 </w:t>
                      </w:r>
                      <w:r w:rsidRPr="00127D08">
                        <w:rPr>
                          <w:rFonts w:ascii="Times New Roman" w:hAnsi="Times New Roman" w:cs="Times New Roman"/>
                          <w:b/>
                          <w:bCs/>
                        </w:rPr>
                        <w:t>Figure 3.</w:t>
                      </w:r>
                      <w:r w:rsidRPr="00127D08">
                        <w:rPr>
                          <w:rFonts w:ascii="Times New Roman" w:hAnsi="Times New Roman" w:cs="Times New Roman"/>
                          <w:b/>
                          <w:bCs/>
                          <w:color w:val="202124"/>
                          <w:shd w:val="clear" w:color="auto" w:fill="FFFFFF"/>
                        </w:rPr>
                        <w:t>5</w:t>
                      </w:r>
                      <w:r>
                        <w:rPr>
                          <w:rFonts w:ascii="Times New Roman" w:hAnsi="Times New Roman" w:cs="Times New Roman"/>
                          <w:b/>
                          <w:bCs/>
                          <w:color w:val="202124"/>
                          <w:shd w:val="clear" w:color="auto" w:fill="FFFFFF"/>
                        </w:rPr>
                        <w:t>a-b)</w:t>
                      </w:r>
                      <w:r w:rsidRPr="00127D08">
                        <w:rPr>
                          <w:rFonts w:ascii="Times New Roman" w:hAnsi="Times New Roman" w:cs="Times New Roman"/>
                          <w:b/>
                          <w:bCs/>
                          <w:color w:val="202124"/>
                          <w:shd w:val="clear" w:color="auto" w:fill="FFFFFF"/>
                        </w:rPr>
                        <w:t xml:space="preserve"> Monkey joystick behaviour while completing the BDM task.</w:t>
                      </w:r>
                      <w:r>
                        <w:rPr>
                          <w:rFonts w:ascii="Times New Roman" w:hAnsi="Times New Roman" w:cs="Times New Roman"/>
                          <w:color w:val="202124"/>
                          <w:shd w:val="clear" w:color="auto" w:fill="FFFFFF"/>
                        </w:rPr>
                        <w:t xml:space="preserve"> Trained monkeys were able to quickly move bids to their preferred locations. A) The total time spent moving a bid from the beginning of the bidding epoch. Monkey U was slightly faster to make bids in general. This graph does not include the time the joystick had to be held still to ‘place’ bids (see methods). Note the slightly longer tail for Monkey V whose ‘placement time’ was reduced from 1 second to 700ms. When considering the total time spent moving the joystick (i.e. from the first movement of the bidding indicator to the last) monkeys, especially Monkey U, show behaviour that seems to fall more into two populations of ‘fast’ and ‘slow’ bids (B).</w:t>
                      </w:r>
                    </w:p>
                  </w:txbxContent>
                </v:textbox>
                <w10:wrap type="square" anchorx="margin"/>
              </v:shape>
            </w:pict>
          </mc:Fallback>
        </mc:AlternateContent>
      </w:r>
      <w:r>
        <w:rPr>
          <w:b/>
          <w:bCs/>
          <w:noProof/>
        </w:rPr>
        <w:drawing>
          <wp:inline distT="0" distB="0" distL="0" distR="0" wp14:anchorId="192B45BE" wp14:editId="2C1F43CB">
            <wp:extent cx="5731510" cy="5089525"/>
            <wp:effectExtent l="0" t="0" r="2540" b="0"/>
            <wp:docPr id="55" name="Graphic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731510" cy="5089525"/>
                    </a:xfrm>
                    <a:prstGeom prst="rect">
                      <a:avLst/>
                    </a:prstGeom>
                  </pic:spPr>
                </pic:pic>
              </a:graphicData>
            </a:graphic>
          </wp:inline>
        </w:drawing>
      </w:r>
    </w:p>
    <w:p w14:paraId="5C39DAD2" w14:textId="77777777" w:rsidR="007A22C9" w:rsidRPr="008D35B5" w:rsidRDefault="007A22C9" w:rsidP="007A22C9"/>
    <w:p w14:paraId="328C9E21" w14:textId="77777777" w:rsidR="007A22C9" w:rsidRPr="008D35B5" w:rsidRDefault="007A22C9" w:rsidP="007A22C9"/>
    <w:p w14:paraId="579B2AC8" w14:textId="77777777" w:rsidR="007A22C9" w:rsidRPr="008D35B5" w:rsidRDefault="007A22C9" w:rsidP="007A22C9"/>
    <w:p w14:paraId="76C52FD7" w14:textId="77777777" w:rsidR="007A22C9" w:rsidRDefault="007A22C9" w:rsidP="007A22C9">
      <w:pPr>
        <w:rPr>
          <w:b/>
          <w:bCs/>
        </w:rPr>
      </w:pPr>
    </w:p>
    <w:p w14:paraId="05C94E9C" w14:textId="77777777" w:rsidR="007A22C9" w:rsidRDefault="007A22C9" w:rsidP="007A22C9">
      <w:r>
        <w:br w:type="page"/>
      </w:r>
    </w:p>
    <w:p w14:paraId="16D961C2" w14:textId="77777777" w:rsidR="007A22C9" w:rsidRDefault="007A22C9" w:rsidP="007A22C9">
      <w:pPr>
        <w:jc w:val="center"/>
      </w:pPr>
      <w:r>
        <w:rPr>
          <w:noProof/>
        </w:rPr>
        <w:lastRenderedPageBreak/>
        <mc:AlternateContent>
          <mc:Choice Requires="wps">
            <w:drawing>
              <wp:anchor distT="45720" distB="45720" distL="114300" distR="114300" simplePos="0" relativeHeight="251691008" behindDoc="0" locked="0" layoutInCell="1" allowOverlap="1" wp14:anchorId="46789E4F" wp14:editId="1C5E1531">
                <wp:simplePos x="0" y="0"/>
                <wp:positionH relativeFrom="margin">
                  <wp:align>right</wp:align>
                </wp:positionH>
                <wp:positionV relativeFrom="paragraph">
                  <wp:posOffset>5198473</wp:posOffset>
                </wp:positionV>
                <wp:extent cx="5707380" cy="1501775"/>
                <wp:effectExtent l="0" t="0" r="26670" b="2222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501775"/>
                        </a:xfrm>
                        <a:prstGeom prst="rect">
                          <a:avLst/>
                        </a:prstGeom>
                        <a:solidFill>
                          <a:srgbClr val="FFFFFF"/>
                        </a:solidFill>
                        <a:ln w="9525">
                          <a:solidFill>
                            <a:srgbClr val="000000"/>
                          </a:solidFill>
                          <a:miter lim="800000"/>
                          <a:headEnd/>
                          <a:tailEnd/>
                        </a:ln>
                      </wps:spPr>
                      <wps:txbx>
                        <w:txbxContent>
                          <w:p w14:paraId="60FC4465" w14:textId="77777777" w:rsidR="007A22C9" w:rsidRPr="001A3FC0" w:rsidRDefault="007A22C9" w:rsidP="007A22C9">
                            <w:pPr>
                              <w:rPr>
                                <w:rFonts w:ascii="Times New Roman" w:hAnsi="Times New Roman" w:cs="Times New Roman"/>
                              </w:rPr>
                            </w:pPr>
                            <w:r>
                              <w:rPr>
                                <w:rFonts w:ascii="Times New Roman" w:hAnsi="Times New Roman" w:cs="Times New Roman"/>
                                <w:b/>
                                <w:bCs/>
                              </w:rPr>
                              <w:t>Figure 3.6 Distinct clusters of bidding activity can be seen when studying the relationship between the time spent moving the joystick and the net bidding movement per trial.</w:t>
                            </w:r>
                            <w:r>
                              <w:rPr>
                                <w:rFonts w:ascii="Times New Roman" w:hAnsi="Times New Roman" w:cs="Times New Roman"/>
                              </w:rPr>
                              <w:t xml:space="preserve"> For each monkey, the time to place bid and time spent moving the joystick (see figure 3.5) are plotted against the gross (total) bidding movement or the net bidding movement. Both x axis are plotted as modular values. Points are coloured by the reward level offered in the trial. Both monkeys show similar patterns of strong correlation between time to place bids and total bidding movement, and clusters of patterns between time spent moving the joystick and net bidding movement.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789E4F" id="_x0000_s1046" type="#_x0000_t202" style="position:absolute;left:0;text-align:left;margin-left:398.2pt;margin-top:409.35pt;width:449.4pt;height:118.25pt;z-index:251691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">
                <v:textbox>
                  <w:txbxContent>
                    <w:p w14:paraId="60FC4465" w14:textId="77777777" w:rsidR="007A22C9" w:rsidRPr="001A3FC0" w:rsidRDefault="007A22C9" w:rsidP="007A22C9">
                      <w:pPr>
                        <w:rPr>
                          <w:rFonts w:ascii="Times New Roman" w:hAnsi="Times New Roman" w:cs="Times New Roman"/>
                        </w:rPr>
                      </w:pPr>
                      <w:r>
                        <w:rPr>
                          <w:rFonts w:ascii="Times New Roman" w:hAnsi="Times New Roman" w:cs="Times New Roman"/>
                          <w:b/>
                          <w:bCs/>
                        </w:rPr>
                        <w:t>Figure 3.6 Distinct clusters of bidding activity can be seen when studying the relationship between the time spent moving the joystick and the net bidding movement per trial.</w:t>
                      </w:r>
                      <w:r>
                        <w:rPr>
                          <w:rFonts w:ascii="Times New Roman" w:hAnsi="Times New Roman" w:cs="Times New Roman"/>
                        </w:rPr>
                        <w:t xml:space="preserve"> For each monkey, the time to place bid and time spent moving the joystick (see figure 3.5) are plotted against the gross (total) bidding movement or the net bidding movement. Both x axis are plotted as modular values. Points are coloured by the reward level offered in the trial. Both monkeys show similar patterns of strong correlation between time to place bids and total bidding movement, and clusters of patterns between time spent moving the joystick and net bidding movement.</w:t>
                      </w:r>
                    </w:p>
                  </w:txbxContent>
                </v:textbox>
                <w10:wrap type="square" anchorx="margin"/>
              </v:shape>
            </w:pict>
          </mc:Fallback>
        </mc:AlternateContent>
      </w:r>
      <w:r>
        <w:rPr>
          <w:noProof/>
        </w:rPr>
        <w:drawing>
          <wp:inline distT="0" distB="0" distL="0" distR="0" wp14:anchorId="605FC022" wp14:editId="545AAF31">
            <wp:extent cx="5731510" cy="5089525"/>
            <wp:effectExtent l="0" t="0" r="2540" b="0"/>
            <wp:docPr id="56" name="Picture 5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scatter ch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2C8813F6" w14:textId="77777777" w:rsidR="007A22C9" w:rsidRDefault="007A22C9" w:rsidP="007A22C9">
      <w:r>
        <w:br w:type="page"/>
      </w:r>
    </w:p>
    <w:p w14:paraId="7B729EF4" w14:textId="77777777" w:rsidR="007A22C9" w:rsidRDefault="007A22C9" w:rsidP="007A22C9">
      <w:pPr>
        <w:jc w:val="center"/>
      </w:pPr>
      <w:r>
        <w:rPr>
          <w:noProof/>
        </w:rPr>
        <w:lastRenderedPageBreak/>
        <mc:AlternateContent>
          <mc:Choice Requires="wps">
            <w:drawing>
              <wp:anchor distT="45720" distB="45720" distL="114300" distR="114300" simplePos="0" relativeHeight="251692032" behindDoc="0" locked="0" layoutInCell="1" allowOverlap="1" wp14:anchorId="35FFD8A6" wp14:editId="332716B9">
                <wp:simplePos x="0" y="0"/>
                <wp:positionH relativeFrom="margin">
                  <wp:posOffset>-203200</wp:posOffset>
                </wp:positionH>
                <wp:positionV relativeFrom="paragraph">
                  <wp:posOffset>5206365</wp:posOffset>
                </wp:positionV>
                <wp:extent cx="5707380" cy="952500"/>
                <wp:effectExtent l="0" t="0" r="26670" b="1905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952500"/>
                        </a:xfrm>
                        <a:prstGeom prst="rect">
                          <a:avLst/>
                        </a:prstGeom>
                        <a:solidFill>
                          <a:srgbClr val="FFFFFF"/>
                        </a:solidFill>
                        <a:ln w="9525">
                          <a:solidFill>
                            <a:srgbClr val="000000"/>
                          </a:solidFill>
                          <a:miter lim="800000"/>
                          <a:headEnd/>
                          <a:tailEnd/>
                        </a:ln>
                      </wps:spPr>
                      <wps:txbx>
                        <w:txbxContent>
                          <w:p w14:paraId="3F1DFEDE" w14:textId="77777777" w:rsidR="007A22C9" w:rsidRPr="001A3FC0" w:rsidRDefault="007A22C9" w:rsidP="007A22C9">
                            <w:pPr>
                              <w:rPr>
                                <w:rFonts w:ascii="Times New Roman" w:hAnsi="Times New Roman" w:cs="Times New Roman"/>
                              </w:rPr>
                            </w:pPr>
                            <w:r>
                              <w:rPr>
                                <w:rFonts w:ascii="Times New Roman" w:hAnsi="Times New Roman" w:cs="Times New Roman"/>
                                <w:b/>
                                <w:bCs/>
                              </w:rPr>
                              <w:t>Figure 3.7 Distinct clusters of bidding activity can be seen when studying the relationship between the time spent moving the joystick and the net bidding movement per trial.</w:t>
                            </w:r>
                            <w:r>
                              <w:rPr>
                                <w:rFonts w:ascii="Times New Roman" w:hAnsi="Times New Roman" w:cs="Times New Roman"/>
                              </w:rPr>
                              <w:t xml:space="preserve"> Points plotted as in figure 3.6 but are coloured by the monkey’s final bid from low (yellow) to high (purple).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FFD8A6" id="_x0000_s1047" type="#_x0000_t202" style="position:absolute;left:0;text-align:left;margin-left:-16pt;margin-top:409.95pt;width:449.4pt;height:7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">
                <v:textbox>
                  <w:txbxContent>
                    <w:p w14:paraId="3F1DFEDE" w14:textId="77777777" w:rsidR="007A22C9" w:rsidRPr="001A3FC0" w:rsidRDefault="007A22C9" w:rsidP="007A22C9">
                      <w:pPr>
                        <w:rPr>
                          <w:rFonts w:ascii="Times New Roman" w:hAnsi="Times New Roman" w:cs="Times New Roman"/>
                        </w:rPr>
                      </w:pPr>
                      <w:r>
                        <w:rPr>
                          <w:rFonts w:ascii="Times New Roman" w:hAnsi="Times New Roman" w:cs="Times New Roman"/>
                          <w:b/>
                          <w:bCs/>
                        </w:rPr>
                        <w:t>Figure 3.7 Distinct clusters of bidding activity can be seen when studying the relationship between the time spent moving the joystick and the net bidding movement per trial.</w:t>
                      </w:r>
                      <w:r>
                        <w:rPr>
                          <w:rFonts w:ascii="Times New Roman" w:hAnsi="Times New Roman" w:cs="Times New Roman"/>
                        </w:rPr>
                        <w:t xml:space="preserve"> Points plotted as in figure 3.6 but are coloured by the monkey’s final bid from low (yellow) to high (purple).</w:t>
                      </w:r>
                    </w:p>
                  </w:txbxContent>
                </v:textbox>
                <w10:wrap type="square" anchorx="margin"/>
              </v:shape>
            </w:pict>
          </mc:Fallback>
        </mc:AlternateContent>
      </w:r>
      <w:r>
        <w:rPr>
          <w:noProof/>
        </w:rPr>
        <w:drawing>
          <wp:inline distT="0" distB="0" distL="0" distR="0" wp14:anchorId="7D9F7671" wp14:editId="698FD8F1">
            <wp:extent cx="5731510" cy="5089525"/>
            <wp:effectExtent l="0" t="0" r="2540" b="0"/>
            <wp:docPr id="57" name="Picture 5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scatter char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7748E7A1" w14:textId="77777777" w:rsidR="007A22C9" w:rsidRDefault="007A22C9" w:rsidP="007A22C9">
      <w:pPr>
        <w:tabs>
          <w:tab w:val="left" w:pos="2388"/>
        </w:tabs>
      </w:pPr>
      <w:r>
        <w:tab/>
      </w:r>
    </w:p>
    <w:p w14:paraId="42EB0865" w14:textId="77777777" w:rsidR="007A22C9" w:rsidRPr="00E91750" w:rsidRDefault="007A22C9" w:rsidP="007A22C9"/>
    <w:p w14:paraId="4DADDCBD" w14:textId="77777777" w:rsidR="007A22C9" w:rsidRPr="00E91750" w:rsidRDefault="007A22C9" w:rsidP="007A22C9"/>
    <w:p w14:paraId="21FA1488" w14:textId="77777777" w:rsidR="007A22C9" w:rsidRPr="00E91750" w:rsidRDefault="007A22C9" w:rsidP="007A22C9"/>
    <w:p w14:paraId="11F25F07" w14:textId="77777777" w:rsidR="007A22C9" w:rsidRPr="00E91750" w:rsidRDefault="007A22C9" w:rsidP="007A22C9"/>
    <w:p w14:paraId="1A345D2C" w14:textId="77777777" w:rsidR="007A22C9" w:rsidRPr="00E91750" w:rsidRDefault="007A22C9" w:rsidP="007A22C9"/>
    <w:p w14:paraId="65E71B5A" w14:textId="77777777" w:rsidR="007A22C9" w:rsidRPr="00E91750" w:rsidRDefault="007A22C9" w:rsidP="007A22C9"/>
    <w:p w14:paraId="6E1138A3" w14:textId="77777777" w:rsidR="007A22C9" w:rsidRDefault="007A22C9" w:rsidP="007A22C9">
      <w:pPr>
        <w:tabs>
          <w:tab w:val="left" w:pos="3456"/>
        </w:tabs>
      </w:pPr>
      <w:r>
        <w:tab/>
      </w:r>
    </w:p>
    <w:p w14:paraId="25B6C977" w14:textId="77777777" w:rsidR="007A22C9" w:rsidRDefault="007A22C9" w:rsidP="007A22C9">
      <w:r>
        <w:br w:type="page"/>
      </w:r>
    </w:p>
    <w:p w14:paraId="705BA4A2" w14:textId="77777777" w:rsidR="007A22C9" w:rsidRDefault="007A22C9" w:rsidP="007A22C9">
      <w:r>
        <w:rPr>
          <w:noProof/>
        </w:rPr>
        <w:lastRenderedPageBreak/>
        <mc:AlternateContent>
          <mc:Choice Requires="wps">
            <w:drawing>
              <wp:anchor distT="45720" distB="45720" distL="114300" distR="114300" simplePos="0" relativeHeight="251693056" behindDoc="0" locked="0" layoutInCell="1" allowOverlap="1" wp14:anchorId="4E82742F" wp14:editId="7DB018B8">
                <wp:simplePos x="0" y="0"/>
                <wp:positionH relativeFrom="margin">
                  <wp:align>left</wp:align>
                </wp:positionH>
                <wp:positionV relativeFrom="paragraph">
                  <wp:posOffset>5169073</wp:posOffset>
                </wp:positionV>
                <wp:extent cx="5707380" cy="1402080"/>
                <wp:effectExtent l="0" t="0" r="26670" b="2667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402080"/>
                        </a:xfrm>
                        <a:prstGeom prst="rect">
                          <a:avLst/>
                        </a:prstGeom>
                        <a:solidFill>
                          <a:srgbClr val="FFFFFF"/>
                        </a:solidFill>
                        <a:ln w="9525">
                          <a:solidFill>
                            <a:srgbClr val="000000"/>
                          </a:solidFill>
                          <a:miter lim="800000"/>
                          <a:headEnd/>
                          <a:tailEnd/>
                        </a:ln>
                      </wps:spPr>
                      <wps:txbx>
                        <w:txbxContent>
                          <w:p w14:paraId="07E2A709" w14:textId="77777777" w:rsidR="007A22C9" w:rsidRPr="00E91750" w:rsidRDefault="007A22C9" w:rsidP="007A22C9">
                            <w:pPr>
                              <w:rPr>
                                <w:rFonts w:ascii="Times New Roman" w:hAnsi="Times New Roman" w:cs="Times New Roman"/>
                              </w:rPr>
                            </w:pPr>
                            <w:r>
                              <w:rPr>
                                <w:rFonts w:ascii="Times New Roman" w:hAnsi="Times New Roman" w:cs="Times New Roman"/>
                                <w:b/>
                                <w:bCs/>
                              </w:rPr>
                              <w:t xml:space="preserve">Figure 3.8a-b) Clustering of monkey bidding behaviour. </w:t>
                            </w:r>
                            <w:r>
                              <w:rPr>
                                <w:rFonts w:ascii="Times New Roman" w:hAnsi="Times New Roman" w:cs="Times New Roman"/>
                              </w:rPr>
                              <w:t>A) Bidding behaviour using the time spent moving the joystick and net bidding movement (see figures 3.6 and 3.7) as coordinates is used to train a k-means clustering algorithm. Within cluster sum of squares is used to identify an elbow in the variance explained by the addition of clusters which confirms the priors of 3 clusters in the data. B) Individual bids are shown as in figures 3.6 and 3.7, coloured by their cluster as determined using k-means clustering. Clusters numbers have been rearranged for consistency between monkeys.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82742F" id="_x0000_s1048" type="#_x0000_t202" style="position:absolute;margin-left:0;margin-top:407pt;width:449.4pt;height:110.4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">
                <v:textbox>
                  <w:txbxContent>
                    <w:p w14:paraId="07E2A709" w14:textId="77777777" w:rsidR="007A22C9" w:rsidRPr="00E91750" w:rsidRDefault="007A22C9" w:rsidP="007A22C9">
                      <w:pPr>
                        <w:rPr>
                          <w:rFonts w:ascii="Times New Roman" w:hAnsi="Times New Roman" w:cs="Times New Roman"/>
                        </w:rPr>
                      </w:pPr>
                      <w:r>
                        <w:rPr>
                          <w:rFonts w:ascii="Times New Roman" w:hAnsi="Times New Roman" w:cs="Times New Roman"/>
                          <w:b/>
                          <w:bCs/>
                        </w:rPr>
                        <w:t xml:space="preserve">Figure 3.8a-b) Clustering of monkey bidding behaviour. </w:t>
                      </w:r>
                      <w:r>
                        <w:rPr>
                          <w:rFonts w:ascii="Times New Roman" w:hAnsi="Times New Roman" w:cs="Times New Roman"/>
                        </w:rPr>
                        <w:t>A) Bidding behaviour using the time spent moving the joystick and net bidding movement (see figures 3.6 and 3.7) as coordinates is used to train a k-means clustering algorithm. Within cluster sum of squares is used to identify an elbow in the variance explained by the addition of clusters which confirms the priors of 3 clusters in the data. B) Individual bids are shown as in figures 3.6 and 3.7, coloured by their cluster as determined using k-means clustering. Clusters numbers have been rearranged for consistency between monkeys.</w:t>
                      </w:r>
                    </w:p>
                  </w:txbxContent>
                </v:textbox>
                <w10:wrap type="square" anchorx="margin"/>
              </v:shape>
            </w:pict>
          </mc:Fallback>
        </mc:AlternateContent>
      </w:r>
      <w:r>
        <w:rPr>
          <w:noProof/>
        </w:rPr>
        <w:drawing>
          <wp:inline distT="0" distB="0" distL="0" distR="0" wp14:anchorId="67B14F64" wp14:editId="183F959C">
            <wp:extent cx="5731510" cy="5082540"/>
            <wp:effectExtent l="0" t="0" r="2540" b="3810"/>
            <wp:docPr id="58" name="Picture 58" descr="Chart,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diagram&#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5731510" cy="5082540"/>
                    </a:xfrm>
                    <a:prstGeom prst="rect">
                      <a:avLst/>
                    </a:prstGeom>
                  </pic:spPr>
                </pic:pic>
              </a:graphicData>
            </a:graphic>
          </wp:inline>
        </w:drawing>
      </w:r>
      <w:r>
        <w:br w:type="page"/>
      </w:r>
    </w:p>
    <w:p w14:paraId="06C7C2DB" w14:textId="77777777" w:rsidR="007A22C9" w:rsidRPr="00E91750" w:rsidRDefault="007A22C9" w:rsidP="007A22C9">
      <w:pPr>
        <w:tabs>
          <w:tab w:val="left" w:pos="3456"/>
        </w:tabs>
      </w:pPr>
      <w:r>
        <w:rPr>
          <w:noProof/>
        </w:rPr>
        <w:lastRenderedPageBreak/>
        <mc:AlternateContent>
          <mc:Choice Requires="wps">
            <w:drawing>
              <wp:anchor distT="45720" distB="45720" distL="114300" distR="114300" simplePos="0" relativeHeight="251694080" behindDoc="0" locked="0" layoutInCell="1" allowOverlap="1" wp14:anchorId="5A5B32D3" wp14:editId="77B9A87C">
                <wp:simplePos x="0" y="0"/>
                <wp:positionH relativeFrom="margin">
                  <wp:align>right</wp:align>
                </wp:positionH>
                <wp:positionV relativeFrom="paragraph">
                  <wp:posOffset>5240655</wp:posOffset>
                </wp:positionV>
                <wp:extent cx="5707380" cy="998220"/>
                <wp:effectExtent l="0" t="0" r="26670" b="1143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998220"/>
                        </a:xfrm>
                        <a:prstGeom prst="rect">
                          <a:avLst/>
                        </a:prstGeom>
                        <a:solidFill>
                          <a:srgbClr val="FFFFFF"/>
                        </a:solidFill>
                        <a:ln w="9525">
                          <a:solidFill>
                            <a:srgbClr val="000000"/>
                          </a:solidFill>
                          <a:miter lim="800000"/>
                          <a:headEnd/>
                          <a:tailEnd/>
                        </a:ln>
                      </wps:spPr>
                      <wps:txbx>
                        <w:txbxContent>
                          <w:p w14:paraId="23E470B7" w14:textId="77777777" w:rsidR="007A22C9" w:rsidRPr="00BE06C6" w:rsidRDefault="007A22C9" w:rsidP="007A22C9">
                            <w:pPr>
                              <w:rPr>
                                <w:rFonts w:ascii="Times New Roman" w:hAnsi="Times New Roman" w:cs="Times New Roman"/>
                              </w:rPr>
                            </w:pPr>
                            <w:r>
                              <w:rPr>
                                <w:rFonts w:ascii="Times New Roman" w:hAnsi="Times New Roman" w:cs="Times New Roman"/>
                                <w:b/>
                                <w:bCs/>
                              </w:rPr>
                              <w:t xml:space="preserve">Figure 3.9 Individual bids made by monkeys coloured by cluster. </w:t>
                            </w:r>
                            <w:r>
                              <w:rPr>
                                <w:rFonts w:ascii="Times New Roman" w:hAnsi="Times New Roman" w:cs="Times New Roman"/>
                              </w:rPr>
                              <w:t>Clusters from figure 3.8 are imposed on traces of the bidding indicator bars movement over time. Trials per monkey are spit by reward level offered and by the starting bid decile, where 1 is the lowest (bid starting in 0-10% of the budget bar). Dotted lines indicate the mean monkey bid per reward level, compared to dashed lines which indicate mean monkey bid per reward level and starting bid decile.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B32D3" id="_x0000_s1049" type="#_x0000_t202" style="position:absolute;margin-left:398.2pt;margin-top:412.65pt;width:449.4pt;height:78.6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">
                <v:textbox>
                  <w:txbxContent>
                    <w:p w14:paraId="23E470B7" w14:textId="77777777" w:rsidR="007A22C9" w:rsidRPr="00BE06C6" w:rsidRDefault="007A22C9" w:rsidP="007A22C9">
                      <w:pPr>
                        <w:rPr>
                          <w:rFonts w:ascii="Times New Roman" w:hAnsi="Times New Roman" w:cs="Times New Roman"/>
                        </w:rPr>
                      </w:pPr>
                      <w:r>
                        <w:rPr>
                          <w:rFonts w:ascii="Times New Roman" w:hAnsi="Times New Roman" w:cs="Times New Roman"/>
                          <w:b/>
                          <w:bCs/>
                        </w:rPr>
                        <w:t xml:space="preserve">Figure 3.9 Individual bids made by monkeys coloured by cluster. </w:t>
                      </w:r>
                      <w:r>
                        <w:rPr>
                          <w:rFonts w:ascii="Times New Roman" w:hAnsi="Times New Roman" w:cs="Times New Roman"/>
                        </w:rPr>
                        <w:t>Clusters from figure 3.8 are imposed on traces of the bidding indicator bars movement over time. Trials per monkey are spit by reward level offered and by the starting bid decile, where 1 is the lowest (bid starting in 0-10% of the budget bar). Dotted lines indicate the mean monkey bid per reward level, compared to dashed lines which indicate mean monkey bid per reward level and starting bid decile.</w:t>
                      </w:r>
                    </w:p>
                  </w:txbxContent>
                </v:textbox>
                <w10:wrap type="square" anchorx="margin"/>
              </v:shape>
            </w:pict>
          </mc:Fallback>
        </mc:AlternateContent>
      </w:r>
      <w:r>
        <w:rPr>
          <w:noProof/>
        </w:rPr>
        <w:drawing>
          <wp:inline distT="0" distB="0" distL="0" distR="0" wp14:anchorId="2881831A" wp14:editId="0B8F3F36">
            <wp:extent cx="5731510" cy="5089525"/>
            <wp:effectExtent l="0" t="0" r="2540" b="0"/>
            <wp:docPr id="59" name="Picture 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388B0388" w14:textId="77777777" w:rsidR="007A22C9" w:rsidRPr="00E91750" w:rsidRDefault="007A22C9" w:rsidP="007A22C9"/>
    <w:p w14:paraId="4813462F" w14:textId="77777777" w:rsidR="007A22C9" w:rsidRPr="00E91750" w:rsidRDefault="007A22C9" w:rsidP="007A22C9"/>
    <w:p w14:paraId="26784162" w14:textId="77777777" w:rsidR="007A22C9" w:rsidRDefault="007A22C9" w:rsidP="007A22C9"/>
    <w:p w14:paraId="6E710AF0" w14:textId="77777777" w:rsidR="007A22C9" w:rsidRPr="00A321D4" w:rsidRDefault="007A22C9" w:rsidP="007A22C9"/>
    <w:p w14:paraId="01BD9E30" w14:textId="77777777" w:rsidR="007A22C9" w:rsidRPr="00A321D4" w:rsidRDefault="007A22C9" w:rsidP="007A22C9"/>
    <w:p w14:paraId="626A5ACC" w14:textId="77777777" w:rsidR="007A22C9" w:rsidRPr="00A321D4" w:rsidRDefault="007A22C9" w:rsidP="007A22C9"/>
    <w:p w14:paraId="252A2944" w14:textId="77777777" w:rsidR="007A22C9" w:rsidRPr="00A321D4" w:rsidRDefault="007A22C9" w:rsidP="007A22C9"/>
    <w:p w14:paraId="5D7DE86C" w14:textId="77777777" w:rsidR="007A22C9" w:rsidRPr="00A321D4" w:rsidRDefault="007A22C9" w:rsidP="007A22C9"/>
    <w:p w14:paraId="424A6574" w14:textId="77777777" w:rsidR="007A22C9" w:rsidRPr="00A321D4" w:rsidRDefault="007A22C9" w:rsidP="007A22C9"/>
    <w:p w14:paraId="3B22F466" w14:textId="77777777" w:rsidR="007A22C9" w:rsidRDefault="007A22C9" w:rsidP="007A22C9">
      <w:r>
        <w:rPr>
          <w:noProof/>
        </w:rPr>
        <w:lastRenderedPageBreak/>
        <mc:AlternateContent>
          <mc:Choice Requires="wps">
            <w:drawing>
              <wp:anchor distT="45720" distB="45720" distL="114300" distR="114300" simplePos="0" relativeHeight="251695104" behindDoc="0" locked="0" layoutInCell="1" allowOverlap="1" wp14:anchorId="1178A807" wp14:editId="5CD2CADD">
                <wp:simplePos x="0" y="0"/>
                <wp:positionH relativeFrom="margin">
                  <wp:align>left</wp:align>
                </wp:positionH>
                <wp:positionV relativeFrom="paragraph">
                  <wp:posOffset>5189855</wp:posOffset>
                </wp:positionV>
                <wp:extent cx="5707380" cy="1501140"/>
                <wp:effectExtent l="0" t="0" r="26670" b="2286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501140"/>
                        </a:xfrm>
                        <a:prstGeom prst="rect">
                          <a:avLst/>
                        </a:prstGeom>
                        <a:solidFill>
                          <a:srgbClr val="FFFFFF"/>
                        </a:solidFill>
                        <a:ln w="9525">
                          <a:solidFill>
                            <a:srgbClr val="000000"/>
                          </a:solidFill>
                          <a:miter lim="800000"/>
                          <a:headEnd/>
                          <a:tailEnd/>
                        </a:ln>
                      </wps:spPr>
                      <wps:txbx>
                        <w:txbxContent>
                          <w:p w14:paraId="5755C308" w14:textId="77777777" w:rsidR="007A22C9" w:rsidRPr="004E7DB5" w:rsidRDefault="007A22C9" w:rsidP="007A22C9">
                            <w:pPr>
                              <w:rPr>
                                <w:rFonts w:ascii="Times New Roman" w:hAnsi="Times New Roman" w:cs="Times New Roman"/>
                              </w:rPr>
                            </w:pPr>
                            <w:r>
                              <w:rPr>
                                <w:rFonts w:ascii="Times New Roman" w:hAnsi="Times New Roman" w:cs="Times New Roman"/>
                                <w:b/>
                                <w:bCs/>
                              </w:rPr>
                              <w:t xml:space="preserve">Figure 3.10a-b) The effect of the randomly drawn starting bid on the monkey’s final bid. </w:t>
                            </w:r>
                            <w:r>
                              <w:rPr>
                                <w:rFonts w:ascii="Times New Roman" w:hAnsi="Times New Roman" w:cs="Times New Roman"/>
                              </w:rPr>
                              <w:t>A) The difference of a monkey’s final bid to the mean final bid per reward level is shown against the randomly drawn starting bid of the trial. The mean bid per reward level is also indicated via a vertical dashed line. B) The difference between the mean bid per reward level and starting bid decile is compared to the mean bid per reward level. I.e. the mean effect of the starting decile on the monkey’s final bid. Negative values indicate that the starting bid decile leads the monkey to bid lower than would be expect, and vice versa. Error bars are standard error of the mean.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8A807" id="_x0000_s1050" type="#_x0000_t202" style="position:absolute;margin-left:0;margin-top:408.65pt;width:449.4pt;height:118.2pt;z-index:251695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">
                <v:textbox>
                  <w:txbxContent>
                    <w:p w14:paraId="5755C308" w14:textId="77777777" w:rsidR="007A22C9" w:rsidRPr="004E7DB5" w:rsidRDefault="007A22C9" w:rsidP="007A22C9">
                      <w:pPr>
                        <w:rPr>
                          <w:rFonts w:ascii="Times New Roman" w:hAnsi="Times New Roman" w:cs="Times New Roman"/>
                        </w:rPr>
                      </w:pPr>
                      <w:r>
                        <w:rPr>
                          <w:rFonts w:ascii="Times New Roman" w:hAnsi="Times New Roman" w:cs="Times New Roman"/>
                          <w:b/>
                          <w:bCs/>
                        </w:rPr>
                        <w:t xml:space="preserve">Figure 3.10a-b) The effect of the randomly drawn starting bid on the monkey’s final bid. </w:t>
                      </w:r>
                      <w:r>
                        <w:rPr>
                          <w:rFonts w:ascii="Times New Roman" w:hAnsi="Times New Roman" w:cs="Times New Roman"/>
                        </w:rPr>
                        <w:t>A) The difference of a monkey’s final bid to the mean final bid per reward level is shown against the randomly drawn starting bid of the trial. The mean bid per reward level is also indicated via a vertical dashed line. B) The difference between the mean bid per reward level and starting bid decile is compared to the mean bid per reward level. I.e. the mean effect of the starting decile on the monkey’s final bid. Negative values indicate that the starting bid decile leads the monkey to bid lower than would be expect, and vice versa. Error bars are standard error of the mean.</w:t>
                      </w:r>
                    </w:p>
                  </w:txbxContent>
                </v:textbox>
                <w10:wrap type="square" anchorx="margin"/>
              </v:shape>
            </w:pict>
          </mc:Fallback>
        </mc:AlternateContent>
      </w:r>
      <w:r>
        <w:rPr>
          <w:noProof/>
        </w:rPr>
        <w:drawing>
          <wp:inline distT="0" distB="0" distL="0" distR="0" wp14:anchorId="1DBD7494" wp14:editId="082E01A6">
            <wp:extent cx="5731510" cy="5090160"/>
            <wp:effectExtent l="0" t="0" r="2540" b="0"/>
            <wp:docPr id="60" name="Picture 6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731510" cy="5090160"/>
                    </a:xfrm>
                    <a:prstGeom prst="rect">
                      <a:avLst/>
                    </a:prstGeom>
                  </pic:spPr>
                </pic:pic>
              </a:graphicData>
            </a:graphic>
          </wp:inline>
        </w:drawing>
      </w:r>
    </w:p>
    <w:p w14:paraId="4706BE0D" w14:textId="77777777" w:rsidR="007A22C9" w:rsidRDefault="007A22C9" w:rsidP="007A22C9">
      <w:pPr>
        <w:tabs>
          <w:tab w:val="left" w:pos="5340"/>
        </w:tabs>
      </w:pPr>
    </w:p>
    <w:p w14:paraId="68B5E01F" w14:textId="77777777" w:rsidR="007A22C9" w:rsidRPr="008E4F9F" w:rsidRDefault="007A22C9" w:rsidP="007A22C9"/>
    <w:p w14:paraId="2463F894" w14:textId="77777777" w:rsidR="007A22C9" w:rsidRPr="008E4F9F" w:rsidRDefault="007A22C9" w:rsidP="007A22C9"/>
    <w:p w14:paraId="2A440E26" w14:textId="77777777" w:rsidR="007A22C9" w:rsidRPr="008E4F9F" w:rsidRDefault="007A22C9" w:rsidP="007A22C9"/>
    <w:p w14:paraId="0FDF8D1E" w14:textId="77777777" w:rsidR="007A22C9" w:rsidRPr="008E4F9F" w:rsidRDefault="007A22C9" w:rsidP="007A22C9"/>
    <w:p w14:paraId="0E356C0D" w14:textId="77777777" w:rsidR="007A22C9" w:rsidRPr="008E4F9F" w:rsidRDefault="007A22C9" w:rsidP="007A22C9"/>
    <w:p w14:paraId="327EF262" w14:textId="77777777" w:rsidR="007A22C9" w:rsidRDefault="007A22C9" w:rsidP="007A22C9">
      <w:pPr>
        <w:tabs>
          <w:tab w:val="left" w:pos="3072"/>
        </w:tabs>
      </w:pPr>
      <w:r>
        <w:tab/>
      </w:r>
    </w:p>
    <w:p w14:paraId="4B257444" w14:textId="77777777" w:rsidR="007A22C9" w:rsidRDefault="007A22C9" w:rsidP="007A22C9"/>
    <w:p w14:paraId="76EA264C" w14:textId="77777777" w:rsidR="007A22C9" w:rsidRDefault="007A22C9" w:rsidP="007A22C9">
      <w:pPr>
        <w:rPr>
          <w:rFonts w:ascii="Times New Roman" w:hAnsi="Times New Roman" w:cs="Times New Roman"/>
          <w:b/>
          <w:bCs/>
        </w:rPr>
      </w:pPr>
      <w:r>
        <w:rPr>
          <w:noProof/>
        </w:rPr>
        <w:lastRenderedPageBreak/>
        <mc:AlternateContent>
          <mc:Choice Requires="wps">
            <w:drawing>
              <wp:anchor distT="45720" distB="45720" distL="114300" distR="114300" simplePos="0" relativeHeight="251709440" behindDoc="0" locked="0" layoutInCell="1" allowOverlap="1" wp14:anchorId="6801F367" wp14:editId="2DE395CE">
                <wp:simplePos x="0" y="0"/>
                <wp:positionH relativeFrom="margin">
                  <wp:align>right</wp:align>
                </wp:positionH>
                <wp:positionV relativeFrom="paragraph">
                  <wp:posOffset>4770120</wp:posOffset>
                </wp:positionV>
                <wp:extent cx="5707380" cy="2628900"/>
                <wp:effectExtent l="0" t="0" r="26670" b="1905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628900"/>
                        </a:xfrm>
                        <a:prstGeom prst="rect">
                          <a:avLst/>
                        </a:prstGeom>
                        <a:solidFill>
                          <a:srgbClr val="FFFFFF"/>
                        </a:solidFill>
                        <a:ln w="9525">
                          <a:solidFill>
                            <a:srgbClr val="000000"/>
                          </a:solidFill>
                          <a:miter lim="800000"/>
                          <a:headEnd/>
                          <a:tailEnd/>
                        </a:ln>
                      </wps:spPr>
                      <wps:txbx>
                        <w:txbxContent>
                          <w:p w14:paraId="64FCEC32" w14:textId="77777777" w:rsidR="007A22C9" w:rsidRPr="00692B2A" w:rsidRDefault="007A22C9" w:rsidP="007A22C9">
                            <w:pPr>
                              <w:rPr>
                                <w:rFonts w:ascii="Times New Roman" w:hAnsi="Times New Roman" w:cs="Times New Roman"/>
                              </w:rPr>
                            </w:pPr>
                            <w:r>
                              <w:rPr>
                                <w:rFonts w:ascii="Times New Roman" w:hAnsi="Times New Roman" w:cs="Times New Roman"/>
                                <w:b/>
                                <w:bCs/>
                              </w:rPr>
                              <w:t>Figure 3.11a-b) The distribution of independent and dependent variables selected for the BDM task.</w:t>
                            </w:r>
                            <w:r>
                              <w:rPr>
                                <w:rFonts w:ascii="Times New Roman" w:hAnsi="Times New Roman" w:cs="Times New Roman"/>
                              </w:rPr>
                              <w:t xml:space="preserve"> In a) the distributions (diagonal) of each selected independent variable is shown coloured by reward level (red = lowest magnitude juice, green = middle, blue = highest). ‘juice’ refers to the ml of juice offered at each level; ‘total liquid’ is the total ml of liquid the monkey has received that day; ‘start bid’ is the randomly drawn starting bid of the trial; ‘last opp bid’ refers to the randomly drawn computer bid on the last trial; ‘last win’ is a binary variable indicating if the monkey won (1) or lost (0) the last trial. Note, variable names have been changed here compared to figure 3.12 in the interest of space. No variables show strong co-correlation (dots and best fit linear model plots) except for the last computer bid and whether the monkey won the last trial, as would be expected. B) the distribution of monkey bids coloured by the reward level as in a) is bound in the range (0,1), i.e. between 0 and 1 not inclusive. The two monkeys show a clearly different distribution in bids due to the different amounts of liquid offered and the monkeys private utility functions. Dashed purple lines indicates the fit of a beta distribution to the monkey’s bidding data. </w:t>
                            </w:r>
                            <w:r w:rsidRPr="00DC151C">
                              <w:rPr>
                                <w:noProo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01F367" id="_x0000_s1051" type="#_x0000_t202" style="position:absolute;margin-left:398.2pt;margin-top:375.6pt;width:449.4pt;height:207pt;z-index:251709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">
                <v:textbox>
                  <w:txbxContent>
                    <w:p w14:paraId="64FCEC32" w14:textId="77777777" w:rsidR="007A22C9" w:rsidRPr="00692B2A" w:rsidRDefault="007A22C9" w:rsidP="007A22C9">
                      <w:pPr>
                        <w:rPr>
                          <w:rFonts w:ascii="Times New Roman" w:hAnsi="Times New Roman" w:cs="Times New Roman"/>
                        </w:rPr>
                      </w:pPr>
                      <w:r>
                        <w:rPr>
                          <w:rFonts w:ascii="Times New Roman" w:hAnsi="Times New Roman" w:cs="Times New Roman"/>
                          <w:b/>
                          <w:bCs/>
                        </w:rPr>
                        <w:t>Figure 3.11a-b) The distribution of independent and dependent variables selected for the BDM task.</w:t>
                      </w:r>
                      <w:r>
                        <w:rPr>
                          <w:rFonts w:ascii="Times New Roman" w:hAnsi="Times New Roman" w:cs="Times New Roman"/>
                        </w:rPr>
                        <w:t xml:space="preserve"> In a) the distributions (diagonal) of each selected independent variable is shown coloured by reward level (red = lowest magnitude juice, green = middle, blue = highest). ‘juice’ refers to the ml of juice offered at each level; ‘total liquid’ is the total ml of liquid the monkey has received that day; ‘start bid’ is the randomly drawn starting bid of the trial; ‘last opp bid’ refers to the randomly drawn computer bid on the last trial; ‘last win’ is a binary variable indicating if the monkey won (1) or lost (0) the last trial. Note, variable names have been changed here compared to figure 3.12 in the interest of space. No variables show strong co-correlation (dots and best fit linear model plots) except for the last computer bid and whether the monkey won the last trial, as would be expected. B) the distribution of monkey bids coloured by the reward level as in a) is bound in the range (0,1), i.e. between 0 and 1 not inclusive. The two monkeys show a clearly different distribution in bids due to the different amounts of liquid offered and the monkeys private utility functions. Dashed purple lines indicates the fit of a beta distribution to the monkey’s bidding data. </w:t>
                      </w:r>
                      <w:r w:rsidRPr="00DC151C">
                        <w:rPr>
                          <w:noProof/>
                        </w:rPr>
                        <w:t xml:space="preserve"> </w:t>
                      </w:r>
                    </w:p>
                  </w:txbxContent>
                </v:textbox>
                <w10:wrap type="square" anchorx="margin"/>
              </v:shape>
            </w:pict>
          </mc:Fallback>
        </mc:AlternateContent>
      </w:r>
      <w:r>
        <w:rPr>
          <w:noProof/>
        </w:rPr>
        <w:drawing>
          <wp:inline distT="0" distB="0" distL="0" distR="0" wp14:anchorId="0EF6BC15" wp14:editId="2A9A269B">
            <wp:extent cx="5515610" cy="4578824"/>
            <wp:effectExtent l="0" t="0" r="8890" b="0"/>
            <wp:docPr id="51" name="Picture 5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hart, histo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515610" cy="4578824"/>
                    </a:xfrm>
                    <a:prstGeom prst="rect">
                      <a:avLst/>
                    </a:prstGeom>
                  </pic:spPr>
                </pic:pic>
              </a:graphicData>
            </a:graphic>
          </wp:inline>
        </w:drawing>
      </w:r>
    </w:p>
    <w:p w14:paraId="0FCC2A66" w14:textId="77777777" w:rsidR="007A22C9" w:rsidRPr="005A07B0" w:rsidRDefault="007A22C9" w:rsidP="007A22C9"/>
    <w:p w14:paraId="2683370A" w14:textId="77777777" w:rsidR="007A22C9" w:rsidRPr="005A07B0" w:rsidRDefault="007A22C9" w:rsidP="007A22C9"/>
    <w:p w14:paraId="12E34604" w14:textId="77777777" w:rsidR="007A22C9" w:rsidRPr="005A07B0" w:rsidRDefault="007A22C9" w:rsidP="007A22C9"/>
    <w:p w14:paraId="3401B097" w14:textId="77777777" w:rsidR="007A22C9" w:rsidRPr="005A07B0" w:rsidRDefault="007A22C9" w:rsidP="007A22C9"/>
    <w:p w14:paraId="3FE05FFB" w14:textId="77777777" w:rsidR="007A22C9" w:rsidRDefault="007A22C9" w:rsidP="007A22C9">
      <w:pPr>
        <w:rPr>
          <w:rFonts w:ascii="Times New Roman" w:hAnsi="Times New Roman" w:cs="Times New Roman"/>
          <w:b/>
          <w:bCs/>
        </w:rPr>
      </w:pPr>
    </w:p>
    <w:p w14:paraId="1DCEF2D5" w14:textId="77777777" w:rsidR="007A22C9" w:rsidRDefault="007A22C9" w:rsidP="007A22C9">
      <w:pPr>
        <w:rPr>
          <w:rFonts w:ascii="Times New Roman" w:hAnsi="Times New Roman" w:cs="Times New Roman"/>
          <w:b/>
          <w:bCs/>
        </w:rPr>
      </w:pPr>
    </w:p>
    <w:p w14:paraId="27469645" w14:textId="77777777" w:rsidR="007A22C9" w:rsidRPr="005A07B0" w:rsidRDefault="007A22C9" w:rsidP="007A22C9">
      <w:pPr>
        <w:tabs>
          <w:tab w:val="left" w:pos="2400"/>
        </w:tabs>
      </w:pPr>
      <w:r>
        <w:tab/>
      </w:r>
    </w:p>
    <w:p w14:paraId="59FF9414" w14:textId="77777777" w:rsidR="007A22C9" w:rsidRDefault="007A22C9" w:rsidP="007A22C9">
      <w:r>
        <w:rPr>
          <w:noProof/>
        </w:rPr>
        <w:lastRenderedPageBreak/>
        <mc:AlternateContent>
          <mc:Choice Requires="wps">
            <w:drawing>
              <wp:anchor distT="45720" distB="45720" distL="114300" distR="114300" simplePos="0" relativeHeight="251697152" behindDoc="0" locked="0" layoutInCell="1" allowOverlap="1" wp14:anchorId="76C7CBE4" wp14:editId="69E5E3E2">
                <wp:simplePos x="0" y="0"/>
                <wp:positionH relativeFrom="margin">
                  <wp:posOffset>0</wp:posOffset>
                </wp:positionH>
                <wp:positionV relativeFrom="paragraph">
                  <wp:posOffset>4716780</wp:posOffset>
                </wp:positionV>
                <wp:extent cx="5707380" cy="1684020"/>
                <wp:effectExtent l="0" t="0" r="26670" b="1143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684020"/>
                        </a:xfrm>
                        <a:prstGeom prst="rect">
                          <a:avLst/>
                        </a:prstGeom>
                        <a:solidFill>
                          <a:srgbClr val="FFFFFF"/>
                        </a:solidFill>
                        <a:ln w="9525">
                          <a:solidFill>
                            <a:srgbClr val="000000"/>
                          </a:solidFill>
                          <a:miter lim="800000"/>
                          <a:headEnd/>
                          <a:tailEnd/>
                        </a:ln>
                      </wps:spPr>
                      <wps:txbx>
                        <w:txbxContent>
                          <w:p w14:paraId="11C4DFD8" w14:textId="77777777" w:rsidR="007A22C9" w:rsidRPr="00692B2A" w:rsidRDefault="007A22C9" w:rsidP="007A22C9">
                            <w:pPr>
                              <w:rPr>
                                <w:rFonts w:ascii="Times New Roman" w:hAnsi="Times New Roman" w:cs="Times New Roman"/>
                              </w:rPr>
                            </w:pPr>
                            <w:r>
                              <w:rPr>
                                <w:rFonts w:ascii="Times New Roman" w:hAnsi="Times New Roman" w:cs="Times New Roman"/>
                                <w:b/>
                                <w:bCs/>
                              </w:rPr>
                              <w:t xml:space="preserve">Figure 3.12a-c) Agreement between the distribution of monkey bids and the fitted beta distributions. </w:t>
                            </w:r>
                            <w:r>
                              <w:rPr>
                                <w:rFonts w:ascii="Times New Roman" w:hAnsi="Times New Roman" w:cs="Times New Roman"/>
                              </w:rPr>
                              <w:t>A) Quantile-quantile plots of monkey’s bids against the fitted beta distributions of figure 3.11b) (parameters in table 3.11c). Perfect fit is shown as a black line along x=y. B) The cumulative distribution function (CDF) of observed (colour) and theoretical (black) points are plotted next to each other. C) Probability-probability plots of the CDF of observed and theoretically beta distributed monkey’s bids plotted against each other. For all plots, colour refers to monkey whose bids are plotted. All plots show good agreement between empirically observed bids and those expected given the fitted beta distributions (i.e. where the coloured lines fall reasonably along black 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7CBE4" id="_x0000_s1052" type="#_x0000_t202" style="position:absolute;margin-left:0;margin-top:371.4pt;width:449.4pt;height:132.6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">
                <v:textbox>
                  <w:txbxContent>
                    <w:p w14:paraId="11C4DFD8" w14:textId="77777777" w:rsidR="007A22C9" w:rsidRPr="00692B2A" w:rsidRDefault="007A22C9" w:rsidP="007A22C9">
                      <w:pPr>
                        <w:rPr>
                          <w:rFonts w:ascii="Times New Roman" w:hAnsi="Times New Roman" w:cs="Times New Roman"/>
                        </w:rPr>
                      </w:pPr>
                      <w:r>
                        <w:rPr>
                          <w:rFonts w:ascii="Times New Roman" w:hAnsi="Times New Roman" w:cs="Times New Roman"/>
                          <w:b/>
                          <w:bCs/>
                        </w:rPr>
                        <w:t xml:space="preserve">Figure 3.12a-c) Agreement between the distribution of monkey bids and the fitted beta distributions. </w:t>
                      </w:r>
                      <w:r>
                        <w:rPr>
                          <w:rFonts w:ascii="Times New Roman" w:hAnsi="Times New Roman" w:cs="Times New Roman"/>
                        </w:rPr>
                        <w:t>A) Quantile-quantile plots of monkey’s bids against the fitted beta distributions of figure 3.11b) (parameters in table 3.11c). Perfect fit is shown as a black line along x=y. B) The cumulative distribution function (CDF) of observed (colour) and theoretical (black) points are plotted next to each other. C) Probability-probability plots of the CDF of observed and theoretically beta distributed monkey’s bids plotted against each other. For all plots, colour refers to monkey whose bids are plotted. All plots show good agreement between empirically observed bids and those expected given the fitted beta distributions (i.e. where the coloured lines fall reasonably along black lines).</w:t>
                      </w:r>
                    </w:p>
                  </w:txbxContent>
                </v:textbox>
                <w10:wrap type="square" anchorx="margin"/>
              </v:shape>
            </w:pict>
          </mc:Fallback>
        </mc:AlternateContent>
      </w:r>
      <w:r>
        <w:rPr>
          <w:noProof/>
        </w:rPr>
        <w:drawing>
          <wp:inline distT="0" distB="0" distL="0" distR="0" wp14:anchorId="33645142" wp14:editId="2A8E29FE">
            <wp:extent cx="5731510" cy="4545330"/>
            <wp:effectExtent l="0" t="0" r="2540" b="7620"/>
            <wp:docPr id="61" name="Graphic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5731510" cy="4545330"/>
                    </a:xfrm>
                    <a:prstGeom prst="rect">
                      <a:avLst/>
                    </a:prstGeom>
                  </pic:spPr>
                </pic:pic>
              </a:graphicData>
            </a:graphic>
          </wp:inline>
        </w:drawing>
      </w:r>
    </w:p>
    <w:p w14:paraId="3CE0BA41" w14:textId="77777777" w:rsidR="007A22C9" w:rsidRPr="008E4F9F" w:rsidRDefault="007A22C9" w:rsidP="007A22C9">
      <w:r>
        <w:rPr>
          <w:noProof/>
        </w:rPr>
        <w:lastRenderedPageBreak/>
        <mc:AlternateContent>
          <mc:Choice Requires="wps">
            <w:drawing>
              <wp:anchor distT="45720" distB="45720" distL="114300" distR="114300" simplePos="0" relativeHeight="251696128" behindDoc="0" locked="0" layoutInCell="1" allowOverlap="1" wp14:anchorId="2AEDC706" wp14:editId="7EF8EB2C">
                <wp:simplePos x="0" y="0"/>
                <wp:positionH relativeFrom="margin">
                  <wp:align>left</wp:align>
                </wp:positionH>
                <wp:positionV relativeFrom="paragraph">
                  <wp:posOffset>4623254</wp:posOffset>
                </wp:positionV>
                <wp:extent cx="5707380" cy="2330450"/>
                <wp:effectExtent l="0" t="0" r="26670" b="1270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330450"/>
                        </a:xfrm>
                        <a:prstGeom prst="rect">
                          <a:avLst/>
                        </a:prstGeom>
                        <a:solidFill>
                          <a:srgbClr val="FFFFFF"/>
                        </a:solidFill>
                        <a:ln w="9525">
                          <a:solidFill>
                            <a:srgbClr val="000000"/>
                          </a:solidFill>
                          <a:miter lim="800000"/>
                          <a:headEnd/>
                          <a:tailEnd/>
                        </a:ln>
                      </wps:spPr>
                      <wps:txbx>
                        <w:txbxContent>
                          <w:p w14:paraId="5B93B3D2" w14:textId="77777777" w:rsidR="007A22C9" w:rsidRPr="00BB7A22" w:rsidRDefault="007A22C9" w:rsidP="007A22C9">
                            <w:pPr>
                              <w:rPr>
                                <w:rFonts w:ascii="Times New Roman" w:hAnsi="Times New Roman" w:cs="Times New Roman"/>
                              </w:rPr>
                            </w:pPr>
                            <w:r>
                              <w:rPr>
                                <w:rFonts w:ascii="Times New Roman" w:hAnsi="Times New Roman" w:cs="Times New Roman"/>
                                <w:b/>
                                <w:bCs/>
                              </w:rPr>
                              <w:t xml:space="preserve">Figure 3.13a-c) results of beta distribution regressions on relevant task variables. </w:t>
                            </w:r>
                            <w:r>
                              <w:rPr>
                                <w:rFonts w:ascii="Times New Roman" w:hAnsi="Times New Roman" w:cs="Times New Roman"/>
                              </w:rPr>
                              <w:t>A) Coefficient estimates for a regression of relevant task variables against monkey bids for all trials separated by monkey. Error bars represent +/- standard error. For both monkeys, the reward level offered was the dominant variable in guiding monkey’s bids as expected. Both monkeys also showed an inverse relationship with the starting bid (though much more so for monkey V). Monkey V also showed a much greater effect of aggregate bid increasing as the monkey received more liquid over successive trials (i.e. was sated). B) Coefficient estimates for identical regressions grouped by both monkey and session date. Boxplots show similar findings as the single regression carried out in a). In every session, reward level was a significant variable in determining monkey’s bid. The total liquid received shows the greatest variability in effect over multiple sessions. In c) regression coefficients from b) are plotted by date, showing the relationship over time. Lines are smoothed by taking the mean coefficient estimate over the last 5 sessions.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EDC706" id="_x0000_s1053" type="#_x0000_t202" style="position:absolute;margin-left:0;margin-top:364.05pt;width:449.4pt;height:183.5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">
                <v:textbox>
                  <w:txbxContent>
                    <w:p w14:paraId="5B93B3D2" w14:textId="77777777" w:rsidR="007A22C9" w:rsidRPr="00BB7A22" w:rsidRDefault="007A22C9" w:rsidP="007A22C9">
                      <w:pPr>
                        <w:rPr>
                          <w:rFonts w:ascii="Times New Roman" w:hAnsi="Times New Roman" w:cs="Times New Roman"/>
                        </w:rPr>
                      </w:pPr>
                      <w:r>
                        <w:rPr>
                          <w:rFonts w:ascii="Times New Roman" w:hAnsi="Times New Roman" w:cs="Times New Roman"/>
                          <w:b/>
                          <w:bCs/>
                        </w:rPr>
                        <w:t xml:space="preserve">Figure 3.13a-c) results of beta distribution regressions on relevant task variables. </w:t>
                      </w:r>
                      <w:r>
                        <w:rPr>
                          <w:rFonts w:ascii="Times New Roman" w:hAnsi="Times New Roman" w:cs="Times New Roman"/>
                        </w:rPr>
                        <w:t>A) Coefficient estimates for a regression of relevant task variables against monkey bids for all trials separated by monkey. Error bars represent +/- standard error. For both monkeys, the reward level offered was the dominant variable in guiding monkey’s bids as expected. Both monkeys also showed an inverse relationship with the starting bid (though much more so for monkey V). Monkey V also showed a much greater effect of aggregate bid increasing as the monkey received more liquid over successive trials (i.e. was sated). B) Coefficient estimates for identical regressions grouped by both monkey and session date. Boxplots show similar findings as the single regression carried out in a). In every session, reward level was a significant variable in determining monkey’s bid. The total liquid received shows the greatest variability in effect over multiple sessions. In c) regression coefficients from b) are plotted by date, showing the relationship over time. Lines are smoothed by taking the mean coefficient estimate over the last 5 sessions.</w:t>
                      </w:r>
                    </w:p>
                  </w:txbxContent>
                </v:textbox>
                <w10:wrap type="square" anchorx="margin"/>
              </v:shape>
            </w:pict>
          </mc:Fallback>
        </mc:AlternateContent>
      </w:r>
      <w:r>
        <w:rPr>
          <w:noProof/>
        </w:rPr>
        <w:drawing>
          <wp:inline distT="0" distB="0" distL="0" distR="0" wp14:anchorId="2E62E774" wp14:editId="23561958">
            <wp:extent cx="5731510" cy="4545330"/>
            <wp:effectExtent l="0" t="0" r="2540" b="7620"/>
            <wp:docPr id="62" name="Graphic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5731510" cy="4545330"/>
                    </a:xfrm>
                    <a:prstGeom prst="rect">
                      <a:avLst/>
                    </a:prstGeom>
                  </pic:spPr>
                </pic:pic>
              </a:graphicData>
            </a:graphic>
          </wp:inline>
        </w:drawing>
      </w:r>
    </w:p>
    <w:p w14:paraId="1456142D" w14:textId="77777777" w:rsidR="007A22C9" w:rsidRDefault="007A22C9" w:rsidP="007A22C9">
      <w:r>
        <w:br w:type="page"/>
      </w:r>
    </w:p>
    <w:p w14:paraId="4550BD8A" w14:textId="77777777" w:rsidR="007A22C9" w:rsidRDefault="007A22C9" w:rsidP="007A22C9">
      <w:pPr>
        <w:rPr>
          <w:rFonts w:ascii="Times New Roman" w:hAnsi="Times New Roman" w:cs="Times New Roman"/>
          <w:b/>
          <w:bCs/>
        </w:rPr>
      </w:pPr>
      <w:r>
        <w:rPr>
          <w:noProof/>
        </w:rPr>
        <w:lastRenderedPageBreak/>
        <mc:AlternateContent>
          <mc:Choice Requires="wps">
            <w:drawing>
              <wp:anchor distT="45720" distB="45720" distL="114300" distR="114300" simplePos="0" relativeHeight="251698176" behindDoc="0" locked="0" layoutInCell="1" allowOverlap="1" wp14:anchorId="39171465" wp14:editId="45762ED9">
                <wp:simplePos x="0" y="0"/>
                <wp:positionH relativeFrom="margin">
                  <wp:align>left</wp:align>
                </wp:positionH>
                <wp:positionV relativeFrom="paragraph">
                  <wp:posOffset>4682944</wp:posOffset>
                </wp:positionV>
                <wp:extent cx="5707380" cy="2585085"/>
                <wp:effectExtent l="0" t="0" r="26670" b="24765"/>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585357"/>
                        </a:xfrm>
                        <a:prstGeom prst="rect">
                          <a:avLst/>
                        </a:prstGeom>
                        <a:solidFill>
                          <a:srgbClr val="FFFFFF"/>
                        </a:solidFill>
                        <a:ln w="9525">
                          <a:solidFill>
                            <a:srgbClr val="000000"/>
                          </a:solidFill>
                          <a:miter lim="800000"/>
                          <a:headEnd/>
                          <a:tailEnd/>
                        </a:ln>
                      </wps:spPr>
                      <wps:txbx>
                        <w:txbxContent>
                          <w:p w14:paraId="11082F8A" w14:textId="77777777" w:rsidR="007A22C9" w:rsidRPr="009F30A6" w:rsidRDefault="007A22C9" w:rsidP="007A22C9">
                            <w:pPr>
                              <w:rPr>
                                <w:rFonts w:ascii="Times New Roman" w:hAnsi="Times New Roman" w:cs="Times New Roman"/>
                              </w:rPr>
                            </w:pPr>
                            <w:r>
                              <w:rPr>
                                <w:rFonts w:ascii="Times New Roman" w:hAnsi="Times New Roman" w:cs="Times New Roman"/>
                                <w:b/>
                                <w:bCs/>
                              </w:rPr>
                              <w:t>Figure 3.14a-c) The distribution of monkey’s bids when only the medium reward level fractal is show.</w:t>
                            </w:r>
                            <w:r>
                              <w:rPr>
                                <w:rFonts w:ascii="Times New Roman" w:hAnsi="Times New Roman" w:cs="Times New Roman"/>
                              </w:rPr>
                              <w:t xml:space="preserve"> A) the distribution of monkey bids from n = 2228 (monkey U) and 2724 (monkey V) trials on sessions where only the medium fractal was shown (opaque boxplot). These are compared to the distribution of all bids made for only the medium fractal in sessions where all 3 reward levels were presented to the monkey (n = 4665 for monkey U, n = 4628 for monkey V) in the semi-transparent boxplot. B) the mean session bid for the medium reward level fractal is shown for sessions where only the medium reward level fractal is offered to the monkey (n = 22 for both monkeys) is compared to the mean session bid for the medium reward level fractal in sessions where all 3 are shown to the monkey (n = 163 for monkey U and 142 for monkey V). The mean bid for each of these 22 sessions per monkey is shown over time in c) (opaque line). The mean bid for the medium reward level fractal on sessions with 3 presented fractals for the month prior to changing the task is shown in the semi-transparent line. Note: the reward juice </w:t>
                            </w:r>
                            <w:r w:rsidRPr="00DB10AF">
                              <w:rPr>
                                <w:rFonts w:ascii="Times New Roman" w:hAnsi="Times New Roman" w:cs="Times New Roman"/>
                              </w:rPr>
                              <w:t>volumes</w:t>
                            </w:r>
                            <w:r>
                              <w:rPr>
                                <w:rFonts w:ascii="Times New Roman" w:hAnsi="Times New Roman" w:cs="Times New Roman"/>
                              </w:rPr>
                              <w:t xml:space="preserve"> associated with the middle fractal are different between monkeys (0.45ml for monkey U, 1.0ml for monkey V) but the same between conditions.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71465" id="_x0000_s1054" type="#_x0000_t202" style="position:absolute;margin-left:0;margin-top:368.75pt;width:449.4pt;height:203.55pt;z-index:251698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">
                <v:textbox>
                  <w:txbxContent>
                    <w:p w14:paraId="11082F8A" w14:textId="77777777" w:rsidR="007A22C9" w:rsidRPr="009F30A6" w:rsidRDefault="007A22C9" w:rsidP="007A22C9">
                      <w:pPr>
                        <w:rPr>
                          <w:rFonts w:ascii="Times New Roman" w:hAnsi="Times New Roman" w:cs="Times New Roman"/>
                        </w:rPr>
                      </w:pPr>
                      <w:r>
                        <w:rPr>
                          <w:rFonts w:ascii="Times New Roman" w:hAnsi="Times New Roman" w:cs="Times New Roman"/>
                          <w:b/>
                          <w:bCs/>
                        </w:rPr>
                        <w:t>Figure 3.14a-c) The distribution of monkey’s bids when only the medium reward level fractal is show.</w:t>
                      </w:r>
                      <w:r>
                        <w:rPr>
                          <w:rFonts w:ascii="Times New Roman" w:hAnsi="Times New Roman" w:cs="Times New Roman"/>
                        </w:rPr>
                        <w:t xml:space="preserve"> A) the distribution of monkey bids from n = 2228 (monkey U) and 2724 (monkey V) trials on sessions where only the medium fractal was shown (opaque boxplot). These are compared to the distribution of all bids made for only the medium fractal in sessions where all 3 reward levels were presented to the monkey (n = 4665 for monkey U, n = 4628 for monkey V) in the semi-transparent boxplot. B) the mean session bid for the medium reward level fractal is shown for sessions where only the medium reward level fractal is offered to the monkey (n = 22 for both monkeys) is compared to the mean session bid for the medium reward level fractal in sessions where all 3 are shown to the monkey (n = 163 for monkey U and 142 for monkey V). The mean bid for each of these 22 sessions per monkey is shown over time in c) (opaque line). The mean bid for the medium reward level fractal on sessions with 3 presented fractals for the month prior to changing the task is shown in the semi-transparent line. Note: the reward juice </w:t>
                      </w:r>
                      <w:r w:rsidRPr="00DB10AF">
                        <w:rPr>
                          <w:rFonts w:ascii="Times New Roman" w:hAnsi="Times New Roman" w:cs="Times New Roman"/>
                        </w:rPr>
                        <w:t>volumes</w:t>
                      </w:r>
                      <w:r>
                        <w:rPr>
                          <w:rFonts w:ascii="Times New Roman" w:hAnsi="Times New Roman" w:cs="Times New Roman"/>
                        </w:rPr>
                        <w:t xml:space="preserve"> associated with the middle fractal are different between monkeys (0.45ml for monkey U, 1.0ml for monkey V) but the same between conditions.</w:t>
                      </w:r>
                    </w:p>
                  </w:txbxContent>
                </v:textbox>
                <w10:wrap type="square" anchorx="margin"/>
              </v:shape>
            </w:pict>
          </mc:Fallback>
        </mc:AlternateContent>
      </w:r>
      <w:r>
        <w:rPr>
          <w:rFonts w:ascii="Times New Roman" w:hAnsi="Times New Roman" w:cs="Times New Roman"/>
          <w:b/>
          <w:bCs/>
          <w:noProof/>
        </w:rPr>
        <w:drawing>
          <wp:inline distT="0" distB="0" distL="0" distR="0" wp14:anchorId="61F01199" wp14:editId="51E00175">
            <wp:extent cx="5731510" cy="4545330"/>
            <wp:effectExtent l="0" t="0" r="2540" b="7620"/>
            <wp:docPr id="63" name="Graphic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phic 29"/>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5731510" cy="4545330"/>
                    </a:xfrm>
                    <a:prstGeom prst="rect">
                      <a:avLst/>
                    </a:prstGeom>
                  </pic:spPr>
                </pic:pic>
              </a:graphicData>
            </a:graphic>
          </wp:inline>
        </w:drawing>
      </w:r>
    </w:p>
    <w:p w14:paraId="45844401" w14:textId="77777777" w:rsidR="007A22C9" w:rsidRPr="009B3A46" w:rsidRDefault="007A22C9" w:rsidP="007A22C9"/>
    <w:p w14:paraId="7E31B147" w14:textId="77777777" w:rsidR="007A22C9" w:rsidRDefault="007A22C9" w:rsidP="007A22C9">
      <w:pPr>
        <w:tabs>
          <w:tab w:val="left" w:pos="2370"/>
        </w:tabs>
      </w:pPr>
      <w:r>
        <w:tab/>
      </w:r>
    </w:p>
    <w:p w14:paraId="536AE59B" w14:textId="77777777" w:rsidR="007A22C9" w:rsidRDefault="007A22C9" w:rsidP="007A22C9">
      <w:r>
        <w:br w:type="page"/>
      </w:r>
    </w:p>
    <w:p w14:paraId="46F74C0A" w14:textId="77777777" w:rsidR="007A22C9" w:rsidRPr="009B3A46" w:rsidRDefault="007A22C9" w:rsidP="007A22C9">
      <w:pPr>
        <w:tabs>
          <w:tab w:val="left" w:pos="2370"/>
        </w:tabs>
      </w:pPr>
      <w:r>
        <w:rPr>
          <w:noProof/>
        </w:rPr>
        <w:lastRenderedPageBreak/>
        <mc:AlternateContent>
          <mc:Choice Requires="wps">
            <w:drawing>
              <wp:anchor distT="45720" distB="45720" distL="114300" distR="114300" simplePos="0" relativeHeight="251699200" behindDoc="0" locked="0" layoutInCell="1" allowOverlap="1" wp14:anchorId="19A4CE68" wp14:editId="628F2AA5">
                <wp:simplePos x="0" y="0"/>
                <wp:positionH relativeFrom="margin">
                  <wp:align>left</wp:align>
                </wp:positionH>
                <wp:positionV relativeFrom="paragraph">
                  <wp:posOffset>4643120</wp:posOffset>
                </wp:positionV>
                <wp:extent cx="5707380" cy="1562100"/>
                <wp:effectExtent l="0" t="0" r="26670" b="1905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562100"/>
                        </a:xfrm>
                        <a:prstGeom prst="rect">
                          <a:avLst/>
                        </a:prstGeom>
                        <a:solidFill>
                          <a:srgbClr val="FFFFFF"/>
                        </a:solidFill>
                        <a:ln w="9525">
                          <a:solidFill>
                            <a:srgbClr val="000000"/>
                          </a:solidFill>
                          <a:miter lim="800000"/>
                          <a:headEnd/>
                          <a:tailEnd/>
                        </a:ln>
                      </wps:spPr>
                      <wps:txbx>
                        <w:txbxContent>
                          <w:p w14:paraId="64CD61B9" w14:textId="77777777" w:rsidR="007A22C9" w:rsidRPr="00CE4E04" w:rsidRDefault="007A22C9" w:rsidP="007A22C9">
                            <w:pPr>
                              <w:rPr>
                                <w:rFonts w:ascii="Times New Roman" w:hAnsi="Times New Roman" w:cs="Times New Roman"/>
                              </w:rPr>
                            </w:pPr>
                            <w:r>
                              <w:rPr>
                                <w:rFonts w:ascii="Times New Roman" w:hAnsi="Times New Roman" w:cs="Times New Roman"/>
                                <w:b/>
                                <w:bCs/>
                              </w:rPr>
                              <w:t xml:space="preserve">Figure 3.15 the distribution of monkey bids for sessions where only the medium reward level fractal is presented. </w:t>
                            </w:r>
                            <w:r>
                              <w:rPr>
                                <w:rFonts w:ascii="Times New Roman" w:hAnsi="Times New Roman" w:cs="Times New Roman"/>
                              </w:rPr>
                              <w:t>A) binned bids are shown in a figure equivalent to 3.11b for the two monkeys over the 22 sessions where only the middle fractal was shown. A beta distribution (purple) was fitted to each monkey’s bids. For monkey U this fitted distribution took the form α = 2.97, β = 2.65. For monkey V the fitted distribution took the form α = 6.49, β = 2.25. B-D) empirical vs theoretical observations from the distribution of monkey’s bids and the fitted beta distributions are plotted as in figure 3.12. Again, both theoretical distributions captured much of the observed distribution of bids.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4CE68" id="_x0000_s1055" type="#_x0000_t202" style="position:absolute;margin-left:0;margin-top:365.6pt;width:449.4pt;height:123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">
                <v:textbox>
                  <w:txbxContent>
                    <w:p w14:paraId="64CD61B9" w14:textId="77777777" w:rsidR="007A22C9" w:rsidRPr="00CE4E04" w:rsidRDefault="007A22C9" w:rsidP="007A22C9">
                      <w:pPr>
                        <w:rPr>
                          <w:rFonts w:ascii="Times New Roman" w:hAnsi="Times New Roman" w:cs="Times New Roman"/>
                        </w:rPr>
                      </w:pPr>
                      <w:r>
                        <w:rPr>
                          <w:rFonts w:ascii="Times New Roman" w:hAnsi="Times New Roman" w:cs="Times New Roman"/>
                          <w:b/>
                          <w:bCs/>
                        </w:rPr>
                        <w:t xml:space="preserve">Figure 3.15 the distribution of monkey bids for sessions where only the medium reward level fractal is presented. </w:t>
                      </w:r>
                      <w:r>
                        <w:rPr>
                          <w:rFonts w:ascii="Times New Roman" w:hAnsi="Times New Roman" w:cs="Times New Roman"/>
                        </w:rPr>
                        <w:t>A) binned bids are shown in a figure equivalent to 3.11b for the two monkeys over the 22 sessions where only the middle fractal was shown. A beta distribution (purple) was fitted to each monkey’s bids. For monkey U this fitted distribution took the form α = 2.97, β = 2.65. For monkey V the fitted distribution took the form α = 6.49, β = 2.25. B-D) empirical vs theoretical observations from the distribution of monkey’s bids and the fitted beta distributions are plotted as in figure 3.12. Again, both theoretical distributions captured much of the observed distribution of bids.</w:t>
                      </w:r>
                    </w:p>
                  </w:txbxContent>
                </v:textbox>
                <w10:wrap type="square" anchorx="margin"/>
              </v:shape>
            </w:pict>
          </mc:Fallback>
        </mc:AlternateContent>
      </w:r>
      <w:r>
        <w:rPr>
          <w:noProof/>
        </w:rPr>
        <w:drawing>
          <wp:inline distT="0" distB="0" distL="0" distR="0" wp14:anchorId="2963E4FE" wp14:editId="7854B112">
            <wp:extent cx="5731510" cy="4545330"/>
            <wp:effectExtent l="0" t="0" r="2540" b="7620"/>
            <wp:docPr id="192" name="Graphic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phic 35"/>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5731510" cy="4545330"/>
                    </a:xfrm>
                    <a:prstGeom prst="rect">
                      <a:avLst/>
                    </a:prstGeom>
                  </pic:spPr>
                </pic:pic>
              </a:graphicData>
            </a:graphic>
          </wp:inline>
        </w:drawing>
      </w:r>
    </w:p>
    <w:p w14:paraId="182D0895" w14:textId="77777777" w:rsidR="007A22C9" w:rsidRDefault="007A22C9" w:rsidP="007A22C9">
      <w:pPr>
        <w:rPr>
          <w:rFonts w:ascii="Times New Roman" w:hAnsi="Times New Roman" w:cs="Times New Roman"/>
          <w:b/>
          <w:bCs/>
        </w:rPr>
      </w:pPr>
    </w:p>
    <w:p w14:paraId="12AEF3A7" w14:textId="77777777" w:rsidR="007A22C9" w:rsidRDefault="007A22C9" w:rsidP="007A22C9">
      <w:pPr>
        <w:tabs>
          <w:tab w:val="left" w:pos="4003"/>
        </w:tabs>
      </w:pPr>
      <w:r>
        <w:tab/>
      </w:r>
    </w:p>
    <w:p w14:paraId="5CC617FF" w14:textId="77777777" w:rsidR="007A22C9" w:rsidRDefault="007A22C9" w:rsidP="007A22C9">
      <w:r>
        <w:br w:type="page"/>
      </w:r>
    </w:p>
    <w:p w14:paraId="369372AB" w14:textId="77777777" w:rsidR="007A22C9" w:rsidRDefault="007A22C9" w:rsidP="007A22C9">
      <w:pPr>
        <w:rPr>
          <w:noProof/>
        </w:rPr>
      </w:pPr>
      <w:r>
        <w:rPr>
          <w:noProof/>
        </w:rPr>
        <w:lastRenderedPageBreak/>
        <mc:AlternateContent>
          <mc:Choice Requires="wps">
            <w:drawing>
              <wp:anchor distT="45720" distB="45720" distL="114300" distR="114300" simplePos="0" relativeHeight="251700224" behindDoc="0" locked="0" layoutInCell="1" allowOverlap="1" wp14:anchorId="641A06B5" wp14:editId="558041AB">
                <wp:simplePos x="0" y="0"/>
                <wp:positionH relativeFrom="margin">
                  <wp:align>right</wp:align>
                </wp:positionH>
                <wp:positionV relativeFrom="paragraph">
                  <wp:posOffset>4621676</wp:posOffset>
                </wp:positionV>
                <wp:extent cx="5707380" cy="1066800"/>
                <wp:effectExtent l="0" t="0" r="26670" b="1905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066800"/>
                        </a:xfrm>
                        <a:prstGeom prst="rect">
                          <a:avLst/>
                        </a:prstGeom>
                        <a:solidFill>
                          <a:srgbClr val="FFFFFF"/>
                        </a:solidFill>
                        <a:ln w="9525">
                          <a:solidFill>
                            <a:srgbClr val="000000"/>
                          </a:solidFill>
                          <a:miter lim="800000"/>
                          <a:headEnd/>
                          <a:tailEnd/>
                        </a:ln>
                      </wps:spPr>
                      <wps:txbx>
                        <w:txbxContent>
                          <w:p w14:paraId="2605E7CF" w14:textId="77777777" w:rsidR="007A22C9" w:rsidRPr="0034703C" w:rsidRDefault="007A22C9" w:rsidP="007A22C9">
                            <w:pPr>
                              <w:rPr>
                                <w:rFonts w:ascii="Times New Roman" w:hAnsi="Times New Roman" w:cs="Times New Roman"/>
                              </w:rPr>
                            </w:pPr>
                            <w:r>
                              <w:rPr>
                                <w:rFonts w:ascii="Times New Roman" w:hAnsi="Times New Roman" w:cs="Times New Roman"/>
                                <w:b/>
                                <w:bCs/>
                              </w:rPr>
                              <w:t xml:space="preserve">Figure 3.16a-c) results of beta distribution regressions on relevant task variables for sessions where only the medium reward level fractal is presented to each monkey. </w:t>
                            </w:r>
                            <w:r>
                              <w:rPr>
                                <w:rFonts w:ascii="Times New Roman" w:hAnsi="Times New Roman" w:cs="Times New Roman"/>
                              </w:rPr>
                              <w:t>Regressions are identical to those performed for figure 3.13 except for the exclusion of the now invariant reward juice offered feature. In c) estimated coefficients are plotted per session date and not smoothed as in figure 3.13c).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1A06B5" id="_x0000_s1056" type="#_x0000_t202" style="position:absolute;margin-left:398.2pt;margin-top:363.9pt;width:449.4pt;height:84pt;z-index:251700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">
                <v:textbox>
                  <w:txbxContent>
                    <w:p w14:paraId="2605E7CF" w14:textId="77777777" w:rsidR="007A22C9" w:rsidRPr="0034703C" w:rsidRDefault="007A22C9" w:rsidP="007A22C9">
                      <w:pPr>
                        <w:rPr>
                          <w:rFonts w:ascii="Times New Roman" w:hAnsi="Times New Roman" w:cs="Times New Roman"/>
                        </w:rPr>
                      </w:pPr>
                      <w:r>
                        <w:rPr>
                          <w:rFonts w:ascii="Times New Roman" w:hAnsi="Times New Roman" w:cs="Times New Roman"/>
                          <w:b/>
                          <w:bCs/>
                        </w:rPr>
                        <w:t xml:space="preserve">Figure 3.16a-c) results of beta distribution regressions on relevant task variables for sessions where only the medium reward level fractal is presented to each monkey. </w:t>
                      </w:r>
                      <w:r>
                        <w:rPr>
                          <w:rFonts w:ascii="Times New Roman" w:hAnsi="Times New Roman" w:cs="Times New Roman"/>
                        </w:rPr>
                        <w:t>Regressions are identical to those performed for figure 3.13 except for the exclusion of the now invariant reward juice offered feature. In c) estimated coefficients are plotted per session date and not smoothed as in figure 3.13c).</w:t>
                      </w:r>
                    </w:p>
                  </w:txbxContent>
                </v:textbox>
                <w10:wrap type="square" anchorx="margin"/>
              </v:shape>
            </w:pict>
          </mc:Fallback>
        </mc:AlternateContent>
      </w:r>
      <w:r>
        <w:rPr>
          <w:noProof/>
        </w:rPr>
        <w:drawing>
          <wp:inline distT="0" distB="0" distL="0" distR="0" wp14:anchorId="346416E3" wp14:editId="7ECECD2A">
            <wp:extent cx="5731510" cy="4545330"/>
            <wp:effectExtent l="0" t="0" r="2540" b="7620"/>
            <wp:docPr id="193" name="Graphic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phic 34"/>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5731510" cy="4545330"/>
                    </a:xfrm>
                    <a:prstGeom prst="rect">
                      <a:avLst/>
                    </a:prstGeom>
                  </pic:spPr>
                </pic:pic>
              </a:graphicData>
            </a:graphic>
          </wp:inline>
        </w:drawing>
      </w:r>
    </w:p>
    <w:p w14:paraId="51A2EC93" w14:textId="77777777" w:rsidR="007A22C9" w:rsidRPr="0034703C" w:rsidRDefault="007A22C9" w:rsidP="007A22C9"/>
    <w:p w14:paraId="725AB72A" w14:textId="77777777" w:rsidR="007A22C9" w:rsidRDefault="007A22C9" w:rsidP="007A22C9">
      <w:pPr>
        <w:rPr>
          <w:noProof/>
        </w:rPr>
      </w:pPr>
    </w:p>
    <w:p w14:paraId="1D31B873" w14:textId="77777777" w:rsidR="007A22C9" w:rsidRDefault="007A22C9" w:rsidP="007A22C9">
      <w:pPr>
        <w:jc w:val="center"/>
      </w:pPr>
    </w:p>
    <w:p w14:paraId="177DE6BA" w14:textId="77777777" w:rsidR="007A22C9" w:rsidRPr="00EE35C1" w:rsidRDefault="007A22C9" w:rsidP="007A22C9"/>
    <w:p w14:paraId="540923F8" w14:textId="77777777" w:rsidR="007A22C9" w:rsidRPr="00EE35C1" w:rsidRDefault="007A22C9" w:rsidP="007A22C9"/>
    <w:p w14:paraId="7DB5B5FC" w14:textId="77777777" w:rsidR="007A22C9" w:rsidRPr="00EE35C1" w:rsidRDefault="007A22C9" w:rsidP="007A22C9"/>
    <w:p w14:paraId="3F137D08" w14:textId="77777777" w:rsidR="007A22C9" w:rsidRPr="00EE35C1" w:rsidRDefault="007A22C9" w:rsidP="007A22C9"/>
    <w:p w14:paraId="69B078BD" w14:textId="77777777" w:rsidR="007A22C9" w:rsidRDefault="007A22C9" w:rsidP="007A22C9"/>
    <w:p w14:paraId="3214ECE3" w14:textId="77777777" w:rsidR="007A22C9" w:rsidRDefault="007A22C9" w:rsidP="007A22C9">
      <w:pPr>
        <w:tabs>
          <w:tab w:val="left" w:pos="5340"/>
        </w:tabs>
      </w:pPr>
      <w:r>
        <w:tab/>
      </w:r>
    </w:p>
    <w:p w14:paraId="67D08E77" w14:textId="77777777" w:rsidR="007A22C9" w:rsidRDefault="007A22C9" w:rsidP="007A22C9">
      <w:r>
        <w:br w:type="page"/>
      </w:r>
    </w:p>
    <w:p w14:paraId="46F64871" w14:textId="77777777" w:rsidR="007A22C9" w:rsidRPr="00EE35C1" w:rsidRDefault="007A22C9" w:rsidP="007A22C9">
      <w:pPr>
        <w:tabs>
          <w:tab w:val="left" w:pos="5340"/>
        </w:tabs>
      </w:pPr>
      <w:r>
        <w:rPr>
          <w:noProof/>
        </w:rPr>
        <w:lastRenderedPageBreak/>
        <mc:AlternateContent>
          <mc:Choice Requires="wps">
            <w:drawing>
              <wp:anchor distT="45720" distB="45720" distL="114300" distR="114300" simplePos="0" relativeHeight="251701248" behindDoc="0" locked="0" layoutInCell="1" allowOverlap="1" wp14:anchorId="5EA1C821" wp14:editId="7F878E33">
                <wp:simplePos x="0" y="0"/>
                <wp:positionH relativeFrom="margin">
                  <wp:align>left</wp:align>
                </wp:positionH>
                <wp:positionV relativeFrom="paragraph">
                  <wp:posOffset>3709843</wp:posOffset>
                </wp:positionV>
                <wp:extent cx="5707380" cy="1765935"/>
                <wp:effectExtent l="0" t="0" r="26670" b="24765"/>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765935"/>
                        </a:xfrm>
                        <a:prstGeom prst="rect">
                          <a:avLst/>
                        </a:prstGeom>
                        <a:solidFill>
                          <a:srgbClr val="FFFFFF"/>
                        </a:solidFill>
                        <a:ln w="9525">
                          <a:solidFill>
                            <a:srgbClr val="000000"/>
                          </a:solidFill>
                          <a:miter lim="800000"/>
                          <a:headEnd/>
                          <a:tailEnd/>
                        </a:ln>
                      </wps:spPr>
                      <wps:txbx>
                        <w:txbxContent>
                          <w:p w14:paraId="09407619" w14:textId="77777777" w:rsidR="007A22C9" w:rsidRPr="00740340" w:rsidRDefault="007A22C9" w:rsidP="007A22C9">
                            <w:pPr>
                              <w:rPr>
                                <w:rFonts w:ascii="Times New Roman" w:hAnsi="Times New Roman" w:cs="Times New Roman"/>
                              </w:rPr>
                            </w:pPr>
                            <w:r>
                              <w:rPr>
                                <w:rFonts w:ascii="Times New Roman" w:hAnsi="Times New Roman" w:cs="Times New Roman"/>
                                <w:b/>
                                <w:bCs/>
                              </w:rPr>
                              <w:t xml:space="preserve">Figure 3.17a-c) The bundle choice task is equivalent to a second-price auction where the monkey bids second. </w:t>
                            </w:r>
                            <w:r>
                              <w:rPr>
                                <w:rFonts w:ascii="Times New Roman" w:hAnsi="Times New Roman" w:cs="Times New Roman"/>
                              </w:rPr>
                              <w:t>A) monkeys in the same experimental set up as the BDM make choices using the left/right axis of the same joystick. B) task components are the same as presented in the BDM task. Fractals used to signify a juice reward offer are the same and correspond to the same volumes of juice as in the BDM. Amounts of water are indicated by a grating pattern as in the BDM. For every trial, a choice is presented between a juice reward and some amount of water, or a full 1.2ml of water. Bundles can be comprised of between 0.12ml and 1.2ml or water in 0.12ml increments. C) The full task progression is presented (c.f. figure 3.1). Times between epochs are the same as in the BDM and liquids are delivered to the monkey at the same points in either task.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1C821" id="_x0000_s1057" type="#_x0000_t202" style="position:absolute;margin-left:0;margin-top:292.1pt;width:449.4pt;height:139.05pt;z-index:251701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">
                <v:textbox>
                  <w:txbxContent>
                    <w:p w14:paraId="09407619" w14:textId="77777777" w:rsidR="007A22C9" w:rsidRPr="00740340" w:rsidRDefault="007A22C9" w:rsidP="007A22C9">
                      <w:pPr>
                        <w:rPr>
                          <w:rFonts w:ascii="Times New Roman" w:hAnsi="Times New Roman" w:cs="Times New Roman"/>
                        </w:rPr>
                      </w:pPr>
                      <w:r>
                        <w:rPr>
                          <w:rFonts w:ascii="Times New Roman" w:hAnsi="Times New Roman" w:cs="Times New Roman"/>
                          <w:b/>
                          <w:bCs/>
                        </w:rPr>
                        <w:t xml:space="preserve">Figure 3.17a-c) The bundle choice task is equivalent to a second-price auction where the monkey bids second. </w:t>
                      </w:r>
                      <w:r>
                        <w:rPr>
                          <w:rFonts w:ascii="Times New Roman" w:hAnsi="Times New Roman" w:cs="Times New Roman"/>
                        </w:rPr>
                        <w:t>A) monkeys in the same experimental set up as the BDM make choices using the left/right axis of the same joystick. B) task components are the same as presented in the BDM task. Fractals used to signify a juice reward offer are the same and correspond to the same volumes of juice as in the BDM. Amounts of water are indicated by a grating pattern as in the BDM. For every trial, a choice is presented between a juice reward and some amount of water, or a full 1.2ml of water. Bundles can be comprised of between 0.12ml and 1.2ml or water in 0.12ml increments. C) The full task progression is presented (c.f. figure 3.1). Times between epochs are the same as in the BDM and liquids are delivered to the monkey at the same points in either task.</w:t>
                      </w:r>
                    </w:p>
                  </w:txbxContent>
                </v:textbox>
                <w10:wrap type="square" anchorx="margin"/>
              </v:shape>
            </w:pict>
          </mc:Fallback>
        </mc:AlternateContent>
      </w:r>
      <w:r>
        <w:rPr>
          <w:noProof/>
        </w:rPr>
        <w:drawing>
          <wp:inline distT="0" distB="0" distL="0" distR="0" wp14:anchorId="0E67302B" wp14:editId="27AF9BFE">
            <wp:extent cx="5731510" cy="3646170"/>
            <wp:effectExtent l="0" t="0" r="2540" b="0"/>
            <wp:docPr id="194" name="Picture 19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646170"/>
                    </a:xfrm>
                    <a:prstGeom prst="rect">
                      <a:avLst/>
                    </a:prstGeom>
                  </pic:spPr>
                </pic:pic>
              </a:graphicData>
            </a:graphic>
          </wp:inline>
        </w:drawing>
      </w:r>
    </w:p>
    <w:p w14:paraId="7145EF63" w14:textId="77777777" w:rsidR="007A22C9" w:rsidRPr="00EE35C1" w:rsidRDefault="007A22C9" w:rsidP="007A22C9"/>
    <w:p w14:paraId="22FDAF17" w14:textId="77777777" w:rsidR="007A22C9" w:rsidRPr="00EE35C1" w:rsidRDefault="007A22C9" w:rsidP="007A22C9"/>
    <w:p w14:paraId="7932BE39" w14:textId="77777777" w:rsidR="007A22C9" w:rsidRPr="00EE35C1" w:rsidRDefault="007A22C9" w:rsidP="007A22C9"/>
    <w:p w14:paraId="2AB88BBE" w14:textId="77777777" w:rsidR="007A22C9" w:rsidRPr="00EE35C1" w:rsidRDefault="007A22C9" w:rsidP="007A22C9"/>
    <w:p w14:paraId="04D5B565" w14:textId="77777777" w:rsidR="007A22C9" w:rsidRPr="00EE35C1" w:rsidRDefault="007A22C9" w:rsidP="007A22C9"/>
    <w:p w14:paraId="159C8E1B" w14:textId="77777777" w:rsidR="007A22C9" w:rsidRDefault="007A22C9" w:rsidP="007A22C9"/>
    <w:p w14:paraId="32044DF1" w14:textId="77777777" w:rsidR="007A22C9" w:rsidRDefault="007A22C9" w:rsidP="007A22C9">
      <w:pPr>
        <w:tabs>
          <w:tab w:val="left" w:pos="2820"/>
        </w:tabs>
      </w:pPr>
      <w:r>
        <w:tab/>
      </w:r>
    </w:p>
    <w:p w14:paraId="6A2EEFDD" w14:textId="77777777" w:rsidR="007A22C9" w:rsidRDefault="007A22C9" w:rsidP="007A22C9">
      <w:pPr>
        <w:tabs>
          <w:tab w:val="left" w:pos="6164"/>
        </w:tabs>
      </w:pPr>
      <w:r>
        <w:tab/>
      </w:r>
    </w:p>
    <w:p w14:paraId="25B4DEE8" w14:textId="77777777" w:rsidR="007A22C9" w:rsidRDefault="007A22C9" w:rsidP="007A22C9">
      <w:r>
        <w:br w:type="page"/>
      </w:r>
    </w:p>
    <w:p w14:paraId="26D83A28" w14:textId="77777777" w:rsidR="007A22C9" w:rsidRDefault="007A22C9" w:rsidP="007A22C9">
      <w:pPr>
        <w:tabs>
          <w:tab w:val="left" w:pos="6164"/>
        </w:tabs>
        <w:rPr>
          <w:noProof/>
        </w:rPr>
      </w:pPr>
      <w:r>
        <w:rPr>
          <w:noProof/>
        </w:rPr>
        <w:lastRenderedPageBreak/>
        <mc:AlternateContent>
          <mc:Choice Requires="wps">
            <w:drawing>
              <wp:anchor distT="45720" distB="45720" distL="114300" distR="114300" simplePos="0" relativeHeight="251702272" behindDoc="0" locked="0" layoutInCell="1" allowOverlap="1" wp14:anchorId="170025DC" wp14:editId="7BB92071">
                <wp:simplePos x="0" y="0"/>
                <wp:positionH relativeFrom="margin">
                  <wp:align>right</wp:align>
                </wp:positionH>
                <wp:positionV relativeFrom="paragraph">
                  <wp:posOffset>4970780</wp:posOffset>
                </wp:positionV>
                <wp:extent cx="5707380" cy="2095500"/>
                <wp:effectExtent l="0" t="0" r="26670" b="1905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095500"/>
                        </a:xfrm>
                        <a:prstGeom prst="rect">
                          <a:avLst/>
                        </a:prstGeom>
                        <a:solidFill>
                          <a:srgbClr val="FFFFFF"/>
                        </a:solidFill>
                        <a:ln w="9525">
                          <a:solidFill>
                            <a:srgbClr val="000000"/>
                          </a:solidFill>
                          <a:miter lim="800000"/>
                          <a:headEnd/>
                          <a:tailEnd/>
                        </a:ln>
                      </wps:spPr>
                      <wps:txbx>
                        <w:txbxContent>
                          <w:p w14:paraId="4518B740" w14:textId="77777777" w:rsidR="007A22C9" w:rsidRPr="00037976" w:rsidRDefault="007A22C9" w:rsidP="007A22C9">
                            <w:pPr>
                              <w:rPr>
                                <w:rFonts w:ascii="Times New Roman" w:hAnsi="Times New Roman" w:cs="Times New Roman"/>
                              </w:rPr>
                            </w:pPr>
                            <w:r>
                              <w:rPr>
                                <w:rFonts w:ascii="Times New Roman" w:hAnsi="Times New Roman" w:cs="Times New Roman"/>
                                <w:b/>
                                <w:bCs/>
                              </w:rPr>
                              <w:t xml:space="preserve">Figure 3.18a-b) Monkeys were able to quickly and reliably make choices in the bundle choice task. </w:t>
                            </w:r>
                            <w:r>
                              <w:rPr>
                                <w:rFonts w:ascii="Times New Roman" w:hAnsi="Times New Roman" w:cs="Times New Roman"/>
                              </w:rPr>
                              <w:t>A) traces of the relative marker position during all bundle-choice trials for both monkeys. The markers starts each trial in the centre of the screen (0.5) and monkeys can either move it to the right (towards 1.0) or the left (towards 0 on the plot). Both monkeys were able to quickly move the marker to well within the required area of bidding (&gt;5% of the screen’s width distance from the initial, centred, position). Monkey U performed 2267 trials over 23 sessions. Monkey V performed 714 trials over 6 sessions. B) Median reaction times (‘react time’) and time to place choices (‘choice time’) did not vary by either the level of juice (colours) or the amount of water offered (x axis) of the bundle for Monkey U. For Monkey V, the time spent bidding was significantly correlated with the amount of water offered in the bundle, though with a small effect size.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025DC" id="_x0000_s1058" type="#_x0000_t202" style="position:absolute;margin-left:398.2pt;margin-top:391.4pt;width:449.4pt;height:165pt;z-index:251702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">
                <v:textbox>
                  <w:txbxContent>
                    <w:p w14:paraId="4518B740" w14:textId="77777777" w:rsidR="007A22C9" w:rsidRPr="00037976" w:rsidRDefault="007A22C9" w:rsidP="007A22C9">
                      <w:pPr>
                        <w:rPr>
                          <w:rFonts w:ascii="Times New Roman" w:hAnsi="Times New Roman" w:cs="Times New Roman"/>
                        </w:rPr>
                      </w:pPr>
                      <w:r>
                        <w:rPr>
                          <w:rFonts w:ascii="Times New Roman" w:hAnsi="Times New Roman" w:cs="Times New Roman"/>
                          <w:b/>
                          <w:bCs/>
                        </w:rPr>
                        <w:t xml:space="preserve">Figure 3.18a-b) Monkeys were able to quickly and reliably make choices in the bundle choice task. </w:t>
                      </w:r>
                      <w:r>
                        <w:rPr>
                          <w:rFonts w:ascii="Times New Roman" w:hAnsi="Times New Roman" w:cs="Times New Roman"/>
                        </w:rPr>
                        <w:t>A) traces of the relative marker position during all bundle-choice trials for both monkeys. The markers starts each trial in the centre of the screen (0.5) and monkeys can either move it to the right (towards 1.0) or the left (towards 0 on the plot). Both monkeys were able to quickly move the marker to well within the required area of bidding (&gt;5% of the screen’s width distance from the initial, centred, position). Monkey U performed 2267 trials over 23 sessions. Monkey V performed 714 trials over 6 sessions. B) Median reaction times (‘react time’) and time to place choices (‘choice time’) did not vary by either the level of juice (colours) or the amount of water offered (x axis) of the bundle for Monkey U. For Monkey V, the time spent bidding was significantly correlated with the amount of water offered in the bundle, though with a small effect size.</w:t>
                      </w:r>
                    </w:p>
                  </w:txbxContent>
                </v:textbox>
                <w10:wrap type="square" anchorx="margin"/>
              </v:shape>
            </w:pict>
          </mc:Fallback>
        </mc:AlternateContent>
      </w:r>
      <w:r>
        <w:rPr>
          <w:noProof/>
        </w:rPr>
        <w:drawing>
          <wp:inline distT="0" distB="0" distL="0" distR="0" wp14:anchorId="081E7FBF" wp14:editId="15177D0F">
            <wp:extent cx="5731510" cy="4860290"/>
            <wp:effectExtent l="0" t="0" r="2540" b="0"/>
            <wp:docPr id="195" name="Graphic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phic 38"/>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5731510" cy="4860290"/>
                    </a:xfrm>
                    <a:prstGeom prst="rect">
                      <a:avLst/>
                    </a:prstGeom>
                  </pic:spPr>
                </pic:pic>
              </a:graphicData>
            </a:graphic>
          </wp:inline>
        </w:drawing>
      </w:r>
    </w:p>
    <w:p w14:paraId="503BDC22" w14:textId="77777777" w:rsidR="007A22C9" w:rsidRDefault="007A22C9" w:rsidP="007A22C9">
      <w:pPr>
        <w:rPr>
          <w:noProof/>
        </w:rPr>
      </w:pPr>
      <w:r>
        <w:rPr>
          <w:noProof/>
        </w:rPr>
        <w:br w:type="page"/>
      </w:r>
    </w:p>
    <w:p w14:paraId="2378E8C2" w14:textId="77777777" w:rsidR="007A22C9" w:rsidRPr="00A50E66" w:rsidRDefault="007A22C9" w:rsidP="007A22C9">
      <w:pPr>
        <w:tabs>
          <w:tab w:val="left" w:pos="1113"/>
        </w:tabs>
      </w:pPr>
      <w:r>
        <w:rPr>
          <w:noProof/>
        </w:rPr>
        <w:lastRenderedPageBreak/>
        <w:drawing>
          <wp:inline distT="0" distB="0" distL="0" distR="0" wp14:anchorId="4125648B" wp14:editId="528EF5E5">
            <wp:extent cx="5731510" cy="4860290"/>
            <wp:effectExtent l="0" t="0" r="2540" b="0"/>
            <wp:docPr id="196" name="Graphic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43"/>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5731510" cy="4860290"/>
                    </a:xfrm>
                    <a:prstGeom prst="rect">
                      <a:avLst/>
                    </a:prstGeom>
                  </pic:spPr>
                </pic:pic>
              </a:graphicData>
            </a:graphic>
          </wp:inline>
        </w:drawing>
      </w:r>
    </w:p>
    <w:p w14:paraId="70861D3C" w14:textId="77777777" w:rsidR="007A22C9" w:rsidRPr="00A50E66" w:rsidRDefault="007A22C9" w:rsidP="007A22C9">
      <w:r>
        <w:rPr>
          <w:noProof/>
        </w:rPr>
        <mc:AlternateContent>
          <mc:Choice Requires="wps">
            <w:drawing>
              <wp:anchor distT="45720" distB="45720" distL="114300" distR="114300" simplePos="0" relativeHeight="251703296" behindDoc="0" locked="0" layoutInCell="1" allowOverlap="1" wp14:anchorId="517C4462" wp14:editId="2758368D">
                <wp:simplePos x="0" y="0"/>
                <wp:positionH relativeFrom="margin">
                  <wp:align>left</wp:align>
                </wp:positionH>
                <wp:positionV relativeFrom="paragraph">
                  <wp:posOffset>12277</wp:posOffset>
                </wp:positionV>
                <wp:extent cx="5187950" cy="2345055"/>
                <wp:effectExtent l="0" t="0" r="12700" b="17145"/>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0" cy="2345266"/>
                        </a:xfrm>
                        <a:prstGeom prst="rect">
                          <a:avLst/>
                        </a:prstGeom>
                        <a:solidFill>
                          <a:srgbClr val="FFFFFF"/>
                        </a:solidFill>
                        <a:ln w="9525">
                          <a:solidFill>
                            <a:srgbClr val="000000"/>
                          </a:solidFill>
                          <a:miter lim="800000"/>
                          <a:headEnd/>
                          <a:tailEnd/>
                        </a:ln>
                      </wps:spPr>
                      <wps:txbx>
                        <w:txbxContent>
                          <w:p w14:paraId="51600A6E" w14:textId="77777777" w:rsidR="007A22C9" w:rsidRPr="00786C07" w:rsidRDefault="007A22C9" w:rsidP="007A22C9">
                            <w:pPr>
                              <w:rPr>
                                <w:rFonts w:ascii="Times New Roman" w:hAnsi="Times New Roman" w:cs="Times New Roman"/>
                              </w:rPr>
                            </w:pPr>
                            <w:r>
                              <w:rPr>
                                <w:rFonts w:ascii="Times New Roman" w:hAnsi="Times New Roman" w:cs="Times New Roman"/>
                                <w:b/>
                                <w:bCs/>
                              </w:rPr>
                              <w:t xml:space="preserve">Figure 3.19 Monkeys showed rank-ordered indifference points on the bundle choice task. </w:t>
                            </w:r>
                            <w:r>
                              <w:rPr>
                                <w:rFonts w:ascii="Times New Roman" w:hAnsi="Times New Roman" w:cs="Times New Roman"/>
                              </w:rPr>
                              <w:t>The fraction (</w:t>
                            </w:r>
                            <w:r w:rsidRPr="00C355BA">
                              <w:rPr>
                                <w:rFonts w:cstheme="minorHAnsi"/>
                                <w:shd w:val="clear" w:color="auto" w:fill="FFFFFF"/>
                              </w:rPr>
                              <w:t>±</w:t>
                            </w:r>
                            <w:r>
                              <w:rPr>
                                <w:rFonts w:cstheme="minorHAnsi"/>
                                <w:shd w:val="clear" w:color="auto" w:fill="FFFFFF"/>
                              </w:rPr>
                              <w:t>standard error of mean) of times the monkey chooses the bundle when offered an amount of juice and water is calculated, where 1 indicates that the monkey always chooses that bundle over the budget offer of 1.2ml of water. A logistic function is then fitted to the monkey’s choices (lines) indicating the estimated number of times a monkey would pick a hypothetical bundle of reward level plus some fraction of 1.2ml of water. Shaded area indicates standard error of the mean of this function. The monkey’s willingness-to-pay for a particular bundle in terms of water is then assumed to be the point on the x axis that this psychometric function crosses the 0.5 mark. See chapter 1 and figure 1.1 for more on this ‘indifference point’. Dashed lines coloured by the reward level indicate the indifference points from bundles offered to monkeys.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C4462" id="_x0000_s1059" type="#_x0000_t202" style="position:absolute;margin-left:0;margin-top:.95pt;width:408.5pt;height:184.65pt;z-index:251703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">
                <v:textbox>
                  <w:txbxContent>
                    <w:p w14:paraId="51600A6E" w14:textId="77777777" w:rsidR="007A22C9" w:rsidRPr="00786C07" w:rsidRDefault="007A22C9" w:rsidP="007A22C9">
                      <w:pPr>
                        <w:rPr>
                          <w:rFonts w:ascii="Times New Roman" w:hAnsi="Times New Roman" w:cs="Times New Roman"/>
                        </w:rPr>
                      </w:pPr>
                      <w:r>
                        <w:rPr>
                          <w:rFonts w:ascii="Times New Roman" w:hAnsi="Times New Roman" w:cs="Times New Roman"/>
                          <w:b/>
                          <w:bCs/>
                        </w:rPr>
                        <w:t xml:space="preserve">Figure 3.19 Monkeys showed rank-ordered indifference points on the bundle choice task. </w:t>
                      </w:r>
                      <w:r>
                        <w:rPr>
                          <w:rFonts w:ascii="Times New Roman" w:hAnsi="Times New Roman" w:cs="Times New Roman"/>
                        </w:rPr>
                        <w:t>The fraction (</w:t>
                      </w:r>
                      <w:r w:rsidRPr="00C355BA">
                        <w:rPr>
                          <w:rFonts w:cstheme="minorHAnsi"/>
                          <w:shd w:val="clear" w:color="auto" w:fill="FFFFFF"/>
                        </w:rPr>
                        <w:t>±</w:t>
                      </w:r>
                      <w:r>
                        <w:rPr>
                          <w:rFonts w:cstheme="minorHAnsi"/>
                          <w:shd w:val="clear" w:color="auto" w:fill="FFFFFF"/>
                        </w:rPr>
                        <w:t>standard error of mean) of times the monkey chooses the bundle when offered an amount of juice and water is calculated, where 1 indicates that the monkey always chooses that bundle over the budget offer of 1.2ml of water. A logistic function is then fitted to the monkey’s choices (lines) indicating the estimated number of times a monkey would pick a hypothetical bundle of reward level plus some fraction of 1.2ml of water. Shaded area indicates standard error of the mean of this function. The monkey’s willingness-to-pay for a particular bundle in terms of water is then assumed to be the point on the x axis that this psychometric function crosses the 0.5 mark. See chapter 1 and figure 1.1 for more on this ‘indifference point’. Dashed lines coloured by the reward level indicate the indifference points from bundles offered to monkeys.</w:t>
                      </w:r>
                    </w:p>
                  </w:txbxContent>
                </v:textbox>
                <w10:wrap type="square" anchorx="margin"/>
              </v:shape>
            </w:pict>
          </mc:Fallback>
        </mc:AlternateContent>
      </w:r>
    </w:p>
    <w:p w14:paraId="641C80EE" w14:textId="77777777" w:rsidR="007A22C9" w:rsidRDefault="007A22C9" w:rsidP="007A22C9">
      <w:pPr>
        <w:rPr>
          <w:noProof/>
        </w:rPr>
      </w:pPr>
    </w:p>
    <w:p w14:paraId="348B074C" w14:textId="77777777" w:rsidR="007A22C9" w:rsidRDefault="007A22C9" w:rsidP="007A22C9">
      <w:pPr>
        <w:tabs>
          <w:tab w:val="left" w:pos="1476"/>
        </w:tabs>
      </w:pPr>
      <w:r>
        <w:tab/>
      </w:r>
    </w:p>
    <w:p w14:paraId="54A3CA78" w14:textId="77777777" w:rsidR="007A22C9" w:rsidRDefault="007A22C9" w:rsidP="007A22C9"/>
    <w:p w14:paraId="2A9B51F6" w14:textId="77777777" w:rsidR="007A22C9" w:rsidRPr="001E5B1A" w:rsidRDefault="007A22C9" w:rsidP="007A22C9"/>
    <w:p w14:paraId="23A40137" w14:textId="77777777" w:rsidR="007A22C9" w:rsidRPr="001E5B1A" w:rsidRDefault="007A22C9" w:rsidP="007A22C9"/>
    <w:p w14:paraId="65CF7352" w14:textId="77777777" w:rsidR="007A22C9" w:rsidRPr="001E5B1A" w:rsidRDefault="007A22C9" w:rsidP="007A22C9">
      <w:r>
        <w:rPr>
          <w:noProof/>
        </w:rPr>
        <w:lastRenderedPageBreak/>
        <w:drawing>
          <wp:inline distT="0" distB="0" distL="0" distR="0" wp14:anchorId="7E31759E" wp14:editId="4A7A29A8">
            <wp:extent cx="5731510" cy="4860290"/>
            <wp:effectExtent l="0" t="0" r="2540" b="0"/>
            <wp:docPr id="197" name="Graphic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aphic 45"/>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5731510" cy="4860290"/>
                    </a:xfrm>
                    <a:prstGeom prst="rect">
                      <a:avLst/>
                    </a:prstGeom>
                  </pic:spPr>
                </pic:pic>
              </a:graphicData>
            </a:graphic>
          </wp:inline>
        </w:drawing>
      </w:r>
    </w:p>
    <w:p w14:paraId="6287F08C" w14:textId="77777777" w:rsidR="007A22C9" w:rsidRPr="001E5B1A" w:rsidRDefault="007A22C9" w:rsidP="007A22C9">
      <w:r>
        <w:rPr>
          <w:noProof/>
        </w:rPr>
        <mc:AlternateContent>
          <mc:Choice Requires="wps">
            <w:drawing>
              <wp:anchor distT="45720" distB="45720" distL="114300" distR="114300" simplePos="0" relativeHeight="251708416" behindDoc="0" locked="0" layoutInCell="1" allowOverlap="1" wp14:anchorId="4B9CE43A" wp14:editId="5CEC68E0">
                <wp:simplePos x="0" y="0"/>
                <wp:positionH relativeFrom="margin">
                  <wp:align>left</wp:align>
                </wp:positionH>
                <wp:positionV relativeFrom="paragraph">
                  <wp:posOffset>11430</wp:posOffset>
                </wp:positionV>
                <wp:extent cx="5187950" cy="1524000"/>
                <wp:effectExtent l="0" t="0" r="12700" b="1905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0" cy="1524000"/>
                        </a:xfrm>
                        <a:prstGeom prst="rect">
                          <a:avLst/>
                        </a:prstGeom>
                        <a:solidFill>
                          <a:srgbClr val="FFFFFF"/>
                        </a:solidFill>
                        <a:ln w="9525">
                          <a:solidFill>
                            <a:srgbClr val="000000"/>
                          </a:solidFill>
                          <a:miter lim="800000"/>
                          <a:headEnd/>
                          <a:tailEnd/>
                        </a:ln>
                      </wps:spPr>
                      <wps:txbx>
                        <w:txbxContent>
                          <w:p w14:paraId="118321EA" w14:textId="77777777" w:rsidR="007A22C9" w:rsidRPr="005B27BD" w:rsidRDefault="007A22C9" w:rsidP="007A22C9">
                            <w:pPr>
                              <w:rPr>
                                <w:rFonts w:ascii="Times New Roman" w:hAnsi="Times New Roman" w:cs="Times New Roman"/>
                              </w:rPr>
                            </w:pPr>
                            <w:r>
                              <w:rPr>
                                <w:rFonts w:ascii="Times New Roman" w:hAnsi="Times New Roman" w:cs="Times New Roman"/>
                                <w:b/>
                                <w:bCs/>
                              </w:rPr>
                              <w:t xml:space="preserve">Figure 3.20 Monkeys binary choice data presents a noisier picture. </w:t>
                            </w:r>
                            <w:r>
                              <w:rPr>
                                <w:rFonts w:ascii="Times New Roman" w:hAnsi="Times New Roman" w:cs="Times New Roman"/>
                              </w:rPr>
                              <w:t>All binary choice sessions per monkey included in analysis are plotted as in figure 3.19 (indifference lines and standard error of mean on the logistic fit have been removed in the interest of clarity). The stochasticity of fits is clear and due to the limited number of trials completed by monkeys (Monkey U: mean trials per session = 98.6, standard deviation of trials per session = 33.9, Monkey V: mean trials = 119, standard deviation = 18.9). There are 30 categories of juice and bundle water that can be offered to the monkeys so over ~100 trials, an animal might only see a bundle offer a limited number of times.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CE43A" id="_x0000_s1060" type="#_x0000_t202" style="position:absolute;margin-left:0;margin-top:.9pt;width:408.5pt;height:120pt;z-index:2517084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">
                <v:textbox>
                  <w:txbxContent>
                    <w:p w14:paraId="118321EA" w14:textId="77777777" w:rsidR="007A22C9" w:rsidRPr="005B27BD" w:rsidRDefault="007A22C9" w:rsidP="007A22C9">
                      <w:pPr>
                        <w:rPr>
                          <w:rFonts w:ascii="Times New Roman" w:hAnsi="Times New Roman" w:cs="Times New Roman"/>
                        </w:rPr>
                      </w:pPr>
                      <w:r>
                        <w:rPr>
                          <w:rFonts w:ascii="Times New Roman" w:hAnsi="Times New Roman" w:cs="Times New Roman"/>
                          <w:b/>
                          <w:bCs/>
                        </w:rPr>
                        <w:t xml:space="preserve">Figure 3.20 Monkeys binary choice data presents a noisier picture. </w:t>
                      </w:r>
                      <w:r>
                        <w:rPr>
                          <w:rFonts w:ascii="Times New Roman" w:hAnsi="Times New Roman" w:cs="Times New Roman"/>
                        </w:rPr>
                        <w:t>All binary choice sessions per monkey included in analysis are plotted as in figure 3.19 (indifference lines and standard error of mean on the logistic fit have been removed in the interest of clarity). The stochasticity of fits is clear and due to the limited number of trials completed by monkeys (Monkey U: mean trials per session = 98.6, standard deviation of trials per session = 33.9, Monkey V: mean trials = 119, standard deviation = 18.9). There are 30 categories of juice and bundle water that can be offered to the monkeys so over ~100 trials, an animal might only see a bundle offer a limited number of times.</w:t>
                      </w:r>
                    </w:p>
                  </w:txbxContent>
                </v:textbox>
                <w10:wrap type="square" anchorx="margin"/>
              </v:shape>
            </w:pict>
          </mc:Fallback>
        </mc:AlternateContent>
      </w:r>
    </w:p>
    <w:p w14:paraId="142409F2" w14:textId="77777777" w:rsidR="007A22C9" w:rsidRPr="001E5B1A" w:rsidRDefault="007A22C9" w:rsidP="007A22C9"/>
    <w:p w14:paraId="459E4FA5" w14:textId="77777777" w:rsidR="007A22C9" w:rsidRPr="001E5B1A" w:rsidRDefault="007A22C9" w:rsidP="007A22C9"/>
    <w:p w14:paraId="656258C3" w14:textId="77777777" w:rsidR="007A22C9" w:rsidRPr="001E5B1A" w:rsidRDefault="007A22C9" w:rsidP="007A22C9"/>
    <w:p w14:paraId="08F4194B" w14:textId="77777777" w:rsidR="007A22C9" w:rsidRPr="001E5B1A" w:rsidRDefault="007A22C9" w:rsidP="007A22C9"/>
    <w:p w14:paraId="177B0DAB" w14:textId="77777777" w:rsidR="007A22C9" w:rsidRPr="001E5B1A" w:rsidRDefault="007A22C9" w:rsidP="007A22C9"/>
    <w:p w14:paraId="66C80E2B" w14:textId="77777777" w:rsidR="007A22C9" w:rsidRPr="001E5B1A" w:rsidRDefault="007A22C9" w:rsidP="007A22C9"/>
    <w:p w14:paraId="23D4788A" w14:textId="77777777" w:rsidR="007A22C9" w:rsidRPr="001E5B1A" w:rsidRDefault="007A22C9" w:rsidP="007A22C9"/>
    <w:p w14:paraId="292115B5" w14:textId="77777777" w:rsidR="007A22C9" w:rsidRDefault="007A22C9" w:rsidP="007A22C9">
      <w:pPr>
        <w:tabs>
          <w:tab w:val="left" w:pos="7387"/>
        </w:tabs>
      </w:pPr>
      <w:r>
        <w:tab/>
      </w:r>
    </w:p>
    <w:p w14:paraId="754A96D8" w14:textId="77777777" w:rsidR="007A22C9" w:rsidRPr="001E5B1A" w:rsidRDefault="007A22C9" w:rsidP="007A22C9">
      <w:r>
        <w:br w:type="page"/>
      </w:r>
    </w:p>
    <w:p w14:paraId="4989D15B" w14:textId="77777777" w:rsidR="007A22C9" w:rsidRDefault="007A22C9" w:rsidP="007A22C9">
      <w:pPr>
        <w:rPr>
          <w:noProof/>
        </w:rPr>
      </w:pPr>
      <w:r>
        <w:rPr>
          <w:noProof/>
        </w:rPr>
        <w:lastRenderedPageBreak/>
        <mc:AlternateContent>
          <mc:Choice Requires="wps">
            <w:drawing>
              <wp:anchor distT="45720" distB="45720" distL="114300" distR="114300" simplePos="0" relativeHeight="251704320" behindDoc="0" locked="0" layoutInCell="1" allowOverlap="1" wp14:anchorId="7480311D" wp14:editId="74E91A45">
                <wp:simplePos x="0" y="0"/>
                <wp:positionH relativeFrom="margin">
                  <wp:align>right</wp:align>
                </wp:positionH>
                <wp:positionV relativeFrom="paragraph">
                  <wp:posOffset>4928870</wp:posOffset>
                </wp:positionV>
                <wp:extent cx="5707380" cy="3223260"/>
                <wp:effectExtent l="0" t="0" r="26670" b="15240"/>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3223260"/>
                        </a:xfrm>
                        <a:prstGeom prst="rect">
                          <a:avLst/>
                        </a:prstGeom>
                        <a:solidFill>
                          <a:srgbClr val="FFFFFF"/>
                        </a:solidFill>
                        <a:ln w="9525">
                          <a:solidFill>
                            <a:srgbClr val="000000"/>
                          </a:solidFill>
                          <a:miter lim="800000"/>
                          <a:headEnd/>
                          <a:tailEnd/>
                        </a:ln>
                      </wps:spPr>
                      <wps:txbx>
                        <w:txbxContent>
                          <w:p w14:paraId="42A3EF8B" w14:textId="77777777" w:rsidR="007A22C9" w:rsidRPr="00BB7A22" w:rsidRDefault="007A22C9" w:rsidP="007A22C9">
                            <w:pPr>
                              <w:rPr>
                                <w:rFonts w:ascii="Times New Roman" w:hAnsi="Times New Roman" w:cs="Times New Roman"/>
                              </w:rPr>
                            </w:pPr>
                            <w:r>
                              <w:rPr>
                                <w:rFonts w:ascii="Times New Roman" w:hAnsi="Times New Roman" w:cs="Times New Roman"/>
                                <w:b/>
                                <w:bCs/>
                              </w:rPr>
                              <w:t>Figure 3.21a-c) the results of a logistic regression on monkey’s choices on the bundle choice task.</w:t>
                            </w:r>
                            <w:r>
                              <w:rPr>
                                <w:rFonts w:ascii="Times New Roman" w:hAnsi="Times New Roman" w:cs="Times New Roman"/>
                              </w:rPr>
                              <w:t xml:space="preserve"> A) Coefficient estimates for a regression of relevant task variables against monkey choices for all trials separated by monkey.</w:t>
                            </w:r>
                            <w:r w:rsidRPr="00F520E0">
                              <w:rPr>
                                <w:rFonts w:ascii="Times New Roman" w:hAnsi="Times New Roman" w:cs="Times New Roman"/>
                              </w:rPr>
                              <w:t xml:space="preserve"> </w:t>
                            </w:r>
                            <w:r>
                              <w:rPr>
                                <w:rFonts w:ascii="Times New Roman" w:hAnsi="Times New Roman" w:cs="Times New Roman"/>
                              </w:rPr>
                              <w:t>Error bars represent +/- standard error. Both monkeys show similar dominance of the difference in juice and water offered in the bundle when deciding between bundles or a full ‘budget’ of water. Though significant, the coefficient estimates for the results on the last trial were negligibly small. As the regression is on the probability of choosing the right-sided option, the intercept corresponds to the bias in the monkeys choice of sides and has been relabelled here. Monkey U showed a small but consistent right-sided bias whereas monkey V showed a larger left-sided bias. B) Coefficient estimates for identical regressions grouped by both monkey and session date. Boxplots show similar findings as the single regression carried out in a). In every session, the features that best predicted the monkey’s choice on a trial were the offers of water and juice in the bundle. In c) regression coefficients from b) are plotted by session number ordered by date, showing the relationship over time. Session number rather than date is used as for monkey U there were large periods between the sessions on the bundle choice task due to the focus on gathering data from monkeys performing BDM auctions. The split in session date is shown using a dotted line for monkey U. Sessions before the line take place in October-November 2019, and sessions after take place in September-October 2020. For monkey V, all sessions take place in September-October 2020.</w:t>
                            </w:r>
                          </w:p>
                          <w:p w14:paraId="26298A54" w14:textId="77777777" w:rsidR="007A22C9" w:rsidRPr="005558AE" w:rsidRDefault="007A22C9" w:rsidP="007A22C9">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0311D" id="_x0000_s1061" type="#_x0000_t202" style="position:absolute;margin-left:398.2pt;margin-top:388.1pt;width:449.4pt;height:253.8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">
                <v:textbox>
                  <w:txbxContent>
                    <w:p w14:paraId="42A3EF8B" w14:textId="77777777" w:rsidR="007A22C9" w:rsidRPr="00BB7A22" w:rsidRDefault="007A22C9" w:rsidP="007A22C9">
                      <w:pPr>
                        <w:rPr>
                          <w:rFonts w:ascii="Times New Roman" w:hAnsi="Times New Roman" w:cs="Times New Roman"/>
                        </w:rPr>
                      </w:pPr>
                      <w:r>
                        <w:rPr>
                          <w:rFonts w:ascii="Times New Roman" w:hAnsi="Times New Roman" w:cs="Times New Roman"/>
                          <w:b/>
                          <w:bCs/>
                        </w:rPr>
                        <w:t>Figure 3.21a-c) the results of a logistic regression on monkey’s choices on the bundle choice task.</w:t>
                      </w:r>
                      <w:r>
                        <w:rPr>
                          <w:rFonts w:ascii="Times New Roman" w:hAnsi="Times New Roman" w:cs="Times New Roman"/>
                        </w:rPr>
                        <w:t xml:space="preserve"> A) Coefficient estimates for a regression of relevant task variables against monkey choices for all trials separated by monkey.</w:t>
                      </w:r>
                      <w:r w:rsidRPr="00F520E0">
                        <w:rPr>
                          <w:rFonts w:ascii="Times New Roman" w:hAnsi="Times New Roman" w:cs="Times New Roman"/>
                        </w:rPr>
                        <w:t xml:space="preserve"> </w:t>
                      </w:r>
                      <w:r>
                        <w:rPr>
                          <w:rFonts w:ascii="Times New Roman" w:hAnsi="Times New Roman" w:cs="Times New Roman"/>
                        </w:rPr>
                        <w:t>Error bars represent +/- standard error. Both monkeys show similar dominance of the difference in juice and water offered in the bundle when deciding between bundles or a full ‘budget’ of water. Though significant, the coefficient estimates for the results on the last trial were negligibly small. As the regression is on the probability of choosing the right-sided option, the intercept corresponds to the bias in the monkeys choice of sides and has been relabelled here. Monkey U showed a small but consistent right-sided bias whereas monkey V showed a larger left-sided bias. B) Coefficient estimates for identical regressions grouped by both monkey and session date. Boxplots show similar findings as the single regression carried out in a). In every session, the features that best predicted the monkey’s choice on a trial were the offers of water and juice in the bundle. In c) regression coefficients from b) are plotted by session number ordered by date, showing the relationship over time. Session number rather than date is used as for monkey U there were large periods between the sessions on the bundle choice task due to the focus on gathering data from monkeys performing BDM auctions. The split in session date is shown using a dotted line for monkey U. Sessions before the line take place in October-November 2019, and sessions after take place in September-October 2020. For monkey V, all sessions take place in September-October 2020.</w:t>
                      </w:r>
                    </w:p>
                    <w:p w14:paraId="26298A54" w14:textId="77777777" w:rsidR="007A22C9" w:rsidRPr="005558AE" w:rsidRDefault="007A22C9" w:rsidP="007A22C9">
                      <w:pPr>
                        <w:rPr>
                          <w:rFonts w:ascii="Times New Roman" w:hAnsi="Times New Roman" w:cs="Times New Roman"/>
                        </w:rPr>
                      </w:pPr>
                    </w:p>
                  </w:txbxContent>
                </v:textbox>
                <w10:wrap type="square" anchorx="margin"/>
              </v:shape>
            </w:pict>
          </mc:Fallback>
        </mc:AlternateContent>
      </w:r>
      <w:r>
        <w:rPr>
          <w:noProof/>
        </w:rPr>
        <w:drawing>
          <wp:inline distT="0" distB="0" distL="0" distR="0" wp14:anchorId="2DA1C945" wp14:editId="32B32DD0">
            <wp:extent cx="5731510" cy="4860290"/>
            <wp:effectExtent l="0" t="0" r="2540" b="0"/>
            <wp:docPr id="198" name="Graphic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phic 47"/>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5731510" cy="4860290"/>
                    </a:xfrm>
                    <a:prstGeom prst="rect">
                      <a:avLst/>
                    </a:prstGeom>
                  </pic:spPr>
                </pic:pic>
              </a:graphicData>
            </a:graphic>
          </wp:inline>
        </w:drawing>
      </w:r>
      <w:r>
        <w:rPr>
          <w:noProof/>
        </w:rPr>
        <w:t xml:space="preserve"> </w:t>
      </w:r>
    </w:p>
    <w:p w14:paraId="473177AF" w14:textId="77777777" w:rsidR="007A22C9" w:rsidRDefault="007A22C9" w:rsidP="007A22C9">
      <w:pPr>
        <w:rPr>
          <w:noProof/>
        </w:rPr>
      </w:pPr>
      <w:r>
        <w:rPr>
          <w:noProof/>
        </w:rPr>
        <w:br w:type="page"/>
      </w:r>
    </w:p>
    <w:p w14:paraId="4FC9566E" w14:textId="77777777" w:rsidR="007A22C9" w:rsidRDefault="007A22C9" w:rsidP="007A22C9">
      <w:pPr>
        <w:rPr>
          <w:b/>
          <w:bCs/>
          <w:color w:val="FF0000"/>
        </w:rPr>
      </w:pPr>
      <w:r w:rsidRPr="0089137B">
        <w:rPr>
          <w:b/>
          <w:bCs/>
          <w:color w:val="FF0000"/>
        </w:rPr>
        <w:lastRenderedPageBreak/>
        <w:t>RANDOM UTILITY MODEL FIGURE – IN PROGRESS</w:t>
      </w:r>
    </w:p>
    <w:p w14:paraId="7A059C57" w14:textId="77777777" w:rsidR="007A22C9" w:rsidRDefault="007A22C9" w:rsidP="007A22C9">
      <w:pPr>
        <w:rPr>
          <w:b/>
          <w:bCs/>
          <w:color w:val="FF0000"/>
        </w:rPr>
      </w:pPr>
    </w:p>
    <w:p w14:paraId="444BA267" w14:textId="77777777" w:rsidR="007A22C9" w:rsidRDefault="007A22C9" w:rsidP="007A22C9">
      <w:r>
        <w:rPr>
          <w:b/>
          <w:bCs/>
          <w:color w:val="FF0000"/>
        </w:rPr>
        <w:t>FIGURE 3.22</w:t>
      </w:r>
      <w:r>
        <w:br w:type="page"/>
      </w:r>
    </w:p>
    <w:p w14:paraId="24A2195E" w14:textId="77777777" w:rsidR="007A22C9" w:rsidRDefault="007A22C9" w:rsidP="007A22C9">
      <w:pPr>
        <w:tabs>
          <w:tab w:val="left" w:pos="1476"/>
        </w:tabs>
        <w:rPr>
          <w:noProof/>
        </w:rPr>
      </w:pPr>
      <w:r>
        <w:rPr>
          <w:noProof/>
        </w:rPr>
        <w:lastRenderedPageBreak/>
        <mc:AlternateContent>
          <mc:Choice Requires="wps">
            <w:drawing>
              <wp:anchor distT="45720" distB="45720" distL="114300" distR="114300" simplePos="0" relativeHeight="251705344" behindDoc="0" locked="0" layoutInCell="1" allowOverlap="1" wp14:anchorId="1EF164EC" wp14:editId="2DB97BD7">
                <wp:simplePos x="0" y="0"/>
                <wp:positionH relativeFrom="margin">
                  <wp:align>right</wp:align>
                </wp:positionH>
                <wp:positionV relativeFrom="paragraph">
                  <wp:posOffset>4931622</wp:posOffset>
                </wp:positionV>
                <wp:extent cx="5707380" cy="2438400"/>
                <wp:effectExtent l="0" t="0" r="26670" b="19050"/>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438400"/>
                        </a:xfrm>
                        <a:prstGeom prst="rect">
                          <a:avLst/>
                        </a:prstGeom>
                        <a:solidFill>
                          <a:srgbClr val="FFFFFF"/>
                        </a:solidFill>
                        <a:ln w="9525">
                          <a:solidFill>
                            <a:srgbClr val="000000"/>
                          </a:solidFill>
                          <a:miter lim="800000"/>
                          <a:headEnd/>
                          <a:tailEnd/>
                        </a:ln>
                      </wps:spPr>
                      <wps:txbx>
                        <w:txbxContent>
                          <w:p w14:paraId="4F133A47" w14:textId="77777777" w:rsidR="007A22C9" w:rsidRPr="00A6531B" w:rsidRDefault="007A22C9" w:rsidP="007A22C9">
                            <w:pPr>
                              <w:rPr>
                                <w:rFonts w:ascii="Times New Roman" w:hAnsi="Times New Roman" w:cs="Times New Roman"/>
                                <w:color w:val="000000" w:themeColor="text1"/>
                              </w:rPr>
                            </w:pPr>
                            <w:r w:rsidRPr="00A6531B">
                              <w:rPr>
                                <w:rFonts w:ascii="Times New Roman" w:hAnsi="Times New Roman" w:cs="Times New Roman"/>
                                <w:b/>
                                <w:bCs/>
                                <w:color w:val="000000" w:themeColor="text1"/>
                              </w:rPr>
                              <w:t>Figure 3.2</w:t>
                            </w:r>
                            <w:r>
                              <w:rPr>
                                <w:rFonts w:ascii="Times New Roman" w:hAnsi="Times New Roman" w:cs="Times New Roman"/>
                                <w:b/>
                                <w:bCs/>
                                <w:color w:val="000000" w:themeColor="text1"/>
                              </w:rPr>
                              <w:t>3</w:t>
                            </w:r>
                            <w:r w:rsidRPr="00A6531B">
                              <w:rPr>
                                <w:rFonts w:ascii="Times New Roman" w:hAnsi="Times New Roman" w:cs="Times New Roman"/>
                                <w:b/>
                                <w:bCs/>
                                <w:color w:val="000000" w:themeColor="text1"/>
                              </w:rPr>
                              <w:t xml:space="preserve">a-b) Monkeys bids on the BDM compared to indifference points elicited from the bundle choice task. </w:t>
                            </w:r>
                            <w:r w:rsidRPr="00A6531B">
                              <w:rPr>
                                <w:rFonts w:ascii="Times New Roman" w:hAnsi="Times New Roman" w:cs="Times New Roman"/>
                                <w:color w:val="000000" w:themeColor="text1"/>
                              </w:rPr>
                              <w:t xml:space="preserve">A) Mean monkey bids per BDM session are plotted as boxplots as in figure 3.14b, coloured by reward level. The </w:t>
                            </w:r>
                            <w:r>
                              <w:rPr>
                                <w:rFonts w:ascii="Times New Roman" w:hAnsi="Times New Roman" w:cs="Times New Roman"/>
                                <w:color w:val="000000" w:themeColor="text1"/>
                              </w:rPr>
                              <w:t xml:space="preserve">bundle choice </w:t>
                            </w:r>
                            <w:r w:rsidRPr="00A6531B">
                              <w:rPr>
                                <w:rFonts w:ascii="Times New Roman" w:hAnsi="Times New Roman" w:cs="Times New Roman"/>
                                <w:color w:val="000000" w:themeColor="text1"/>
                              </w:rPr>
                              <w:t>indifference points for the same reward levels as plotted in figure 3.19</w:t>
                            </w:r>
                            <w:r w:rsidRPr="00A6531B">
                              <w:rPr>
                                <w:rFonts w:ascii="Times New Roman" w:hAnsi="Times New Roman" w:cs="Times New Roman"/>
                                <w:color w:val="000000" w:themeColor="text1"/>
                                <w:shd w:val="clear" w:color="auto" w:fill="FFFFFF"/>
                              </w:rPr>
                              <w:t> ± the standard error of the fitted binomial function are shown to the right of each of these boxplots. Both are expressed as a fraction of the budget monkeys are willing to forgo in order to obtain juice reward, where 1 indicated willingness to miss out 1.2ml of water.</w:t>
                            </w:r>
                            <w:r>
                              <w:rPr>
                                <w:rFonts w:ascii="Times New Roman" w:hAnsi="Times New Roman" w:cs="Times New Roman"/>
                                <w:color w:val="000000" w:themeColor="text1"/>
                                <w:shd w:val="clear" w:color="auto" w:fill="FFFFFF"/>
                              </w:rPr>
                              <w:t xml:space="preserve"> The binomial fit for the largest juice volume for monkey V is above the range of the graph.</w:t>
                            </w:r>
                            <w:r w:rsidRPr="00A6531B">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B) Taking these indifference points as the utility of the juice in terms of units of water, we calculate the total utility available to a hyper rational monkey that always bid this value (1.0). The total utility actually obtained by monkeys per session in terms of water is then calculated and shown per reward level (brown boxplots) as a fraction of this ‘optimal utility’. This is compared to hypothetical utility the monkeys would have experienced if their bids were drawn at random following a uniform distribution across the possible bidding range (purple boxplots).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F164EC" id="_x0000_s1062" type="#_x0000_t202" style="position:absolute;margin-left:398.2pt;margin-top:388.3pt;width:449.4pt;height:192pt;z-index:251705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">
                <v:textbox>
                  <w:txbxContent>
                    <w:p w14:paraId="4F133A47" w14:textId="77777777" w:rsidR="007A22C9" w:rsidRPr="00A6531B" w:rsidRDefault="007A22C9" w:rsidP="007A22C9">
                      <w:pPr>
                        <w:rPr>
                          <w:rFonts w:ascii="Times New Roman" w:hAnsi="Times New Roman" w:cs="Times New Roman"/>
                          <w:color w:val="000000" w:themeColor="text1"/>
                        </w:rPr>
                      </w:pPr>
                      <w:r w:rsidRPr="00A6531B">
                        <w:rPr>
                          <w:rFonts w:ascii="Times New Roman" w:hAnsi="Times New Roman" w:cs="Times New Roman"/>
                          <w:b/>
                          <w:bCs/>
                          <w:color w:val="000000" w:themeColor="text1"/>
                        </w:rPr>
                        <w:t>Figure 3.2</w:t>
                      </w:r>
                      <w:r>
                        <w:rPr>
                          <w:rFonts w:ascii="Times New Roman" w:hAnsi="Times New Roman" w:cs="Times New Roman"/>
                          <w:b/>
                          <w:bCs/>
                          <w:color w:val="000000" w:themeColor="text1"/>
                        </w:rPr>
                        <w:t>3</w:t>
                      </w:r>
                      <w:r w:rsidRPr="00A6531B">
                        <w:rPr>
                          <w:rFonts w:ascii="Times New Roman" w:hAnsi="Times New Roman" w:cs="Times New Roman"/>
                          <w:b/>
                          <w:bCs/>
                          <w:color w:val="000000" w:themeColor="text1"/>
                        </w:rPr>
                        <w:t xml:space="preserve">a-b) Monkeys bids on the BDM compared to indifference points elicited from the bundle choice task. </w:t>
                      </w:r>
                      <w:r w:rsidRPr="00A6531B">
                        <w:rPr>
                          <w:rFonts w:ascii="Times New Roman" w:hAnsi="Times New Roman" w:cs="Times New Roman"/>
                          <w:color w:val="000000" w:themeColor="text1"/>
                        </w:rPr>
                        <w:t xml:space="preserve">A) Mean monkey bids per BDM session are plotted as boxplots as in figure 3.14b, coloured by reward level. The </w:t>
                      </w:r>
                      <w:r>
                        <w:rPr>
                          <w:rFonts w:ascii="Times New Roman" w:hAnsi="Times New Roman" w:cs="Times New Roman"/>
                          <w:color w:val="000000" w:themeColor="text1"/>
                        </w:rPr>
                        <w:t xml:space="preserve">bundle choice </w:t>
                      </w:r>
                      <w:r w:rsidRPr="00A6531B">
                        <w:rPr>
                          <w:rFonts w:ascii="Times New Roman" w:hAnsi="Times New Roman" w:cs="Times New Roman"/>
                          <w:color w:val="000000" w:themeColor="text1"/>
                        </w:rPr>
                        <w:t>indifference points for the same reward levels as plotted in figure 3.19</w:t>
                      </w:r>
                      <w:r w:rsidRPr="00A6531B">
                        <w:rPr>
                          <w:rFonts w:ascii="Times New Roman" w:hAnsi="Times New Roman" w:cs="Times New Roman"/>
                          <w:color w:val="000000" w:themeColor="text1"/>
                          <w:shd w:val="clear" w:color="auto" w:fill="FFFFFF"/>
                        </w:rPr>
                        <w:t> ± the standard error of the fitted binomial function are shown to the right of each of these boxplots. Both are expressed as a fraction of the budget monkeys are willing to forgo in order to obtain juice reward, where 1 indicated willingness to miss out 1.2ml of water.</w:t>
                      </w:r>
                      <w:r>
                        <w:rPr>
                          <w:rFonts w:ascii="Times New Roman" w:hAnsi="Times New Roman" w:cs="Times New Roman"/>
                          <w:color w:val="000000" w:themeColor="text1"/>
                          <w:shd w:val="clear" w:color="auto" w:fill="FFFFFF"/>
                        </w:rPr>
                        <w:t xml:space="preserve"> The binomial fit for the largest juice volume for monkey V is above the range of the graph.</w:t>
                      </w:r>
                      <w:r w:rsidRPr="00A6531B">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B) Taking these indifference points as the utility of the juice in terms of units of water, we calculate the total utility available to a hyper rational monkey that always bid this value (1.0). The total utility actually obtained by monkeys per session in terms of water is then calculated and shown per reward level (brown boxplots) as a fraction of this ‘optimal utility’. This is compared to hypothetical utility the monkeys would have experienced if their bids were drawn at random following a uniform distribution across the possible bidding range (purple boxplots).</w:t>
                      </w:r>
                    </w:p>
                  </w:txbxContent>
                </v:textbox>
                <w10:wrap type="square" anchorx="margin"/>
              </v:shape>
            </w:pict>
          </mc:Fallback>
        </mc:AlternateContent>
      </w:r>
      <w:r>
        <w:rPr>
          <w:noProof/>
        </w:rPr>
        <w:drawing>
          <wp:inline distT="0" distB="0" distL="0" distR="0" wp14:anchorId="3FD0B33C" wp14:editId="4478CD41">
            <wp:extent cx="5731510" cy="4860290"/>
            <wp:effectExtent l="0" t="0" r="2540" b="0"/>
            <wp:docPr id="49" name="Graph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raphic 49"/>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5731510" cy="4860290"/>
                    </a:xfrm>
                    <a:prstGeom prst="rect">
                      <a:avLst/>
                    </a:prstGeom>
                  </pic:spPr>
                </pic:pic>
              </a:graphicData>
            </a:graphic>
          </wp:inline>
        </w:drawing>
      </w:r>
    </w:p>
    <w:p w14:paraId="79B3FDB7" w14:textId="77777777" w:rsidR="007A22C9" w:rsidRPr="004A4F61" w:rsidRDefault="007A22C9" w:rsidP="007A22C9"/>
    <w:p w14:paraId="09195C21" w14:textId="77777777" w:rsidR="007A22C9" w:rsidRPr="004A4F61" w:rsidRDefault="007A22C9" w:rsidP="007A22C9"/>
    <w:p w14:paraId="2CF02133" w14:textId="77777777" w:rsidR="007A22C9" w:rsidRPr="004A4F61" w:rsidRDefault="007A22C9" w:rsidP="007A22C9"/>
    <w:p w14:paraId="133678BF" w14:textId="77777777" w:rsidR="007A22C9" w:rsidRPr="004A4F61" w:rsidRDefault="007A22C9" w:rsidP="007A22C9"/>
    <w:p w14:paraId="2BC2FB59" w14:textId="77777777" w:rsidR="007A22C9" w:rsidRPr="004A4F61" w:rsidRDefault="007A22C9" w:rsidP="007A22C9">
      <w:pPr>
        <w:tabs>
          <w:tab w:val="left" w:pos="6972"/>
        </w:tabs>
      </w:pPr>
    </w:p>
    <w:p w14:paraId="74FBB8BA" w14:textId="77777777" w:rsidR="00884E52" w:rsidRPr="00E927AA" w:rsidRDefault="00884E52" w:rsidP="007A22C9">
      <w:pPr>
        <w:tabs>
          <w:tab w:val="left" w:pos="8000"/>
        </w:tabs>
      </w:pPr>
    </w:p>
    <w:p w14:paraId="7909DE32" w14:textId="0A517323" w:rsidR="000618AF" w:rsidRDefault="000618AF" w:rsidP="000618AF">
      <w:pPr>
        <w:tabs>
          <w:tab w:val="left" w:pos="3456"/>
        </w:tabs>
        <w:rPr>
          <w:rFonts w:ascii="Times New Roman" w:hAnsi="Times New Roman" w:cs="Times New Roman"/>
          <w:sz w:val="24"/>
          <w:szCs w:val="24"/>
        </w:rPr>
      </w:pPr>
    </w:p>
    <w:p w14:paraId="71BACD6B" w14:textId="26677B8E" w:rsidR="007A22C9" w:rsidRPr="007A22C9" w:rsidRDefault="007A22C9" w:rsidP="007A22C9">
      <w:pPr>
        <w:rPr>
          <w:rFonts w:ascii="Times New Roman" w:hAnsi="Times New Roman" w:cs="Times New Roman"/>
          <w:sz w:val="24"/>
          <w:szCs w:val="24"/>
        </w:rPr>
      </w:pPr>
    </w:p>
    <w:p w14:paraId="6AFBCFD3" w14:textId="5960B84E" w:rsidR="007A22C9" w:rsidRPr="007A22C9" w:rsidRDefault="007A22C9" w:rsidP="007A22C9">
      <w:pPr>
        <w:rPr>
          <w:rFonts w:ascii="Times New Roman" w:hAnsi="Times New Roman" w:cs="Times New Roman"/>
          <w:sz w:val="24"/>
          <w:szCs w:val="24"/>
        </w:rPr>
      </w:pPr>
    </w:p>
    <w:p w14:paraId="6E8B5C7A" w14:textId="7367B3D8" w:rsidR="007A22C9" w:rsidRPr="007A22C9" w:rsidRDefault="007A22C9" w:rsidP="007A22C9">
      <w:pPr>
        <w:rPr>
          <w:rFonts w:ascii="Times New Roman" w:hAnsi="Times New Roman" w:cs="Times New Roman"/>
          <w:sz w:val="24"/>
          <w:szCs w:val="24"/>
        </w:rPr>
      </w:pPr>
    </w:p>
    <w:p w14:paraId="6C6B6BAA" w14:textId="700E3EE2" w:rsidR="007A22C9" w:rsidRDefault="007A22C9" w:rsidP="007A22C9">
      <w:pPr>
        <w:rPr>
          <w:rFonts w:ascii="Times New Roman" w:hAnsi="Times New Roman" w:cs="Times New Roman"/>
          <w:sz w:val="24"/>
          <w:szCs w:val="24"/>
        </w:rPr>
      </w:pPr>
    </w:p>
    <w:p w14:paraId="6D8F541E" w14:textId="1E5D96C5" w:rsidR="007A22C9" w:rsidRDefault="007A22C9" w:rsidP="007A22C9">
      <w:pPr>
        <w:tabs>
          <w:tab w:val="left" w:pos="8280"/>
        </w:tabs>
        <w:rPr>
          <w:rFonts w:ascii="Times New Roman" w:hAnsi="Times New Roman" w:cs="Times New Roman"/>
          <w:sz w:val="24"/>
          <w:szCs w:val="24"/>
        </w:rPr>
      </w:pPr>
      <w:r>
        <w:rPr>
          <w:rFonts w:ascii="Times New Roman" w:hAnsi="Times New Roman" w:cs="Times New Roman"/>
          <w:sz w:val="24"/>
          <w:szCs w:val="24"/>
        </w:rPr>
        <w:tab/>
      </w:r>
    </w:p>
    <w:p w14:paraId="076DCD13" w14:textId="77777777" w:rsidR="007A22C9" w:rsidRDefault="007A22C9">
      <w:pPr>
        <w:rPr>
          <w:rFonts w:ascii="Times New Roman" w:hAnsi="Times New Roman" w:cs="Times New Roman"/>
          <w:sz w:val="24"/>
          <w:szCs w:val="24"/>
        </w:rPr>
      </w:pPr>
      <w:r>
        <w:rPr>
          <w:rFonts w:ascii="Times New Roman" w:hAnsi="Times New Roman" w:cs="Times New Roman"/>
          <w:sz w:val="24"/>
          <w:szCs w:val="24"/>
        </w:rPr>
        <w:br w:type="page"/>
      </w:r>
    </w:p>
    <w:p w14:paraId="7A86BF16" w14:textId="77777777" w:rsidR="007A22C9" w:rsidRPr="007A22C9" w:rsidRDefault="007A22C9" w:rsidP="007A22C9">
      <w:pPr>
        <w:tabs>
          <w:tab w:val="left" w:pos="8280"/>
        </w:tabs>
        <w:rPr>
          <w:rFonts w:ascii="Times New Roman" w:hAnsi="Times New Roman" w:cs="Times New Roman"/>
          <w:sz w:val="24"/>
          <w:szCs w:val="24"/>
        </w:rPr>
      </w:pPr>
    </w:p>
    <w:sectPr w:rsidR="007A22C9" w:rsidRPr="007A22C9" w:rsidSect="004A71FF">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964C38" w14:textId="77777777" w:rsidR="004540CE" w:rsidRDefault="004540CE" w:rsidP="004A71FF">
      <w:pPr>
        <w:spacing w:after="0" w:line="240" w:lineRule="auto"/>
      </w:pPr>
      <w:r>
        <w:separator/>
      </w:r>
    </w:p>
  </w:endnote>
  <w:endnote w:type="continuationSeparator" w:id="0">
    <w:p w14:paraId="6828E53F" w14:textId="77777777" w:rsidR="004540CE" w:rsidRDefault="004540CE" w:rsidP="004A7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ED2DB3" w14:textId="77777777" w:rsidR="004540CE" w:rsidRDefault="004540CE" w:rsidP="004A71FF">
      <w:pPr>
        <w:spacing w:after="0" w:line="240" w:lineRule="auto"/>
      </w:pPr>
      <w:r>
        <w:separator/>
      </w:r>
    </w:p>
  </w:footnote>
  <w:footnote w:type="continuationSeparator" w:id="0">
    <w:p w14:paraId="3A8510D1" w14:textId="77777777" w:rsidR="004540CE" w:rsidRDefault="004540CE" w:rsidP="004A71FF">
      <w:pPr>
        <w:spacing w:after="0" w:line="240" w:lineRule="auto"/>
      </w:pPr>
      <w:r>
        <w:continuationSeparator/>
      </w:r>
    </w:p>
  </w:footnote>
  <w:footnote w:id="1">
    <w:p w14:paraId="1B3C9D01" w14:textId="77777777" w:rsidR="00270682" w:rsidRDefault="00270682" w:rsidP="004A71FF">
      <w:pPr>
        <w:pStyle w:val="NormalWeb"/>
        <w:rPr>
          <w:rFonts w:asciiTheme="minorHAnsi" w:hAnsiTheme="minorHAnsi" w:cstheme="minorHAnsi"/>
          <w:sz w:val="20"/>
          <w:szCs w:val="20"/>
          <w:lang w:val="en-US"/>
        </w:rPr>
      </w:pPr>
      <w:r w:rsidRPr="00CD3967">
        <w:rPr>
          <w:rStyle w:val="FootnoteReference"/>
        </w:rPr>
        <w:footnoteRef/>
      </w:r>
      <w:r w:rsidRPr="003D4496">
        <w:rPr>
          <w:rFonts w:asciiTheme="minorHAnsi" w:hAnsiTheme="minorHAnsi" w:cstheme="minorHAnsi"/>
          <w:sz w:val="20"/>
          <w:szCs w:val="20"/>
        </w:rPr>
        <w:t xml:space="preserve"> </w:t>
      </w:r>
      <w:r w:rsidRPr="003D4496">
        <w:rPr>
          <w:rFonts w:asciiTheme="minorHAnsi" w:hAnsiTheme="minorHAnsi" w:cstheme="minorHAnsi"/>
          <w:sz w:val="20"/>
          <w:szCs w:val="20"/>
          <w:lang w:val="en-US"/>
        </w:rPr>
        <w:t xml:space="preserve">Neither literally how neurons calculate and compare utilities, nor philosophically how a 1500g piece of meat manages to </w:t>
      </w:r>
      <w:r>
        <w:rPr>
          <w:rFonts w:asciiTheme="minorHAnsi" w:hAnsiTheme="minorHAnsi" w:cstheme="minorHAnsi"/>
          <w:sz w:val="20"/>
          <w:szCs w:val="20"/>
          <w:lang w:val="en-US"/>
        </w:rPr>
        <w:t>hold its own against</w:t>
      </w:r>
      <w:r w:rsidRPr="003D4496">
        <w:rPr>
          <w:rFonts w:asciiTheme="minorHAnsi" w:hAnsiTheme="minorHAnsi" w:cstheme="minorHAnsi"/>
          <w:sz w:val="20"/>
          <w:szCs w:val="20"/>
          <w:lang w:val="en-US"/>
        </w:rPr>
        <w:t xml:space="preserve"> intelligently designed computer programs. As an essay beloved by the author puts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fldChar w:fldCharType="begin" w:fldLock="1"/>
      </w:r>
      <w:r>
        <w:rPr>
          <w:rFonts w:asciiTheme="minorHAnsi" w:hAnsiTheme="minorHAnsi" w:cstheme="minorHAnsi"/>
          <w:sz w:val="20"/>
          <w:szCs w:val="20"/>
          <w:lang w:val="en-US"/>
        </w:rPr>
        <w:instrText>ADDIN CSL_CITATION {"citationItems":[{"id":"ITEM-1","itemData":{"abstract":"Web version of article from Omni magazine in 1990","author":[{"dropping-particle":"","family":"Bisson","given":"Terry","non-dropping-particle":"","parse-names":false,"suffix":""}],"container-title":"Omni Magazine","id":"ITEM-1","issued":{"date-parts":[["1990"]]},"title":"They're Made out of Meat","type":"article"},"uris":["http://www.mendeley.com/documents/?uuid=9c9c4b28-9e74-40c6-9310-4ed515d4b5a2"]}],"mendeley":{"formattedCitation":"(Bisson, 1990)","plainTextFormattedCitation":"(Bisson, 1990)","previouslyFormattedCitation":"(Bisson, 1990)"},"properties":{"noteIndex":0},"schema":"https://github.com/citation-style-language/schema/raw/master/csl-citation.json"}</w:instrText>
      </w:r>
      <w:r>
        <w:rPr>
          <w:rFonts w:asciiTheme="minorHAnsi" w:hAnsiTheme="minorHAnsi" w:cstheme="minorHAnsi"/>
          <w:sz w:val="20"/>
          <w:szCs w:val="20"/>
          <w:lang w:val="en-US"/>
        </w:rPr>
        <w:fldChar w:fldCharType="separate"/>
      </w:r>
      <w:r w:rsidRPr="003D4496">
        <w:rPr>
          <w:rFonts w:asciiTheme="minorHAnsi" w:hAnsiTheme="minorHAnsi" w:cstheme="minorHAnsi"/>
          <w:noProof/>
          <w:sz w:val="20"/>
          <w:szCs w:val="20"/>
          <w:lang w:val="en-US"/>
        </w:rPr>
        <w:t>(Bisson, 1990)</w:t>
      </w:r>
      <w:r>
        <w:rPr>
          <w:rFonts w:asciiTheme="minorHAnsi" w:hAnsiTheme="minorHAnsi" w:cstheme="minorHAnsi"/>
          <w:sz w:val="20"/>
          <w:szCs w:val="20"/>
          <w:lang w:val="en-US"/>
        </w:rPr>
        <w:fldChar w:fldCharType="end"/>
      </w:r>
      <w:r w:rsidRPr="003D4496">
        <w:rPr>
          <w:rFonts w:asciiTheme="minorHAnsi" w:hAnsiTheme="minorHAnsi" w:cstheme="minorHAnsi"/>
          <w:sz w:val="20"/>
          <w:szCs w:val="20"/>
          <w:lang w:val="en-US"/>
        </w:rPr>
        <w:t>:</w:t>
      </w:r>
    </w:p>
    <w:p w14:paraId="7F5FEB3A" w14:textId="6928AAF2" w:rsidR="00270682" w:rsidRPr="003D4496" w:rsidRDefault="00270682"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 xml:space="preserve">"We probed </w:t>
      </w:r>
      <w:r>
        <w:rPr>
          <w:rFonts w:asciiTheme="minorHAnsi" w:hAnsiTheme="minorHAnsi" w:cstheme="minorHAnsi"/>
          <w:i/>
          <w:iCs/>
          <w:sz w:val="20"/>
          <w:szCs w:val="20"/>
        </w:rPr>
        <w:t>[humans]</w:t>
      </w:r>
      <w:r w:rsidRPr="003D4496">
        <w:rPr>
          <w:rFonts w:asciiTheme="minorHAnsi" w:hAnsiTheme="minorHAnsi" w:cstheme="minorHAnsi"/>
          <w:i/>
          <w:iCs/>
          <w:sz w:val="20"/>
          <w:szCs w:val="20"/>
        </w:rPr>
        <w:t>. They're meat all the way through."</w:t>
      </w:r>
    </w:p>
    <w:p w14:paraId="1DD0154C" w14:textId="4DB1FA6E" w:rsidR="00270682" w:rsidRPr="003D4496" w:rsidRDefault="00270682"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w:t>
      </w:r>
      <w:r>
        <w:rPr>
          <w:rFonts w:asciiTheme="minorHAnsi" w:hAnsiTheme="minorHAnsi" w:cstheme="minorHAnsi"/>
          <w:i/>
          <w:iCs/>
          <w:sz w:val="20"/>
          <w:szCs w:val="20"/>
        </w:rPr>
        <w:t>They don’t have a brain</w:t>
      </w:r>
      <w:r w:rsidRPr="003D4496">
        <w:rPr>
          <w:rFonts w:asciiTheme="minorHAnsi" w:hAnsiTheme="minorHAnsi" w:cstheme="minorHAnsi"/>
          <w:i/>
          <w:iCs/>
          <w:sz w:val="20"/>
          <w:szCs w:val="20"/>
        </w:rPr>
        <w:t>?</w:t>
      </w:r>
      <w:r>
        <w:rPr>
          <w:rFonts w:asciiTheme="minorHAnsi" w:hAnsiTheme="minorHAnsi" w:cstheme="minorHAnsi"/>
          <w:i/>
          <w:iCs/>
          <w:sz w:val="20"/>
          <w:szCs w:val="20"/>
        </w:rPr>
        <w:t>]</w:t>
      </w:r>
      <w:r w:rsidRPr="003D4496">
        <w:rPr>
          <w:rFonts w:asciiTheme="minorHAnsi" w:hAnsiTheme="minorHAnsi" w:cstheme="minorHAnsi"/>
          <w:i/>
          <w:iCs/>
          <w:sz w:val="20"/>
          <w:szCs w:val="20"/>
        </w:rPr>
        <w:t>"</w:t>
      </w:r>
    </w:p>
    <w:p w14:paraId="52CDB696" w14:textId="77777777" w:rsidR="00270682" w:rsidRPr="003D4496" w:rsidRDefault="00270682"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"Oh, there is a brain all right. It's just that the brain is made out of meat!"</w:t>
      </w:r>
    </w:p>
    <w:p w14:paraId="38E27840" w14:textId="77777777" w:rsidR="00270682" w:rsidRPr="003D4496" w:rsidRDefault="00270682"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"So... what does the thinking?"</w:t>
      </w:r>
    </w:p>
    <w:p w14:paraId="632C0E55" w14:textId="77777777" w:rsidR="00270682" w:rsidRPr="003D4496" w:rsidRDefault="00270682"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"You're not understanding, are you? The brain does the thinking. The meat."</w:t>
      </w:r>
    </w:p>
    <w:p w14:paraId="2C2EBFFA" w14:textId="77777777" w:rsidR="00270682" w:rsidRPr="003D4496" w:rsidRDefault="00270682" w:rsidP="004A71FF">
      <w:pPr>
        <w:pStyle w:val="Standard"/>
        <w:rPr>
          <w:lang w:val="en-US"/>
        </w:rPr>
      </w:pPr>
      <w:r w:rsidRPr="003D4496">
        <w:rPr>
          <w:rFonts w:asciiTheme="minorHAnsi" w:hAnsiTheme="minorHAnsi" w:cstheme="minorHAnsi"/>
          <w:i/>
          <w:iCs/>
          <w:sz w:val="20"/>
          <w:szCs w:val="20"/>
        </w:rPr>
        <w:tab/>
        <w:t>"Thinking meat! You're asking me to believe in thinking meat!"</w:t>
      </w:r>
    </w:p>
  </w:footnote>
  <w:footnote w:id="2">
    <w:p w14:paraId="0F73D142" w14:textId="41F69A76" w:rsidR="00270682" w:rsidRDefault="00270682">
      <w:pPr>
        <w:pStyle w:val="FootnoteText"/>
      </w:pPr>
      <w:r w:rsidRPr="00CD3967">
        <w:rPr>
          <w:rStyle w:val="FootnoteReference"/>
        </w:rPr>
        <w:footnoteRef/>
      </w:r>
      <w:r>
        <w:t xml:space="preserve"> The examples used here are mostly to make a rhetorical point to introduce the idea of external unitary scales of decisions, and the lack thereof in economic decision-making. The point could well be made that all perceptual decisions are a subset of economic decisions. For a brief discussion on economic decision-making as psychophysics see appendix 1.1 and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laws","type":"article-journal","volume":"66"},"uris":["http://www.mendeley.com/documents/?uuid=7e055116-4f78-4be4-a6a6-2e8ad0dda6f0"]}],"mendeley":{"formattedCitation":"(Luce, 1959)","manualFormatting":"Luce, 1959","plainTextFormattedCitation":"(Luce, 1959)","previouslyFormattedCitation":"(Luce, 1959)"},"properties":{"noteIndex":0},"schema":"https://github.com/citation-style-language/schema/raw/master/csl-citation.json"}</w:instrText>
      </w:r>
      <w:r>
        <w:fldChar w:fldCharType="separate"/>
      </w:r>
      <w:r w:rsidRPr="00551993">
        <w:rPr>
          <w:noProof/>
        </w:rPr>
        <w:t>Luce, 1959</w:t>
      </w:r>
      <w:r>
        <w:fldChar w:fldCharType="end"/>
      </w:r>
      <w:r>
        <w:t>.</w:t>
      </w:r>
    </w:p>
  </w:footnote>
  <w:footnote w:id="3">
    <w:p w14:paraId="6FC2E7F1" w14:textId="435E97BC" w:rsidR="00270682" w:rsidRDefault="00270682">
      <w:pPr>
        <w:pStyle w:val="FootnoteText"/>
      </w:pPr>
      <w:r w:rsidRPr="00CD3967">
        <w:rPr>
          <w:rStyle w:val="FootnoteReference"/>
        </w:rPr>
        <w:footnoteRef/>
      </w:r>
      <w:r>
        <w:t xml:space="preserve"> Of course, this only considers value-in-use, rather value-in-exchange for the purposes of a simplified, illustrative example. We also skip over the idea that it is the </w:t>
      </w:r>
      <w:r>
        <w:rPr>
          <w:i/>
          <w:iCs/>
        </w:rPr>
        <w:t>marginal</w:t>
      </w:r>
      <w:r>
        <w:t xml:space="preserve"> utility rather than the utility per se that causes the starving man to value food highly for the purposes of our point. See </w:t>
      </w:r>
      <w:r>
        <w:fldChar w:fldCharType="begin" w:fldLock="1"/>
      </w:r>
      <w:r>
        <w:instrText>ADDIN CSL_CITATION {"citationItems":[{"id":"ITEM-1","itemData":{"DOI":"10.1215/00182702-34-4-659","ISSN":"00182702","author":[{"dropping-particle":"V.","family":"White","given":"Michael","non-dropping-particle":"","parse-names":false,"suffix":""}],"container-title":"History of Political Economy","id":"ITEM-1","issue":"4","issued":{"date-parts":[["2002"]]},"page":"659-683","title":"Doctoring adam smith: The fable of the diamonds and water paradox","type":"article-journal","volume":"34"},"uris":["http://www.mendeley.com/documents/?uuid=57e0f55c-91c0-4024-9b29-17f1054d3dfe"]}],"mendeley":{"formattedCitation":"(White, 2002)","manualFormatting":"White, 2002","plainTextFormattedCitation":"(White, 2002)","previouslyFormattedCitation":"(White, 2002)"},"properties":{"noteIndex":0},"schema":"https://github.com/citation-style-language/schema/raw/master/csl-citation.json"}</w:instrText>
      </w:r>
      <w:r>
        <w:fldChar w:fldCharType="separate"/>
      </w:r>
      <w:r w:rsidRPr="00375DE3">
        <w:rPr>
          <w:noProof/>
        </w:rPr>
        <w:t>White, 2002</w:t>
      </w:r>
      <w:r>
        <w:fldChar w:fldCharType="end"/>
      </w:r>
      <w:r>
        <w:t xml:space="preserve"> for a critical take on this common economic fable which goes beyond the scope of this thesis.</w:t>
      </w:r>
    </w:p>
  </w:footnote>
  <w:footnote w:id="4">
    <w:p w14:paraId="7D1366F9" w14:textId="0A74ED69" w:rsidR="00270682" w:rsidRPr="000A7778" w:rsidRDefault="00270682" w:rsidP="00754831">
      <w:pPr>
        <w:pStyle w:val="FootnoteText"/>
      </w:pPr>
      <w:r w:rsidRPr="00CD3967">
        <w:rPr>
          <w:rStyle w:val="FootnoteReference"/>
        </w:rPr>
        <w:footnoteRef/>
      </w:r>
      <w:r>
        <w:t xml:space="preserve"> A medieval unit of currency. 20 ducats would have been a substantial sum on the order of hundreds/thousands of dollars in today’s currency. A more recent recreation of the St Petersburg Paradox reveals that modern undergraduates place a median value on the game of $1.50 </w:t>
      </w:r>
      <w:r>
        <w:fldChar w:fldCharType="begin" w:fldLock="1"/>
      </w:r>
      <w:r>
        <w:instrText>ADDIN CSL_CITATION {"citationItems":[{"id":"ITEM-1","itemData":{"ISSN":"19302975","PMID":"24179560","abstract":"The St. Petersburg Paradox is a famous economic and philosophical puzzle that has generated numerous conflicting explanations. To shed empirical light on this phenomenon, we examined subjects' bids for one St. Petersburg gamble with a real monetary payment. We found that bids were typically lower than twice the smallest payoff, and thus much lower than is generally supposed. We also examined bids offered for several hypothetical variants of the St. Petersburg Paradox. We found that bids were weakly affected by truncating the gamble, were strongly affected by repeats of the gamble, and depended linearly on the initial \"seed\" value of the gamble. One explanation, which we call the median heuristic, strongly predicts these data. Subjects following this strategy evaluate a gamble as if they were taking the median rather than the mean of the payoff distribution. Finally, we argue that the distribution of outcomes embodied in the St. Petersburg paradox is so divergent from the Gaussian form that the statistical mean is a poor estimator of expected value, so that the expected value of the St. Petersburg gamble is undefined. These results suggest that this classic paradox has a straightforward explanation rooted in the use of a statistical heuristic.","author":[{"dropping-particle":"","family":"Hayden","given":"Benjamin Y.","non-dropping-particle":"","parse-names":false,"suffix":""},{"dropping-particle":"","family":"Platt","given":"Michael L.","non-dropping-particle":"","parse-names":false,"suffix":""}],"container-title":"Judgment and Decision Making","id":"ITEM-1","issue":"4","issued":{"date-parts":[["2009"]]},"page":"256-272","title":"The mean, the median, and the St. Petersburg paradox","type":"article-journal","volume":"4"},"uris":["http://www.mendeley.com/documents/?uuid=1a8ee990-21fe-493d-8e6e-88e6230fbdda"]}],"mendeley":{"formattedCitation":"(Hayden &amp; Platt, 2009)","plainTextFormattedCitation":"(Hayden &amp; Platt, 2009)","previouslyFormattedCitation":"(Hayden &amp; Platt, 2009)"},"properties":{"noteIndex":0},"schema":"https://github.com/citation-style-language/schema/raw/master/csl-citation.json"}</w:instrText>
      </w:r>
      <w:r>
        <w:fldChar w:fldCharType="separate"/>
      </w:r>
      <w:r w:rsidRPr="00F41328">
        <w:rPr>
          <w:noProof/>
        </w:rPr>
        <w:t>(Hayden &amp; Platt, 2009)</w:t>
      </w:r>
      <w:r>
        <w:fldChar w:fldCharType="end"/>
      </w:r>
      <w:r>
        <w:t xml:space="preserve"> though this uses a modified version where a participant wins $</w:t>
      </w:r>
      <m:oMath>
        <m:sSup>
          <m:sSupPr>
            <m:ctrlPr>
              <w:rPr>
                <w:rFonts w:ascii="Cambria Math" w:hAnsi="Cambria Math"/>
                <w:i/>
              </w:rPr>
            </m:ctrlPr>
          </m:sSupPr>
          <m:e>
            <m:r>
              <w:rPr>
                <w:rFonts w:ascii="Cambria Math" w:hAnsi="Cambria Math"/>
              </w:rPr>
              <m:t>2</m:t>
            </m:r>
          </m:e>
          <m:sup>
            <m:r>
              <w:rPr>
                <w:rFonts w:ascii="Cambria Math" w:hAnsi="Cambria Math"/>
              </w:rPr>
              <m:t>n-1</m:t>
            </m:r>
          </m:sup>
        </m:sSup>
      </m:oMath>
      <w:r>
        <w:t xml:space="preserve"> i.e. half what they would win in the version presented here.</w:t>
      </w:r>
    </w:p>
  </w:footnote>
  <w:footnote w:id="5">
    <w:p w14:paraId="6B7E4F2C" w14:textId="2FC84387" w:rsidR="00270682" w:rsidRDefault="00270682">
      <w:pPr>
        <w:pStyle w:val="FootnoteText"/>
      </w:pPr>
      <w:r w:rsidRPr="00CD3967">
        <w:rPr>
          <w:rStyle w:val="FootnoteReference"/>
        </w:rPr>
        <w:footnoteRef/>
      </w:r>
      <w:r>
        <w:t xml:space="preserve"> In modern terminology the concavity of the utility function forms Gossen’s First Law, also known as the ‘law of diminishing marginal utility’, described by the 19</w:t>
      </w:r>
      <w:r w:rsidRPr="0001268A">
        <w:rPr>
          <w:vertAlign w:val="superscript"/>
        </w:rPr>
        <w:t>th</w:t>
      </w:r>
      <w:r>
        <w:t xml:space="preserve"> century economist </w:t>
      </w:r>
      <w:r>
        <w:fldChar w:fldCharType="begin" w:fldLock="1"/>
      </w:r>
      <w:r>
        <w:instrText>ADDIN CSL_CITATION {"citationItems":[{"id":"ITEM-1","itemData":{"author":[{"dropping-particle":"","family":"Gossen","given":"H H","non-dropping-particle":"","parse-names":false,"suffix":""}],"container-title":"MIT Press","id":"ITEM-1","issued":{"date-parts":[["1983"]]},"title":"The Laws of Human Relations and the Rules of Human Action Derived Therefrom","type":"article-journal"},"uris":["http://www.mendeley.com/documents/?uuid=b8b4712a-c352-49e1-a4ba-cc4e848541f6"]}],"mendeley":{"formattedCitation":"(Gossen, 1983)","plainTextFormattedCitation":"(Gossen, 1983)","previouslyFormattedCitation":"(Gossen, 1983)"},"properties":{"noteIndex":0},"schema":"https://github.com/citation-style-language/schema/raw/master/csl-citation.json"}</w:instrText>
      </w:r>
      <w:r>
        <w:fldChar w:fldCharType="separate"/>
      </w:r>
      <w:r w:rsidRPr="0001268A">
        <w:rPr>
          <w:noProof/>
        </w:rPr>
        <w:t>(Gossen, 1983)</w:t>
      </w:r>
      <w:r>
        <w:fldChar w:fldCharType="end"/>
      </w:r>
      <w:r>
        <w:t xml:space="preserve">.   </w:t>
      </w:r>
    </w:p>
  </w:footnote>
  <w:footnote w:id="6">
    <w:p w14:paraId="18DEE546" w14:textId="3BDBDBCB" w:rsidR="00270682" w:rsidRPr="00CA3AC4" w:rsidRDefault="00270682" w:rsidP="00B81F4D">
      <w:pPr>
        <w:pStyle w:val="Textbody"/>
        <w:spacing w:before="240" w:after="160" w:line="225" w:lineRule="atLeast"/>
        <w:rPr>
          <w:rFonts w:cs="Times New Roman"/>
          <w:i/>
          <w:color w:val="222222"/>
          <w:sz w:val="22"/>
          <w:szCs w:val="22"/>
        </w:rPr>
      </w:pPr>
      <w:r w:rsidRPr="00CD3967">
        <w:rPr>
          <w:rStyle w:val="FootnoteReference"/>
        </w:rPr>
        <w:footnoteRef/>
      </w:r>
      <w:r w:rsidRPr="00B81F4D">
        <w:rPr>
          <w:sz w:val="20"/>
          <w:szCs w:val="20"/>
        </w:rPr>
        <w:t xml:space="preserve"> Sometimes von Neumann-Morgenstern expected utility is differentiated from this equation as </w:t>
      </w:r>
      <m:oMath>
        <m:r>
          <m:rPr>
            <m:sty m:val="p"/>
          </m:rPr>
          <w:rPr>
            <w:rFonts w:ascii="Cambria Math" w:hAnsi="Cambria Math" w:cs="Times New Roman"/>
            <w:sz w:val="20"/>
            <w:szCs w:val="20"/>
          </w:rPr>
          <w:br/>
        </m:r>
      </m:oMath>
      <m:oMathPara>
        <m:oMath>
          <m:sSub>
            <m:sSubPr>
              <m:ctrlPr>
                <w:rPr>
                  <w:rFonts w:ascii="Cambria Math" w:hAnsi="Cambria Math" w:cs="Times New Roman"/>
                  <w:i/>
                  <w:color w:val="222222"/>
                  <w:sz w:val="22"/>
                  <w:szCs w:val="22"/>
                </w:rPr>
              </m:ctrlPr>
            </m:sSubPr>
            <m:e>
              <m:r>
                <w:rPr>
                  <w:rFonts w:ascii="Cambria Math" w:hAnsi="Cambria Math" w:cs="Times New Roman"/>
                  <w:color w:val="222222"/>
                  <w:sz w:val="22"/>
                  <w:szCs w:val="22"/>
                </w:rPr>
                <m:t>EU</m:t>
              </m:r>
            </m:e>
            <m:sub>
              <m:r>
                <w:rPr>
                  <w:rFonts w:ascii="Cambria Math" w:hAnsi="Cambria Math" w:cs="Times New Roman"/>
                  <w:color w:val="222222"/>
                  <w:sz w:val="22"/>
                  <w:szCs w:val="22"/>
                </w:rPr>
                <m:t>i,n</m:t>
              </m:r>
            </m:sub>
          </m:sSub>
          <m:r>
            <w:rPr>
              <w:rFonts w:ascii="Cambria Math" w:hAnsi="Cambria Math" w:cs="Times New Roman"/>
              <w:color w:val="222222"/>
              <w:sz w:val="22"/>
              <w:szCs w:val="22"/>
            </w:rPr>
            <m:t>= p(</m:t>
          </m:r>
          <m:sSub>
            <m:sSubPr>
              <m:ctrlPr>
                <w:rPr>
                  <w:rFonts w:ascii="Cambria Math" w:hAnsi="Cambria Math" w:cs="Times New Roman"/>
                  <w:i/>
                  <w:color w:val="222222"/>
                  <w:sz w:val="22"/>
                  <w:szCs w:val="22"/>
                </w:rPr>
              </m:ctrlPr>
            </m:sSubPr>
            <m:e>
              <m:r>
                <w:rPr>
                  <w:rFonts w:ascii="Cambria Math" w:hAnsi="Cambria Math" w:cs="Times New Roman"/>
                  <w:color w:val="222222"/>
                  <w:sz w:val="22"/>
                  <w:szCs w:val="22"/>
                </w:rPr>
                <m:t>x</m:t>
              </m:r>
            </m:e>
            <m:sub>
              <m:r>
                <w:rPr>
                  <w:rFonts w:ascii="Cambria Math" w:hAnsi="Cambria Math" w:cs="Times New Roman"/>
                  <w:color w:val="222222"/>
                  <w:sz w:val="22"/>
                  <w:szCs w:val="22"/>
                </w:rPr>
                <m:t>n</m:t>
              </m:r>
            </m:sub>
          </m:sSub>
          <m:r>
            <w:rPr>
              <w:rFonts w:ascii="Cambria Math" w:hAnsi="Cambria Math" w:cs="Times New Roman"/>
              <w:color w:val="222222"/>
              <w:sz w:val="22"/>
              <w:szCs w:val="22"/>
            </w:rPr>
            <m:t>)</m:t>
          </m:r>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i</m:t>
                  </m:r>
                </m:sub>
              </m:sSub>
              <m:r>
                <w:rPr>
                  <w:rFonts w:ascii="Cambria Math" w:hAnsi="Cambria Math" w:cs="Times New Roman"/>
                  <w:sz w:val="22"/>
                  <w:szCs w:val="22"/>
                </w:rPr>
                <m:t>(x</m:t>
              </m:r>
            </m:e>
            <m:sub>
              <m:r>
                <w:rPr>
                  <w:rFonts w:ascii="Cambria Math" w:hAnsi="Cambria Math" w:cs="Times New Roman"/>
                  <w:sz w:val="22"/>
                  <w:szCs w:val="22"/>
                </w:rPr>
                <m:t>n</m:t>
              </m:r>
            </m:sub>
          </m:sSub>
          <m:r>
            <w:rPr>
              <w:rFonts w:ascii="Cambria Math" w:hAnsi="Cambria Math" w:cs="Times New Roman"/>
              <w:sz w:val="22"/>
              <w:szCs w:val="22"/>
            </w:rPr>
            <m:t>)</m:t>
          </m:r>
        </m:oMath>
      </m:oMathPara>
    </w:p>
    <w:p w14:paraId="11F2F180" w14:textId="44B75493" w:rsidR="00270682" w:rsidRDefault="00270682">
      <w:pPr>
        <w:pStyle w:val="FootnoteText"/>
      </w:pPr>
      <w:r w:rsidRPr="00B81F4D">
        <w:rPr>
          <w:szCs w:val="20"/>
        </w:rPr>
        <w:t>For the purposes of this thesis, we consider the differences unimportant</w:t>
      </w:r>
      <w:r>
        <w:t>.</w:t>
      </w:r>
    </w:p>
  </w:footnote>
  <w:footnote w:id="7">
    <w:p w14:paraId="411AA553" w14:textId="68A336A5" w:rsidR="00270682" w:rsidRPr="00B90F2D" w:rsidRDefault="00270682">
      <w:pPr>
        <w:pStyle w:val="FootnoteText"/>
      </w:pPr>
      <w:r w:rsidRPr="00CD3967">
        <w:rPr>
          <w:rStyle w:val="FootnoteReference"/>
        </w:rPr>
        <w:footnoteRef/>
      </w:r>
      <w:r>
        <w:t xml:space="preserve"> Throughout this thesis we refer to experimental paradigms where a subject indicates a </w:t>
      </w:r>
      <w:r>
        <w:rPr>
          <w:i/>
          <w:iCs/>
        </w:rPr>
        <w:t>choice</w:t>
      </w:r>
      <w:r>
        <w:t xml:space="preserve"> between two goods, or bundles, as a ‘binary choice task’. 3 such binary choices are illustrated in figure 1a-c). This is compared in chapter 2 to an auction task in which a subject indicates a </w:t>
      </w:r>
      <w:r>
        <w:rPr>
          <w:i/>
          <w:iCs/>
        </w:rPr>
        <w:t>value</w:t>
      </w:r>
      <w:r>
        <w:t xml:space="preserve"> they would be willing to pay for a good/bundle in terms of another other good.</w:t>
      </w:r>
    </w:p>
  </w:footnote>
  <w:footnote w:id="8">
    <w:p w14:paraId="66843413" w14:textId="2284E556" w:rsidR="00270682" w:rsidRDefault="00270682">
      <w:pPr>
        <w:pStyle w:val="FootnoteText"/>
      </w:pPr>
      <w:r w:rsidRPr="00CD3967">
        <w:rPr>
          <w:rStyle w:val="FootnoteReference"/>
        </w:rPr>
        <w:footnoteRef/>
      </w:r>
      <w:r>
        <w:t xml:space="preserve"> Especially in the ICS literature it is difficult to anthropomorphise the rats as receiving ‘pleasure’ from the self-stimulation. Even when studying physiological markers which correlate with pleasure in humans, it is not clear to us that any model organism necessarily has a positive emotional valence associated with their choices/behaviour in neuroeconomic studies. Throughout this chapter we use words such as ‘pleasure’ and ‘reward’ while detailing the progression of neuroscience into economic decision-making, building up to studies which instead correlate neuronal activity with the more formal, neutral, term ‘utility’. Throughout the rest of the thesis we ascribe an animal’s motivations to maximising this neutral quantity of utility. For a brief review of ‘wanting’ vs ‘liking’ motivations in organisms making behavioural choices, see appendix 1.2.</w:t>
      </w:r>
    </w:p>
  </w:footnote>
  <w:footnote w:id="9">
    <w:p w14:paraId="73F1BC3E" w14:textId="34B1166C" w:rsidR="00270682" w:rsidRDefault="00270682" w:rsidP="009C57C2">
      <w:pPr>
        <w:pStyle w:val="FootnoteText"/>
      </w:pPr>
      <w:r w:rsidRPr="00CD3967">
        <w:rPr>
          <w:rStyle w:val="FootnoteReference"/>
        </w:rPr>
        <w:footnoteRef/>
      </w:r>
      <w:r>
        <w:t xml:space="preserve"> For a colloquial explanation of the signal: dopamine neurons typically have a tonic firing rate of ~5Hz (imagine a fast bass drum beat). For a view of what 'firing' means see Figure 4.1 showing the average trace of a 'spike' from a representative dopaminergic neuron we recorded in this project. Upon delivery of an unexpected reward midbrain dopamine neurons produce a very brief 'drumroll' of the same spikes with a much shorter latency between. The increase in firing rate described happens within this 'drumroll' before the neuron returns to its 'resting' tonic frequency. </w:t>
      </w:r>
    </w:p>
  </w:footnote>
  <w:footnote w:id="10">
    <w:p w14:paraId="1BCF8293" w14:textId="2B986578" w:rsidR="00270682" w:rsidRDefault="00270682" w:rsidP="009C57C2">
      <w:pPr>
        <w:pStyle w:val="FootnoteText"/>
      </w:pPr>
      <w:r w:rsidRPr="00CD3967">
        <w:rPr>
          <w:rStyle w:val="FootnoteReference"/>
        </w:rPr>
        <w:footnoteRef/>
      </w:r>
      <w:r>
        <w:t xml:space="preserve"> 'Aversive' stimuli can create an initial positive increase in dopaminergic firing rate thought to be mediated by a 'saliency' signal </w:t>
      </w:r>
      <w:r>
        <w:fldChar w:fldCharType="begin" w:fldLock="1"/>
      </w:r>
      <w:r>
        <w:instrText>ADDIN CSL_CITATION {"citationItems":[{"id":"ITEM-1","itemData":{"DOI":"10.1038/nrn.2015.26","ISSN":"14710048","PMID":"26865020","abstract":"Environmental stimuli and objects, including rewards, are often processed sequentially in the brain. Recent work suggests that the phasic dopamine reward prediction-error response follows a similar sequential pattern. An initial brief, unselective and highly sensitive increase in activity unspecifically detects a wide range of environmental stimuli, then quickly evolves into the main response component, which reflects subjective reward value and utility. This temporal evolution allows the dopamine reward prediction-error signal to optimally combine speed and accuracy.","author":[{"dropping-particle":"","family":"Schultz","given":"Wolfram","non-dropping-particle":"","parse-names":false,"suffix":""}],"container-title":"Nature Reviews Neuroscience","id":"ITEM-1","issue":"3","issued":{"date-parts":[["2016"]]},"page":"183-195","publisher":"Nature Publishing Group","title":"Dopamine reward prediction-error signalling: A two-component response","type":"article-journal","volume":"17"},"uris":["http://www.mendeley.com/documents/?uuid=caa46528-e244-4304-a8ed-6d7500e3206b"]}],"mendeley":{"formattedCitation":"(Wolfram Schultz, 2016)","manualFormatting":"(Schultz, 2016)","plainTextFormattedCitation":"(Wolfram Schultz, 2016)","previouslyFormattedCitation":"(Wolfram Schultz, 2016)"},"properties":{"noteIndex":0},"schema":"https://github.com/citation-style-language/schema/raw/master/csl-citation.json"}</w:instrText>
      </w:r>
      <w:r>
        <w:fldChar w:fldCharType="separate"/>
      </w:r>
      <w:r w:rsidRPr="00ED7681">
        <w:rPr>
          <w:noProof/>
        </w:rPr>
        <w:t>(Schultz, 2016)</w:t>
      </w:r>
      <w:r>
        <w:fldChar w:fldCharType="end"/>
      </w:r>
      <w:r>
        <w:t>. This saliency signalling of dopaminergic occurs earlier (within the first 120ms of stimulus presentation) and is correlated with the perceptual intensity of the stimulus (e.g. brightness, loudness), the novelty of the stimulus (though novelty alone is not sufficient to generate it</w:t>
      </w:r>
      <w:r>
        <w:fldChar w:fldCharType="begin" w:fldLock="1"/>
      </w:r>
      <w:r>
        <w:instrText>ADDIN CSL_CITATION {"citationItems":[{"id":"ITEM-1","itemData":{"DOI":"10.1126/science.1105370","ISSN":"00368075","PMID":"15761155","abstract":"It is important for animals to estimate the value of rewards as accurately as possible. Because the number of potential reward values is very large, it is necessary that the brain's limited resources be allocated so as to discriminate better among more likely reward outcomes at the expense of less likely outcomes. We found that midbrain dopamine neurons rapidly adapted to the information provided by reward-predicting stimuli. Responses shifted relative to the expected reward value, and the gain adjusted to the variance of reward value. In this way, dopamine neurons maintained their reward sensitivity over a large range of reward values.","author":[{"dropping-particle":"","family":"Tobler","given":"Philippe N.","non-dropping-particle":"","parse-names":false,"suffix":""},{"dropping-particle":"","family":"Fiorillo","given":"Christopher D.","non-dropping-particle":"","parse-names":false,"suffix":""},{"dropping-particle":"","family":"Schultz","given":"Wolfram","non-dropping-particle":"","parse-names":false,"suffix":""}],"container-title":"Science","id":"ITEM-1","issue":"5715","issued":{"date-parts":[["2005"]]},"page":"1642-1645","title":"Adaptive coding of reward value by dopamine neurons","type":"article-journal","volume":"307"},"uris":["http://www.mendeley.com/documents/?uuid=9f3e506a-36d8-40f9-a530-569fa90a1127"]}],"mendeley":{"formattedCitation":"(Tobler et al., 2005)","manualFormatting":"; Tobler et al., 2005)","plainTextFormattedCitation":"(Tobler et al., 2005)","previouslyFormattedCitation":"(Tobler et al., 2005)"},"properties":{"noteIndex":0},"schema":"https://github.com/citation-style-language/schema/raw/master/csl-citation.json"}</w:instrText>
      </w:r>
      <w:r>
        <w:fldChar w:fldCharType="separate"/>
      </w:r>
      <w:r>
        <w:rPr>
          <w:noProof/>
        </w:rPr>
        <w:t xml:space="preserve">; </w:t>
      </w:r>
      <w:r w:rsidRPr="008B3A3E">
        <w:rPr>
          <w:noProof/>
        </w:rPr>
        <w:t>Tobler et al., 2005)</w:t>
      </w:r>
      <w:r>
        <w:fldChar w:fldCharType="end"/>
      </w:r>
      <w:r>
        <w:t xml:space="preserve">, and whether it shares characteristics (e.g. modality) of other conditioned stimuli for rewards </w:t>
      </w:r>
      <w:r>
        <w:fldChar w:fldCharType="begin" w:fldLock="1"/>
      </w:r>
      <w:r>
        <w:instrText>ADDIN CSL_CITATION {"citationItems":[{"id":"ITEM-1","itemData":{"DOI":"10.1038/nn1923","ISSN":"10976256","PMID":"17603481","abstract":"The ability to predict favorable outcomes using environmental cues is an essential part of learned behavior. Dopamine neurons in the midbrain encode such stimulus-reward relationships in a manner consistent with contemporary learning models, but it is unclear how encoding this translates into actual dopamine release in target regions. Here, we sampled dopamine levels in the rat nucleus accumbens on a rapid (100 ms) timescale using electrochemical technology during a classical conditioning procedure. Early in conditioning, transient dopamine-release events signaled a primary reward, but not predictive cues. After repeated cue-reward pairings, dopamine signals shifted in time to predictive cue onset and were no longer observed at reward delivery. In the absence of stimulus-reward conditioning, there was no shift in the dopamine signal. Consistent with proposed roles in reward prediction and incentive salience, these results indicate that rapid dopamine release provides a reward signal that is dynamically modified by associative learning. © 2007 Nature Publishing Group.","author":[{"dropping-particle":"","family":"Day","given":"Jeremy J.","non-dropping-particle":"","parse-names":false,"suffix":""},{"dropping-particle":"","family":"Roitman","given":"Mitchell F.","non-dropping-particle":"","parse-names":false,"suffix":""},{"dropping-particle":"","family":"Wightman","given":"R. Mark","non-dropping-particle":"","parse-names":false,"suffix":""},{"dropping-particle":"","family":"Carelli","given":"Regina M.","non-dropping-particle":"","parse-names":false,"suffix":""}],"container-title":"Nature Neuroscience","id":"ITEM-1","issue":"8","issued":{"date-parts":[["2007"]]},"page":"1020-1028","title":"Associative learning mediates dynamic shifts in dopamine signaling in the nucleus accumbens","type":"article-journal","volume":"10"},"uris":["http://www.mendeley.com/documents/?uuid=e5e8229a-373c-4539-aba6-c1e4f02df68c"]}],"mendeley":{"formattedCitation":"(Day et al., 2007)","plainTextFormattedCitation":"(Day et al., 2007)","previouslyFormattedCitation":"(Day et al., 2007)"},"properties":{"noteIndex":0},"schema":"https://github.com/citation-style-language/schema/raw/master/csl-citation.json"}</w:instrText>
      </w:r>
      <w:r>
        <w:fldChar w:fldCharType="separate"/>
      </w:r>
      <w:r w:rsidRPr="008B3A3E">
        <w:rPr>
          <w:noProof/>
        </w:rPr>
        <w:t>(Day et al., 2007)</w:t>
      </w:r>
      <w:r>
        <w:fldChar w:fldCharType="end"/>
      </w:r>
      <w:r>
        <w:t xml:space="preserve">. </w:t>
      </w:r>
    </w:p>
  </w:footnote>
  <w:footnote w:id="11">
    <w:p w14:paraId="02D0F22F" w14:textId="618AE0B6" w:rsidR="00270682" w:rsidRDefault="00270682" w:rsidP="009C57C2">
      <w:pPr>
        <w:pStyle w:val="FootnoteText"/>
      </w:pPr>
      <w:r w:rsidRPr="00CD3967">
        <w:rPr>
          <w:rStyle w:val="FootnoteReference"/>
        </w:rPr>
        <w:footnoteRef/>
      </w:r>
      <w:r>
        <w:t xml:space="preserve"> A simplification. Dopamine release is not a simple linear function of dopaminergic cell firing rate </w:t>
      </w:r>
      <w:r>
        <w:fldChar w:fldCharType="begin" w:fldLock="1"/>
      </w:r>
      <w:r>
        <w:instrText>ADDIN CSL_CITATION {"citationItems":[{"id":"ITEM-1","itemData":{"DOI":"10.1038/s41586-019-1235-y","ISSN":"14764687","PMID":"31118513","abstract":"The dopamine projection from ventral tegmental area (VTA) to nucleus accumbens (NAc) is critical for motivation to work for rewards and reward-driven learning. How dopamine supports both functions is unclear. Dopamine cell spiking can encode prediction errors, which are vital learning signals in computational theories of adaptive behaviour. By contrast, dopamine release ramps up as animals approach rewards, mirroring reward expectation. This mismatch might reflect differences in behavioural tasks, slower changes in dopamine cell spiking or spike-independent modulation of dopamine release. Here we compare spiking of identified VTA dopamine cells with NAc dopamine release in the same decision-making task. Cues that indicate an upcoming reward increased both spiking and release. However, NAc core dopamine release also covaried with dynamically evolving reward expectations, without corresponding changes in VTA dopamine cell spiking. Our results suggest a fundamental difference in how dopamine release is regulated to achieve distinct functions: broadcast burst signals promote learning, whereas local control drives motivation.","author":[{"dropping-particle":"","family":"Mohebi","given":"Ali","non-dropping-particle":"","parse-names":false,"suffix":""},{"dropping-particle":"","family":"Pettibone","given":"Jeffrey R.","non-dropping-particle":"","parse-names":false,"suffix":""},{"dropping-particle":"","family":"Hamid","given":"Arif A.","non-dropping-particle":"","parse-names":false,"suffix":""},{"dropping-particle":"","family":"Wong","given":"Jenny Marie T.","non-dropping-particle":"","parse-names":false,"suffix":""},{"dropping-particle":"","family":"Vinson","given":"Leah T.","non-dropping-particle":"","parse-names":false,"suffix":""},{"dropping-particle":"","family":"Patriarchi","given":"Tommaso","non-dropping-particle":"","parse-names":false,"suffix":""},{"dropping-particle":"","family":"Tian","given":"Lin","non-dropping-particle":"","parse-names":false,"suffix":""},{"dropping-particle":"","family":"Kennedy","given":"Robert T.","non-dropping-particle":"","parse-names":false,"suffix":""},{"dropping-particle":"","family":"Berke","given":"Joshua D.","non-dropping-particle":"","parse-names":false,"suffix":""}],"container-title":"Nature","id":"ITEM-1","issue":"7759","issued":{"date-parts":[["2019"]]},"page":"65-70","publisher":"Springer US","title":"Dissociable dopamine dynamics for learning and motivation","type":"article-journal","volume":"570"},"uris":["http://www.mendeley.com/documents/?uuid=743bb81d-17f4-4e42-bb24-b6b7b28a6db9"]}],"mendeley":{"formattedCitation":"(Mohebi et al., 2019)","plainTextFormattedCitation":"(Mohebi et al., 2019)","previouslyFormattedCitation":"(Mohebi et al., 2019)"},"properties":{"noteIndex":0},"schema":"https://github.com/citation-style-language/schema/raw/master/csl-citation.json"}</w:instrText>
      </w:r>
      <w:r>
        <w:fldChar w:fldCharType="separate"/>
      </w:r>
      <w:r w:rsidRPr="00664DCE">
        <w:rPr>
          <w:noProof/>
        </w:rPr>
        <w:t>(Mohebi et al., 2019)</w:t>
      </w:r>
      <w:r>
        <w:fldChar w:fldCharType="end"/>
      </w:r>
      <w:r>
        <w:t xml:space="preserve">. Indeed, dopamine release may not even fully necessitate anything upstream of the dopaminergic varicosities as cholinergic stimulation in the striatum seems to be able to shunt release of dopamine </w:t>
      </w:r>
      <w:r>
        <w:fldChar w:fldCharType="begin" w:fldLock="1"/>
      </w:r>
      <w:r>
        <w:instrText>ADDIN CSL_CITATION {"citationItems":[{"id":"ITEM-1","itemData":{"DOI":"10.1038/s41386-019-0492-7","ISSN":"1740634X","PMID":"31462753","author":[{"dropping-particle":"","family":"Mohebi","given":"Ali","non-dropping-particle":"","parse-names":false,"suffix":""},{"dropping-particle":"","family":"Berke","given":"Joshua D.","non-dropping-particle":"","parse-names":false,"suffix":""}],"container-title":"Neuropsychopharmacology","id":"ITEM-1","issue":"1","issued":{"date-parts":[["2020"]]},"page":"220","title":"Dopamine release drives motivation, independently from dopamine cell firing","type":"article-journal","volume":"45"},"uris":["http://www.mendeley.com/documents/?uuid=35147cee-01ea-4ea1-b7db-2b628ed6fce0"]}],"mendeley":{"formattedCitation":"(Mohebi &amp; Berke, 2020)","plainTextFormattedCitation":"(Mohebi &amp; Berke, 2020)","previouslyFormattedCitation":"(Mohebi &amp; Berke, 2020)"},"properties":{"noteIndex":0},"schema":"https://github.com/citation-style-language/schema/raw/master/csl-citation.json"}</w:instrText>
      </w:r>
      <w:r>
        <w:fldChar w:fldCharType="separate"/>
      </w:r>
      <w:r w:rsidRPr="00664DCE">
        <w:rPr>
          <w:noProof/>
        </w:rPr>
        <w:t>(Mohebi &amp; Berke, 2020)</w:t>
      </w:r>
      <w:r>
        <w:fldChar w:fldCharType="end"/>
      </w:r>
      <w:r>
        <w:t>.</w:t>
      </w:r>
    </w:p>
  </w:footnote>
  <w:footnote w:id="12">
    <w:p w14:paraId="546EA6AC" w14:textId="77777777" w:rsidR="00270682" w:rsidRDefault="00270682" w:rsidP="000618AF">
      <w:pPr>
        <w:pStyle w:val="FootnoteText"/>
      </w:pPr>
      <w:r>
        <w:rPr>
          <w:rStyle w:val="FootnoteReference"/>
        </w:rPr>
        <w:footnoteRef/>
      </w:r>
      <w:r>
        <w:t xml:space="preserve"> This thesis was written in the autumn of 2020; the implications for taking findings from behavioural economics seriously should be obvious.</w:t>
      </w:r>
    </w:p>
  </w:footnote>
  <w:footnote w:id="13">
    <w:p w14:paraId="33FCFD29" w14:textId="77777777" w:rsidR="00270682" w:rsidRDefault="00270682" w:rsidP="000618AF">
      <w:pPr>
        <w:pStyle w:val="FootnoteText"/>
      </w:pPr>
      <w:r>
        <w:rPr>
          <w:rStyle w:val="FootnoteReference"/>
        </w:rPr>
        <w:footnoteRef/>
      </w:r>
      <w:r>
        <w:t xml:space="preserve"> We consider that behavioural/experimental/neuroeconomics is still in it’s infancy and if we ever do find a Grand Unified Microeconomic Theory it will not be for many years</w:t>
      </w:r>
    </w:p>
  </w:footnote>
  <w:footnote w:id="14">
    <w:p w14:paraId="0B88DE39" w14:textId="77777777" w:rsidR="00270682" w:rsidRDefault="00270682" w:rsidP="000618AF">
      <w:pPr>
        <w:pStyle w:val="FootnoteText"/>
      </w:pPr>
      <w:r>
        <w:rPr>
          <w:rStyle w:val="FootnoteReference"/>
        </w:rPr>
        <w:footnoteRef/>
      </w:r>
      <w:r>
        <w:t xml:space="preserve"> Amos Tversky died in 1996</w:t>
      </w:r>
    </w:p>
  </w:footnote>
  <w:footnote w:id="15">
    <w:p w14:paraId="1CC1D965" w14:textId="77777777" w:rsidR="00270682" w:rsidRDefault="00270682" w:rsidP="000618AF">
      <w:pPr>
        <w:pStyle w:val="FootnoteText"/>
      </w:pPr>
      <w:r>
        <w:rPr>
          <w:rStyle w:val="FootnoteReference"/>
        </w:rPr>
        <w:footnoteRef/>
      </w:r>
      <w:r>
        <w:t xml:space="preserve"> We only consider situations in which organisms choose between 2 options here for brevity. Of course, these tasks can be extended to choices between as many alternatives as an experimenter sees fit. Indeed, these might better capture the ethological choices made by organisms. </w:t>
      </w:r>
    </w:p>
  </w:footnote>
  <w:footnote w:id="16">
    <w:p w14:paraId="53BDC35E" w14:textId="77777777" w:rsidR="00270682" w:rsidRPr="004D086E" w:rsidRDefault="00270682" w:rsidP="000618AF">
      <w:pPr>
        <w:rPr>
          <w:sz w:val="20"/>
          <w:szCs w:val="20"/>
        </w:rPr>
      </w:pPr>
      <w:r w:rsidRPr="004D086E">
        <w:rPr>
          <w:rStyle w:val="FootnoteCharacters"/>
          <w:rFonts w:ascii="Calibri" w:hAnsi="Calibri"/>
          <w:sz w:val="20"/>
          <w:szCs w:val="20"/>
        </w:rPr>
        <w:footnoteRef/>
      </w:r>
      <w:r w:rsidRPr="004D086E">
        <w:rPr>
          <w:sz w:val="20"/>
          <w:szCs w:val="20"/>
        </w:rPr>
        <w:t xml:space="preserve"> A simple game of this type can be modelled with two suitors where the 'winner' of the more beautiful bride offered has to pay the second price to the loser (second prices pop up in the most unexpected places!). This auction paradigm can be shown </w:t>
      </w:r>
      <w:r w:rsidRPr="004D086E">
        <w:rPr>
          <w:sz w:val="20"/>
          <w:szCs w:val="20"/>
        </w:rPr>
        <w:fldChar w:fldCharType="begin" w:fldLock="1"/>
      </w:r>
      <w:r w:rsidRPr="004D086E">
        <w:rPr>
          <w:sz w:val="20"/>
          <w:szCs w:val="20"/>
        </w:rPr>
        <w:instrText>ADDIN CSL_CITATION {"citationItems":[{"id":"ITEM-1","itemData":{"DOI":"10.1016/j.geb.2011.07.004","ISSN":"08998256","abstract":"The Babylonian bridal auction, described by Herodotus, is regarded as one of the earliest uses of an auction in history. Yet, to our knowledge, the literature lacks a formal equilibrium analysis of this auction. We provide such an analysis for the two-player case with complete and incomplete information, and in so doing identify what we call the \"Herodotus paradox\". © 2011 Elsevier Inc.","author":[{"dropping-particle":"","family":"Baye","given":"Michael R.","non-dropping-particle":"","parse-names":false,"suffix":""},{"dropping-particle":"","family":"Kovenock","given":"Dan","non-dropping-particle":"","parse-names":false,"suffix":""},{"dropping-particle":"","family":"Vries","given":"Casper G.","non-dropping-particle":"de","parse-names":false,"suffix":""}],"container-title":"Games and Economic Behavior","id":"ITEM-1","issue":"1","issued":{"date-parts":[["2012"]]},"page":"399-406","title":"The Herodotus paradox","type":"article-journal","volume":"74"},"uris":["http://www.mendeley.com/documents/?uuid=47ed6cc3-40eb-42ed-9bbf-5c9f4005c6bc"]}],"mendeley":{"formattedCitation":"(Baye et al., 2012)","plainTextFormattedCitation":"(Baye et al., 2012)","previouslyFormattedCitation":"(Baye et al., 2012)"},"properties":{"noteIndex":0},"schema":"https://github.com/citation-style-language/schema/raw/master/csl-citation.json"}</w:instrText>
      </w:r>
      <w:r w:rsidRPr="004D086E">
        <w:rPr>
          <w:sz w:val="20"/>
          <w:szCs w:val="20"/>
        </w:rPr>
        <w:fldChar w:fldCharType="separate"/>
      </w:r>
      <w:r w:rsidRPr="004D086E">
        <w:rPr>
          <w:noProof/>
          <w:sz w:val="20"/>
          <w:szCs w:val="20"/>
        </w:rPr>
        <w:t>(Baye et al., 2012)</w:t>
      </w:r>
      <w:r w:rsidRPr="004D086E">
        <w:rPr>
          <w:sz w:val="20"/>
          <w:szCs w:val="20"/>
        </w:rPr>
        <w:fldChar w:fldCharType="end"/>
      </w:r>
      <w:r w:rsidRPr="004D086E">
        <w:rPr>
          <w:sz w:val="20"/>
          <w:szCs w:val="20"/>
        </w:rPr>
        <w:t xml:space="preserve"> to lead to similar results as </w:t>
      </w:r>
      <w:r w:rsidRPr="004D086E">
        <w:rPr>
          <w:sz w:val="20"/>
          <w:szCs w:val="20"/>
        </w:rPr>
        <w:fldChar w:fldCharType="begin" w:fldLock="1"/>
      </w:r>
      <w:r w:rsidRPr="004D086E">
        <w:rPr>
          <w:sz w:val="20"/>
          <w:szCs w:val="20"/>
        </w:rPr>
        <w:instrText>ADDIN CSL_CITATION {"citationItems":[{"id":"ITEM-1","itemData":{"DOI":"10.2307/2229682","ISSN":"00129976","author":[{"dropping-particle":"","family":"Bhattacharyya","given":"Sugato","non-dropping-particle":"","parse-names":false,"suffix":""},{"dropping-particle":"","family":"Lipman","given":"Barton L.","non-dropping-particle":"","parse-names":false,"suffix":""}],"container-title":"Economic and Political Weekly","id":"ITEM-1","issued":{"date-parts":[["1995"]]},"page":"469-494","title":"Ex Ante versus Interim Rationality and the Existence of Bubbles","type":"article-journal","volume":"6"},"uris":["http://www.mendeley.com/documents/?uuid=9149dc0e-1ff3-4c1b-b91c-cb5b9176df4f"]}],"mendeley":{"formattedCitation":"(Bhattacharyya &amp; Lipman, 1995)","manualFormatting":"Bhattacharyya &amp; Lipman, 1995","plainTextFormattedCitation":"(Bhattacharyya &amp; Lipman, 1995)","previouslyFormattedCitation":"(Bhattacharyya &amp; Lipman, 1995)"},"properties":{"noteIndex":0},"schema":"https://github.com/citation-style-language/schema/raw/master/csl-citation.json"}</w:instrText>
      </w:r>
      <w:r w:rsidRPr="004D086E">
        <w:rPr>
          <w:sz w:val="20"/>
          <w:szCs w:val="20"/>
        </w:rPr>
        <w:fldChar w:fldCharType="separate"/>
      </w:r>
      <w:r w:rsidRPr="004D086E">
        <w:rPr>
          <w:noProof/>
          <w:sz w:val="20"/>
          <w:szCs w:val="20"/>
        </w:rPr>
        <w:t>Bhattacharyya &amp; Lipman, 1995</w:t>
      </w:r>
      <w:r w:rsidRPr="004D086E">
        <w:rPr>
          <w:sz w:val="20"/>
          <w:szCs w:val="20"/>
        </w:rPr>
        <w:fldChar w:fldCharType="end"/>
      </w:r>
      <w:r w:rsidRPr="004D086E">
        <w:rPr>
          <w:sz w:val="20"/>
          <w:szCs w:val="20"/>
        </w:rPr>
        <w:t xml:space="preserve"> that traders who know they are following symmetric strategies might both have a positive expected value of their mixed strategy even as they understand that only </w:t>
      </w:r>
      <w:r w:rsidRPr="004D086E">
        <w:rPr>
          <w:i/>
          <w:iCs/>
          <w:sz w:val="20"/>
          <w:szCs w:val="20"/>
        </w:rPr>
        <w:t>on</w:t>
      </w:r>
      <w:r w:rsidRPr="004D086E">
        <w:rPr>
          <w:sz w:val="20"/>
          <w:szCs w:val="20"/>
        </w:rPr>
        <w:t>e of them can actually make a profit on a trade. Because trades and bridal prices are unbounded, each player's expected utility is not integrable with respect to the joint distribution of possible mixed strategies, and no Nash equilibrium can be found.</w:t>
      </w:r>
    </w:p>
  </w:footnote>
  <w:footnote w:id="17">
    <w:p w14:paraId="31FCD886" w14:textId="77777777" w:rsidR="00270682" w:rsidRDefault="00270682" w:rsidP="000618AF">
      <w:pPr>
        <w:pStyle w:val="FootnoteText"/>
      </w:pPr>
      <w:r>
        <w:rPr>
          <w:rStyle w:val="FootnoteCharacters"/>
          <w:rFonts w:ascii="Calibri" w:hAnsi="Calibri"/>
        </w:rPr>
        <w:footnoteRef/>
      </w:r>
      <w:r>
        <w:t xml:space="preserve"> The second Caesar of the 'Year of Five Emperors' (not to be confused with the 'Year of Four Emperors' [69AD], nor the 'Year of the Six Emperors' [238AD]).</w:t>
      </w:r>
    </w:p>
    <w:p w14:paraId="4C0B4B52" w14:textId="77777777" w:rsidR="00270682" w:rsidRDefault="00270682" w:rsidP="000618AF">
      <w:pPr>
        <w:pStyle w:val="FootnoteText"/>
      </w:pPr>
    </w:p>
  </w:footnote>
  <w:footnote w:id="18">
    <w:p w14:paraId="68555CEE" w14:textId="77777777" w:rsidR="00270682" w:rsidRDefault="00270682" w:rsidP="000618AF">
      <w:pPr>
        <w:pStyle w:val="FootnoteText"/>
      </w:pPr>
      <w:r>
        <w:rPr>
          <w:rStyle w:val="FootnoteCharacters"/>
          <w:rFonts w:ascii="Calibri" w:hAnsi="Calibri"/>
        </w:rPr>
        <w:footnoteRef/>
      </w:r>
      <w:r>
        <w:t xml:space="preserve"> The Bank of England only began gilt auctions in 1987 </w:t>
      </w:r>
      <w:r>
        <w:fldChar w:fldCharType="begin" w:fldLock="1"/>
      </w:r>
      <w:r>
        <w:instrText>ADDIN CSL_CITATION {"citationItems":[{"id":"ITEM-1","itemData":{"container-title":"Bank of England Quarterly Bulletin","id":"ITEM-1","issued":{"date-parts":[["1987"]]},"title":"The gilt-edged market : auctions","type":"article-journal"},"uris":["http://www.mendeley.com/documents/?uuid=0135aca1-c7c8-46d9-9bc0-9269c90af7e1"]}],"mendeley":{"formattedCitation":"(“The Gilt-Edged Market : Auctions,” 1987)","plainTextFormattedCitation":"(“The Gilt-Edged Market : Auctions,” 1987)","previouslyFormattedCitation":"(“The Gilt-Edged Market : Auctions,” 1987)"},"properties":{"noteIndex":0},"schema":"https://github.com/citation-style-language/schema/raw/master/csl-citation.json"}</w:instrText>
      </w:r>
      <w:r>
        <w:fldChar w:fldCharType="separate"/>
      </w:r>
      <w:r w:rsidRPr="001124B2">
        <w:rPr>
          <w:noProof/>
        </w:rPr>
        <w:t>(“The Gilt-Edged Market : Auctions,” 1987)</w:t>
      </w:r>
      <w:r>
        <w:fldChar w:fldCharType="end"/>
      </w:r>
      <w:r>
        <w:t>.</w:t>
      </w:r>
    </w:p>
  </w:footnote>
  <w:footnote w:id="19">
    <w:p w14:paraId="2DDB15FE" w14:textId="77777777" w:rsidR="00270682" w:rsidRDefault="00270682" w:rsidP="000618AF">
      <w:pPr>
        <w:pStyle w:val="FootnoteText"/>
      </w:pPr>
      <w:r>
        <w:rPr>
          <w:rStyle w:val="FootnoteCharacters"/>
          <w:rFonts w:ascii="Calibri" w:hAnsi="Calibri"/>
        </w:rPr>
        <w:footnoteRef/>
      </w:r>
      <w:r>
        <w:t xml:space="preserve"> Bazerman and Samuelson empirically tested this winner’s curse in first price auctions, getting MBA graduate students to bet on the value of a jar filled with nickels. On average, winning bids are roughly 25% greater than the value of the coins being bid for </w:t>
      </w:r>
      <w:r>
        <w:fldChar w:fldCharType="begin" w:fldLock="1"/>
      </w:r>
      <w:r>
        <w:instrText>ADDIN CSL_CITATION {"citationItems":[{"id":"ITEM-1","itemData":{"author":[{"dropping-particle":"","family":"Bazerman","given":"M. H.","non-dropping-particle":"","parse-names":false,"suffix":""},{"dropping-particle":"","family":"Samuelson","given":"W. F.","non-dropping-particle":"","parse-names":false,"suffix":""}],"container-title":"Journal of Conflict Resolution","id":"ITEM-1","issue":"4","issued":{"date-parts":[["1983"]]},"page":"618-634","title":"I won the auction but don't want the prize","type":"article-journal","volume":"27"},"uris":["http://www.mendeley.com/documents/?uuid=7b74c03c-f445-48de-ac43-4449a40122c5"]}],"mendeley":{"formattedCitation":"(Bazerman &amp; Samuelson, 1983)","plainTextFormattedCitation":"(Bazerman &amp; Samuelson, 1983)","previouslyFormattedCitation":"(Bazerman &amp; Samuelson, 1983)"},"properties":{"noteIndex":0},"schema":"https://github.com/citation-style-language/schema/raw/master/csl-citation.json"}</w:instrText>
      </w:r>
      <w:r>
        <w:fldChar w:fldCharType="separate"/>
      </w:r>
      <w:r w:rsidRPr="00BB15B0">
        <w:rPr>
          <w:noProof/>
        </w:rPr>
        <w:t>(Bazerman &amp; Samuelson, 1983)</w:t>
      </w:r>
      <w:r>
        <w:fldChar w:fldCharType="end"/>
      </w:r>
      <w:r>
        <w:t>.</w:t>
      </w:r>
    </w:p>
  </w:footnote>
  <w:footnote w:id="20">
    <w:p w14:paraId="48E76A98" w14:textId="77777777" w:rsidR="00270682" w:rsidRDefault="00270682" w:rsidP="000618AF">
      <w:pPr>
        <w:pStyle w:val="FootnoteText"/>
      </w:pPr>
      <w:r>
        <w:rPr>
          <w:rStyle w:val="FootnoteCharacters"/>
          <w:rFonts w:ascii="Calibri" w:hAnsi="Calibri"/>
        </w:rPr>
        <w:footnoteRef/>
      </w:r>
      <w:r>
        <w:t xml:space="preserve"> As with much of microeconomics, this finding has a few assumptions which can be violated. Maskin and Riley showed that theoretically this ordinal ranking of auction mechanisms can be reversed if bidders are risk-averse </w:t>
      </w:r>
      <w:r>
        <w:fldChar w:fldCharType="begin" w:fldLock="1"/>
      </w:r>
      <w:r>
        <w:instrText>ADDIN CSL_CITATION {"citationItems":[{"id":"ITEM-1","itemData":{"author":[{"dropping-particle":"","family":"Maskin","given":"Eric","non-dropping-particle":"","parse-names":false,"suffix":""},{"dropping-particle":"","family":"Riley","given":"John","non-dropping-particle":"","parse-names":false,"suffix":""}],"container-title":"Econometrica","id":"ITEM-1","issue":"6","issued":{"date-parts":[["1984"]]},"page":"1473-1518","title":"Optimal Auctions with Risk Averse Buyers","type":"article-journal","volume":"52"},"uris":["http://www.mendeley.com/documents/?uuid=83425b09-fad9-46bc-bcb8-685dd54dc6c6"]}],"mendeley":{"formattedCitation":"(Maskin &amp; Riley, 1984)","plainTextFormattedCitation":"(Maskin &amp; Riley, 1984)","previouslyFormattedCitation":"(Maskin &amp; Riley, 1984)"},"properties":{"noteIndex":0},"schema":"https://github.com/citation-style-language/schema/raw/master/csl-citation.json"}</w:instrText>
      </w:r>
      <w:r>
        <w:fldChar w:fldCharType="separate"/>
      </w:r>
      <w:r w:rsidRPr="001001D6">
        <w:rPr>
          <w:noProof/>
        </w:rPr>
        <w:t>(Maskin &amp; Riley, 1984)</w:t>
      </w:r>
      <w:r>
        <w:fldChar w:fldCharType="end"/>
      </w:r>
      <w:r>
        <w:t xml:space="preserve">. </w:t>
      </w:r>
    </w:p>
    <w:p w14:paraId="70F12155" w14:textId="77777777" w:rsidR="00270682" w:rsidRDefault="00270682" w:rsidP="000618AF">
      <w:pPr>
        <w:pStyle w:val="FootnoteText"/>
      </w:pPr>
    </w:p>
  </w:footnote>
  <w:footnote w:id="21">
    <w:p w14:paraId="6D98AB18" w14:textId="77777777" w:rsidR="00270682" w:rsidRDefault="00270682" w:rsidP="000618AF">
      <w:pPr>
        <w:pStyle w:val="FootnoteText"/>
      </w:pPr>
      <w:r>
        <w:rPr>
          <w:rStyle w:val="FootnoteCharacters"/>
          <w:rFonts w:ascii="Calibri" w:hAnsi="Calibri"/>
        </w:rPr>
        <w:footnoteRef/>
      </w:r>
      <w:r>
        <w:t xml:space="preserve"> In one particularly famous case, a group of dentists won the rights to spectrum in Cape Cod, Masachussettes which they then sold onto Southwestern Bell Telecommunications for $41million profit </w:t>
      </w:r>
      <w:r>
        <w:fldChar w:fldCharType="begin" w:fldLock="1"/>
      </w:r>
      <w:r>
        <w:instrText>ADDIN CSL_CITATION {"citationItems":[{"id":"ITEM-1","itemData":{"author":[{"dropping-particle":"","family":"McMillan","given":"John","non-dropping-particle":"","parse-names":false,"suffix":""}],"container-title":"W. W. Norton &amp; Company","id":"ITEM-1","issued":{"date-parts":[["2009"]]},"page":"1-289","title":"Reinventing the Bazaar: A Natural History of Markets","type":"article-journal"},"uris":["http://www.mendeley.com/documents/?uuid=69c13b98-7fed-4d43-8a99-e5c9db8c6c4b"]}],"mendeley":{"formattedCitation":"(McMillan, 2009)","plainTextFormattedCitation":"(McMillan, 2009)","previouslyFormattedCitation":"(McMillan, 2009)"},"properties":{"noteIndex":0},"schema":"https://github.com/citation-style-language/schema/raw/master/csl-citation.json"}</w:instrText>
      </w:r>
      <w:r>
        <w:fldChar w:fldCharType="separate"/>
      </w:r>
      <w:r w:rsidRPr="00255548">
        <w:rPr>
          <w:noProof/>
        </w:rPr>
        <w:t>(McMillan, 2009)</w:t>
      </w:r>
      <w:r>
        <w:fldChar w:fldCharType="end"/>
      </w:r>
      <w:r>
        <w:t>.</w:t>
      </w:r>
    </w:p>
  </w:footnote>
  <w:footnote w:id="22">
    <w:p w14:paraId="21921084" w14:textId="77777777" w:rsidR="00270682" w:rsidRPr="00DA1855" w:rsidRDefault="00270682" w:rsidP="000618AF">
      <w:pPr>
        <w:pStyle w:val="FootnoteText"/>
        <w:rPr>
          <w:i/>
          <w:iCs/>
        </w:rPr>
      </w:pPr>
      <w:r>
        <w:rPr>
          <w:rStyle w:val="FootnoteReference"/>
        </w:rPr>
        <w:footnoteRef/>
      </w:r>
      <w:r>
        <w:t xml:space="preserve"> There is evidence for dopamine’s role in guiding reinforcement in fruit flies </w:t>
      </w:r>
      <w:r>
        <w:fldChar w:fldCharType="begin" w:fldLock="1"/>
      </w:r>
      <w:r>
        <w:instrText>ADDIN CSL_CITATION {"citationItems":[{"id":"ITEM-1","itemData":{"DOI":"10.1016/j.conb.2013.01.005","ISSN":"09594388","PMID":"23391527","abstract":"Reinforcement systems are believed to drive synaptic plasticity within neural circuits that store memories. Recent evidence from the fruit fly suggests that anatomically distinct dopaminergic neurons ultimately provide the key instructive signals for both appetitive and aversive learning. This dual role for dopamine overturns the previous model that octopamine signalled reward and dopamine punishment. More importantly, this anatomically segregated double role for dopamine in reward and aversion mirrors that emerging in mammals. Therefore, an antagonistic organization of distinct reinforcing dopaminegic neurons is a conserved feature of brains. It now seems crucial to understand how the dopaminergic neurons are controlled and what the released dopamine does to the underlying circuits to convey opposite valence. © 2013 Elsevier Ltd.","author":[{"dropping-particle":"","family":"Waddell","given":"Scott","non-dropping-particle":"","parse-names":false,"suffix":""}],"container-title":"Current Opinion in Neurobiology","id":"ITEM-1","issue":"3","issued":{"date-parts":[["2013"]]},"page":"324-329","publisher":"Elsevier Ltd","title":"Reinforcement signalling in Drosophila; dopamine does it all after all","type":"article-journal","volume":"23"},"uris":["http://www.mendeley.com/documents/?uuid=915223f7-de5a-4215-b5dd-7c833552d744"]}],"mendeley":{"formattedCitation":"(Waddell, 2013)","plainTextFormattedCitation":"(Waddell, 2013)","previouslyFormattedCitation":"(Waddell, 2013)"},"properties":{"noteIndex":0},"schema":"https://github.com/citation-style-language/schema/raw/master/csl-citation.json"}</w:instrText>
      </w:r>
      <w:r>
        <w:fldChar w:fldCharType="separate"/>
      </w:r>
      <w:r w:rsidRPr="0071040D">
        <w:rPr>
          <w:noProof/>
        </w:rPr>
        <w:t>(Waddell, 2013)</w:t>
      </w:r>
      <w:r>
        <w:fldChar w:fldCharType="end"/>
      </w:r>
      <w:r>
        <w:t xml:space="preserve"> and sea slugs </w:t>
      </w:r>
      <w:r>
        <w:fldChar w:fldCharType="begin" w:fldLock="1"/>
      </w:r>
      <w:r>
        <w:instrText>ADDIN CSL_CITATION {"citationItems":[{"id":"ITEM-1","itemData":{"DOI":"10.1101/lm.92905","ISSN":"10720502","PMID":"15930499","abstract":"In a recently developed in vitro analog of appetitive classical conditioning of feeding in Aplysia, the unconditioned stimulus (US) was electrical stimulation of the esophageal nerve (En). This nerve is rich in dopamine (DA)-containing processes, which suggests that DA mediates reinforcement during appetitive conditioning. To test this possibility, methylergonovine was used to antagonize DA receptors. Methylergonovine (1 nM) blocked the pairing-specific increase in fictive feeding that is usually induced by in vitro classical conditioning. The present results and previous observation that methylergonovine also blocks the effects of contingent reinforcement in an in vitro analog of appetitive operant conditioning suggest that DA mediates reinforcement for appetitive associative conditioning of feeding in Aplysia. ©2005 by Cold Spring Harbor Laboratory Press.","author":[{"dropping-particle":"","family":"Reyes","given":"Fredy D.","non-dropping-particle":"","parse-names":false,"suffix":""},{"dropping-particle":"","family":"Mozzachiodi","given":"Riccardo","non-dropping-particle":"","parse-names":false,"suffix":""},{"dropping-particle":"","family":"Baxter","given":"Douglas A.","non-dropping-particle":"","parse-names":false,"suffix":""},{"dropping-particle":"","family":"Byrne","given":"John H.","non-dropping-particle":"","parse-names":false,"suffix":""}],"container-title":"Learning and Memory","id":"ITEM-1","issue":"3","issued":{"date-parts":[["2005"]]},"page":"216-220","title":"Reinforcement in an in vitro analog of appetitive classical conditioning of feeding behavior in Aplysia: Blockade by a dopamine antagonist","type":"article-journal","volume":"12"},"uris":["http://www.mendeley.com/documents/?uuid=2137dced-be25-426b-9c1c-b5d151d57aff"]}],"mendeley":{"formattedCitation":"(Reyes et al., 2005)","plainTextFormattedCitation":"(Reyes et al., 2005)","previouslyFormattedCitation":"(Reyes et al., 2005)"},"properties":{"noteIndex":0},"schema":"https://github.com/citation-style-language/schema/raw/master/csl-citation.json"}</w:instrText>
      </w:r>
      <w:r>
        <w:fldChar w:fldCharType="separate"/>
      </w:r>
      <w:r w:rsidRPr="00DA1855">
        <w:rPr>
          <w:noProof/>
        </w:rPr>
        <w:t>(Reyes et al., 2005)</w:t>
      </w:r>
      <w:r>
        <w:fldChar w:fldCharType="end"/>
      </w:r>
      <w:r>
        <w:t xml:space="preserve"> though these are unlikely to be true homologues of the primate reward system. Instead, it is probably likely that conserved dopaminergic systems represent a path of least resistance for the evolution of reward circuits </w:t>
      </w:r>
      <w:r>
        <w:fldChar w:fldCharType="begin" w:fldLock="1"/>
      </w:r>
      <w:r>
        <w:instrText>ADDIN CSL_CITATION {"citationItems":[{"id":"ITEM-1","itemData":{"DOI":"10.3389/fnbeh.2010.00163","ISSN":"16625153","abstract":"Motile animals actively seek out and gather resources they find rewarding, and this is an extremely powerful organizer and motivator of animal behavior. Mammalian studies have revealed interconnected neurobiological systems for reward learning, reward assessment, reinforcement and reward-seeking; all involving the biogenic amine dopamine. The neurobiology of reward-seeking behavioral systems is less well understood in invertebrates, but in many diverse invertebrate groups, reward learning and responses to food rewards also involve dopamine. The obvious exceptions are the arthropods in which the chemically related biogenic amine octopamine has a greater effect on reward learning and reinforcement than dopamine. Here we review the functions of these biogenic amines in behavioral responses to rewards in different animal groups, and discuss these findings in an evolutionary context. © 2010 Barron, Søvik and Cornish.","author":[{"dropping-particle":"","family":"Barron","given":"Andrew B.","non-dropping-particle":"","parse-names":false,"suffix":""},{"dropping-particle":"","family":"Søvik","given":"Eirik","non-dropping-particle":"","parse-names":false,"suffix":""},{"dropping-particle":"","family":"Cornish","given":"Jennifer L.","non-dropping-particle":"","parse-names":false,"suffix":""}],"container-title":"Frontiers in Behavioral Neuroscience","id":"ITEM-1","issue":"OCT","issued":{"date-parts":[["2010"]]},"page":"1-9","title":"The roles of dopamine and related compounds in reward-seeking behavior across animal phyla","type":"article-journal","volume":"4"},"uris":["http://www.mendeley.com/documents/?uuid=08de173e-bfc1-4eb5-8392-c5c4ae78cea6"]}],"mendeley":{"formattedCitation":"(Barron et al., 2010)","plainTextFormattedCitation":"(Barron et al., 2010)","previouslyFormattedCitation":"(Barron et al., 2010)"},"properties":{"noteIndex":0},"schema":"https://github.com/citation-style-language/schema/raw/master/csl-citation.json"}</w:instrText>
      </w:r>
      <w:r>
        <w:fldChar w:fldCharType="separate"/>
      </w:r>
      <w:r w:rsidRPr="00DA1855">
        <w:rPr>
          <w:noProof/>
        </w:rPr>
        <w:t>(Barron et al., 2010)</w:t>
      </w:r>
      <w:r>
        <w:fldChar w:fldCharType="end"/>
      </w:r>
      <w:r>
        <w:t>.</w:t>
      </w:r>
    </w:p>
  </w:footnote>
  <w:footnote w:id="23">
    <w:p w14:paraId="7B905FBB" w14:textId="77777777" w:rsidR="00270682" w:rsidRDefault="00270682" w:rsidP="000618AF">
      <w:pPr>
        <w:pStyle w:val="FootnoteText"/>
      </w:pPr>
      <w:r>
        <w:rPr>
          <w:rStyle w:val="FootnoteReference"/>
        </w:rPr>
        <w:footnoteRef/>
      </w:r>
      <w:r>
        <w:t xml:space="preserve"> We refer to both the medial prefrontal cortex (mPFC) and orbitofrontal cortex (OFC) as prefrontal cortices in this appendix despite these being anatomically distinct regions. We touch upon why different studies might find activation of one or the other when discussing the replication of BOLD signal activity correlation with bid in human experiments using the BDM and so will not here. A brief discussion can also be found in </w:t>
      </w:r>
      <w:r>
        <w:fldChar w:fldCharType="begin" w:fldLock="1"/>
      </w:r>
      <w:r>
        <w:instrText>ADDIN CSL_CITATION {"citationItems":[{"id":"ITEM-1","itemData":{"DOI":"10.1016/j.neuron.2017.09.031.Orbitofrontal","author":[{"dropping-particle":"","family":"Padoa-Schioppa","given":"Camillo","non-dropping-particle":"","parse-names":false,"suffix":""},{"dropping-particle":"","family":"Conen","given":"Katherine E.","non-dropping-particle":"","parse-names":false,"suffix":""}],"container-title":"Neuron","id":"ITEM-1","issue":"96","issued":{"date-parts":[["2017"]]},"page":"736-754","title":"Orbitofrontal Cortex: A Neural Circuit for Economic Decisions","type":"article-journal","volume":"15"},"uris":["http://www.mendeley.com/documents/?uuid=36c9fe20-3e1a-4586-b9d2-0c5658031bb3"]}],"mendeley":{"formattedCitation":"(Padoa-Schioppa &amp; Conen, 2017)","manualFormatting":"Padoa-Schioppa &amp; Conen, 2017","plainTextFormattedCitation":"(Padoa-Schioppa &amp; Conen, 2017)","previouslyFormattedCitation":"(Padoa-Schioppa &amp; Conen, 2017)"},"properties":{"noteIndex":0},"schema":"https://github.com/citation-style-language/schema/raw/master/csl-citation.json"}</w:instrText>
      </w:r>
      <w:r>
        <w:fldChar w:fldCharType="separate"/>
      </w:r>
      <w:r w:rsidRPr="00E95E95">
        <w:rPr>
          <w:noProof/>
        </w:rPr>
        <w:t>Padoa-Schioppa &amp; Conen, 2017</w:t>
      </w:r>
      <w:r>
        <w:fldChar w:fldCharType="end"/>
      </w:r>
      <w:r>
        <w:t>.</w:t>
      </w:r>
    </w:p>
  </w:footnote>
  <w:footnote w:id="24">
    <w:p w14:paraId="6CB58995" w14:textId="77777777" w:rsidR="00270682" w:rsidRDefault="00270682" w:rsidP="000618AF">
      <w:pPr>
        <w:pStyle w:val="FootnoteText"/>
      </w:pPr>
      <w:r>
        <w:rPr>
          <w:rStyle w:val="FootnoteReference"/>
        </w:rPr>
        <w:footnoteRef/>
      </w:r>
      <w:r>
        <w:t xml:space="preserve"> Though changes in BOLD signal have been found in both these regions during the same task, it is a simplification to conflate the roles of both these regions as we do to some extent here. Both macaque fMRI and single cell electrophysiology studies have found subtle differences in the neuronal activity of the prefrontal cortices and amygdala in Pavlovian </w:t>
      </w:r>
      <w:r>
        <w:fldChar w:fldCharType="begin" w:fldLock="1"/>
      </w:r>
      <w:r>
        <w:instrText>ADDIN CSL_CITATION {"citationItems":[{"id":"ITEM-1","itemData":{"DOI":"10.1016/j.neuron.2017.06.012","ISSN":"10974199","PMID":"28683271","abstract":"The same reward can possess different motivational meaning depending upon its magnitude relative to other rewards. To study the neurophysiological mechanisms mediating assignment of motivational meaning, we recorded the activity of neurons in the amygdala and orbitofrontal cortex (OFC) of monkeys during a Pavlovian task in which the relative amount of liquid reward associated with one conditioned stimulus (CS) was manipulated by changing the reward amount associated with a second CS. Anticipatory licking tracked relative reward magnitude, implying that monkeys integrated information about recent rewards to adjust the motivational meaning of a CS. Upon changes in relative reward magnitude, neural responses to reward-predictive cues updated more rapidly in OFC than amygdala, and activity in OFC but not the amygdala was modulated by recent reward history. These results highlight a distinction between the amygdala and OFC in assessing reward history to support the flexible assignment of motivational meaning to sensory cues. Saez et al. study the mechanisms by which relative reward magnitude is represented in the brain. Orbitofrontal cortex (OFC) and the amygdala both encode relative reward, but OFC plays a predominant role in its computation and updating.","author":[{"dropping-particle":"","family":"Saez","given":"Rebecca A.","non-dropping-particle":"","parse-names":false,"suffix":""},{"dropping-particle":"","family":"Saez","given":"Alexandre","non-dropping-particle":"","parse-names":false,"suffix":""},{"dropping-particle":"","family":"Paton","given":"Joseph J.","non-dropping-particle":"","parse-names":false,"suffix":""},{"dropping-particle":"","family":"Lau","given":"Brian","non-dropping-particle":"","parse-names":false,"suffix":""},{"dropping-particle":"","family":"Salzman","given":"C. Daniel","non-dropping-particle":"","parse-names":false,"suffix":""}],"container-title":"Neuron","id":"ITEM-1","issue":"1","issued":{"date-parts":[["2017"]]},"page":"70-77.e3","publisher":"Elsevier Inc.","title":"Distinct Roles for the Amygdala and Orbitofrontal Cortex in Representing the Relative Amount of Expected Reward","type":"article-journal","volume":"95"},"uris":["http://www.mendeley.com/documents/?uuid=76a8bd5e-e37c-44ea-b708-348b10a87e12"]}],"mendeley":{"formattedCitation":"(Saez et al., 2017)","plainTextFormattedCitation":"(Saez et al., 2017)","previouslyFormattedCitation":"(Saez et al., 2017)"},"properties":{"noteIndex":0},"schema":"https://github.com/citation-style-language/schema/raw/master/csl-citation.json"}</w:instrText>
      </w:r>
      <w:r>
        <w:fldChar w:fldCharType="separate"/>
      </w:r>
      <w:r w:rsidRPr="00BD72C1">
        <w:rPr>
          <w:noProof/>
        </w:rPr>
        <w:t>(Saez et al., 2017)</w:t>
      </w:r>
      <w:r>
        <w:fldChar w:fldCharType="end"/>
      </w:r>
      <w:r>
        <w:t xml:space="preserve"> and credit-assignment </w:t>
      </w:r>
      <w:r>
        <w:fldChar w:fldCharType="begin" w:fldLock="1"/>
      </w:r>
      <w:r>
        <w:instrText>ADDIN CSL_CITATION {"citationItems":[{"id":"ITEM-1","itemData":{"DOI":"10.1016/j.neuron.2015.08.018","ISSN":"10974199","PMID":"26335649","abstract":"Recent studies have challenged the view that orbitofrontal cortex (OFC) and amygdala mediate flexible reward-guided behavior. We trained macaques to perform an object discrimination reversal task during fMRI sessions and identified a lateral OFC (lOFC) region in which activity predicted adaptive win-stay/lose-shift behavior. Amygdala and lOFC activity was more strongly coupled on lose-shift trials. However, lOFC-amygdala coupling was also modulated by the relevance of reward information in a manner consistent with a role in establishing how credit for reward should be assigned. Day-to-day fluctuations in signals and signal coupling were correlated with day-to-day fluctuation in performance. A second experiment confirmed the existence of signals for adaptive stay/shift behavior in lOFC and reflecting irrelevant reward in the amygdala in a probabilistic learning task. Our data demonstrate that OFC and amygdala each make unique contributions to flexible behavior and credit assignment.","author":[{"dropping-particle":"","family":"Chau","given":"Bolton K.H.","non-dropping-particle":"","parse-names":false,"suffix":""},{"dropping-particle":"","family":"Sallet","given":"Jérôme","non-dropping-particle":"","parse-names":false,"suffix":""},{"dropping-particle":"","family":"Papageorgiou","given":"Georgios K.","non-dropping-particle":"","parse-names":false,"suffix":""},{"dropping-particle":"","family":"Noonan","given":"Mary Ann P.","non-dropping-particle":"","parse-names":false,"suffix":""},{"dropping-particle":"","family":"Bell","given":"Andrew H.","non-dropping-particle":"","parse-names":false,"suffix":""},{"dropping-particle":"","family":"Walton","given":"Mark E.","non-dropping-particle":"","parse-names":false,"suffix":""},{"dropping-particle":"","family":"Rushworth","given":"Matthew F.S.","non-dropping-particle":"","parse-names":false,"suffix":""}],"container-title":"Neuron","id":"ITEM-1","issue":"5","issued":{"date-parts":[["2015"]]},"page":"1106-1118","title":"Contrasting Roles for Orbitofrontal Cortex and Amygdala in Credit Assignment and Learning in Macaques","type":"article-journal","volume":"87"},"uris":["http://www.mendeley.com/documents/?uuid=58e9f7b7-6ce8-4b9c-aacf-df4dbeea0f55"]}],"mendeley":{"formattedCitation":"(Chau et al., 2015)","plainTextFormattedCitation":"(Chau et al., 2015)","previouslyFormattedCitation":"(Chau et al., 2015)"},"properties":{"noteIndex":0},"schema":"https://github.com/citation-style-language/schema/raw/master/csl-citation.json"}</w:instrText>
      </w:r>
      <w:r>
        <w:fldChar w:fldCharType="separate"/>
      </w:r>
      <w:r w:rsidRPr="00BD72C1">
        <w:rPr>
          <w:noProof/>
        </w:rPr>
        <w:t>(Chau et al., 2015)</w:t>
      </w:r>
      <w:r>
        <w:fldChar w:fldCharType="end"/>
      </w:r>
      <w:r>
        <w:t xml:space="preserve"> tasks.</w:t>
      </w:r>
    </w:p>
  </w:footnote>
  <w:footnote w:id="25">
    <w:p w14:paraId="73B45A3E" w14:textId="77777777" w:rsidR="00270682" w:rsidRDefault="00270682" w:rsidP="00884E52">
      <w:pPr>
        <w:pStyle w:val="FootnoteText"/>
      </w:pPr>
      <w:r>
        <w:rPr>
          <w:rStyle w:val="FootnoteReference"/>
        </w:rPr>
        <w:footnoteRef/>
      </w:r>
      <w:r>
        <w:t xml:space="preserve"> See appendix 1.1 on Prospect theory which goes into further detail on the subjective treatment of probabilities in utility theories.</w:t>
      </w:r>
    </w:p>
  </w:footnote>
  <w:footnote w:id="26">
    <w:p w14:paraId="68F700D8" w14:textId="77777777" w:rsidR="00270682" w:rsidRDefault="00270682" w:rsidP="00884E52">
      <w:pPr>
        <w:pStyle w:val="FootnoteText"/>
      </w:pPr>
      <w:r>
        <w:rPr>
          <w:rStyle w:val="FootnoteReference"/>
        </w:rPr>
        <w:footnoteRef/>
      </w:r>
      <w:r>
        <w:t xml:space="preserve"> It is also possible that the player may simply not realise the correct value of their hand. Especially (but not limited to!) animal work it is impossible to perfectly verify if a subject understands a task so the simplicity of a task and its strategies is important to take into account.</w:t>
      </w:r>
    </w:p>
  </w:footnote>
  <w:footnote w:id="27">
    <w:p w14:paraId="66E85647" w14:textId="77777777" w:rsidR="00270682" w:rsidRDefault="00270682" w:rsidP="00884E52">
      <w:pPr>
        <w:pStyle w:val="FootnoteText"/>
      </w:pPr>
      <w:r>
        <w:rPr>
          <w:rStyle w:val="FootnoteReference"/>
        </w:rPr>
        <w:footnoteRef/>
      </w:r>
      <w:r>
        <w:t xml:space="preserve"> See previous chapter on organism’s behaviour as utility maximising</w:t>
      </w:r>
    </w:p>
  </w:footnote>
  <w:footnote w:id="28">
    <w:p w14:paraId="7A42CCA3" w14:textId="77777777" w:rsidR="00270682" w:rsidRDefault="00270682" w:rsidP="00884E52">
      <w:pPr>
        <w:pStyle w:val="FootnoteText"/>
      </w:pPr>
      <w:r>
        <w:rPr>
          <w:rStyle w:val="FootnoteReference"/>
        </w:rPr>
        <w:footnoteRef/>
      </w:r>
      <w:r>
        <w:t xml:space="preserve"> We leave out the possibility that more of a good could contain disutility here. The current year however provides many examples that run counter to rigid economic thought. See </w:t>
      </w:r>
      <w:r>
        <w:fldChar w:fldCharType="begin" w:fldLock="1"/>
      </w:r>
      <w:r>
        <w:instrText>ADDIN CSL_CITATION {"citationItems":[{"id":"ITEM-1","itemData":{"author":[{"dropping-particle":"","family":"Kubursi","given":"Atif","non-dropping-particle":"","parse-names":false,"suffix":""}],"container-title":"World Economic Forum, online blog","id":"ITEM-1","issued":{"date-parts":[["2020"]]},"title":"Oil crash explained: How are negative oil prices even possible?","type":"article-journal"},"uris":["http://www.mendeley.com/documents/?uuid=a9dc4593-58cd-46c6-896f-0dd5a618b936"]}],"mendeley":{"formattedCitation":"(Kubursi, 2020)","manualFormatting":"Kubursi, 2020","plainTextFormattedCitation":"(Kubursi, 2020)","previouslyFormattedCitation":"(Kubursi, 2020)"},"properties":{"noteIndex":0},"schema":"https://github.com/citation-style-language/schema/raw/master/csl-citation.json"}</w:instrText>
      </w:r>
      <w:r>
        <w:fldChar w:fldCharType="separate"/>
      </w:r>
      <w:r w:rsidRPr="007573C4">
        <w:rPr>
          <w:noProof/>
        </w:rPr>
        <w:t>Kubursi, 2020</w:t>
      </w:r>
      <w:r>
        <w:fldChar w:fldCharType="end"/>
      </w:r>
      <w:r>
        <w:t xml:space="preserve"> for an example of negative prices for oil futures contracts.</w:t>
      </w:r>
    </w:p>
  </w:footnote>
  <w:footnote w:id="29">
    <w:p w14:paraId="6FB18A2A" w14:textId="77777777" w:rsidR="00270682" w:rsidRPr="006302CC" w:rsidRDefault="00270682" w:rsidP="00884E52">
      <w:pPr>
        <w:pStyle w:val="FootnoteText"/>
        <w:rPr>
          <w:lang w:val="en-US"/>
        </w:rPr>
      </w:pPr>
      <w:r>
        <w:rPr>
          <w:rStyle w:val="FootnoteReference"/>
        </w:rPr>
        <w:footnoteRef/>
      </w:r>
      <w:r>
        <w:t xml:space="preserve"> </w:t>
      </w:r>
      <w:r>
        <w:rPr>
          <w:lang w:val="en-US"/>
        </w:rPr>
        <w:t xml:space="preserve">This is also equivalent to tasks in which a good </w:t>
      </w:r>
      <w:r w:rsidRPr="005C3FAA">
        <w:rPr>
          <w:i/>
          <w:iCs/>
          <w:lang w:val="en-US"/>
        </w:rPr>
        <w:t>A</w:t>
      </w:r>
      <w:r>
        <w:rPr>
          <w:lang w:val="en-US"/>
        </w:rPr>
        <w:t xml:space="preserve"> and a good </w:t>
      </w:r>
      <w:r w:rsidRPr="005C3FAA">
        <w:rPr>
          <w:i/>
          <w:iCs/>
          <w:lang w:val="en-US"/>
        </w:rPr>
        <w:t>B</w:t>
      </w:r>
      <w:r>
        <w:rPr>
          <w:lang w:val="en-US"/>
        </w:rPr>
        <w:t xml:space="preserve"> are presented with probabilities x and y, which for the sake of brevity is also left out here.</w:t>
      </w:r>
    </w:p>
  </w:footnote>
  <w:footnote w:id="30">
    <w:p w14:paraId="090E5E54" w14:textId="77777777" w:rsidR="00270682" w:rsidRDefault="00270682" w:rsidP="00884E52">
      <w:pPr>
        <w:pStyle w:val="FootnoteText"/>
      </w:pPr>
      <w:r>
        <w:rPr>
          <w:rStyle w:val="FootnoteReference"/>
        </w:rPr>
        <w:footnoteRef/>
      </w:r>
      <w:r>
        <w:t xml:space="preserve"> See for instance the difference between being willing to pay more for a coffee on mornings where you had less sleep, and ‘choosing’ to buy a style of coffee you don’t like because you are too tired to communicate your choice to a barista. The idea behind stochastic choice theory is explained in greater detail in appendix 1.1.</w:t>
      </w:r>
    </w:p>
  </w:footnote>
  <w:footnote w:id="31">
    <w:p w14:paraId="074573BE" w14:textId="77777777" w:rsidR="00270682" w:rsidRDefault="00270682" w:rsidP="00884E52">
      <w:pPr>
        <w:pStyle w:val="FootnoteText"/>
      </w:pPr>
      <w:r>
        <w:rPr>
          <w:rStyle w:val="FootnoteReference"/>
        </w:rPr>
        <w:footnoteRef/>
      </w:r>
      <w:r>
        <w:t xml:space="preserve"> Throughout this chapter, and the rest of the thesis, we will carry forward the assumption that any bid made is equal to the utility of the good to the primate making that bid. Of course, as with any behavioural paradigm this isn’t strictly 100% true even if the monkey had full information about the task (see </w:t>
      </w:r>
      <w:r>
        <w:fldChar w:fldCharType="begin" w:fldLock="1"/>
      </w:r>
      <w:r>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2007)","plainTextFormattedCitation":"(Grether et al., 2007)","previouslyFormattedCitation":"(Grether et al., 2007)"},"properties":{"noteIndex":0},"schema":"https://github.com/citation-style-language/schema/raw/master/csl-citation.json"}</w:instrText>
      </w:r>
      <w:r>
        <w:fldChar w:fldCharType="separate"/>
      </w:r>
      <w:r w:rsidRPr="00311243">
        <w:rPr>
          <w:noProof/>
        </w:rPr>
        <w:t>Grether et al., 2007)</w:t>
      </w:r>
      <w:r>
        <w:fldChar w:fldCharType="end"/>
      </w:r>
      <w:r>
        <w:t xml:space="preserve">; a stricter definition would be that we expect the primates to bid their utility for the good, plus their utility for making the ‘correct’ bid plus some stochastic error (e.g. even well trained humans playing video games make joystick errors). </w:t>
      </w:r>
    </w:p>
  </w:footnote>
  <w:footnote w:id="32">
    <w:p w14:paraId="0E75EE7B" w14:textId="77777777" w:rsidR="00270682" w:rsidRDefault="00270682" w:rsidP="00884E52">
      <w:pPr>
        <w:pStyle w:val="FootnoteText"/>
      </w:pPr>
      <w:r>
        <w:rPr>
          <w:rStyle w:val="FootnoteReference"/>
        </w:rPr>
        <w:footnoteRef/>
      </w:r>
      <w:r>
        <w:t xml:space="preserve"> Though see previous section that in experimental paradigms the subject ‘gains’ the endowed budget in a lost auction trial.</w:t>
      </w:r>
    </w:p>
  </w:footnote>
  <w:footnote w:id="33">
    <w:p w14:paraId="5D4AAFD6" w14:textId="77777777" w:rsidR="00270682" w:rsidRDefault="00270682" w:rsidP="00884E52">
      <w:pPr>
        <w:pStyle w:val="FootnoteText"/>
      </w:pPr>
      <w:r>
        <w:rPr>
          <w:rStyle w:val="FootnoteReference"/>
        </w:rPr>
        <w:footnoteRef/>
      </w:r>
      <w:r>
        <w:t xml:space="preserve"> Though see </w:t>
      </w:r>
      <w:r>
        <w:fldChar w:fldCharType="begin" w:fldLock="1"/>
      </w:r>
      <w:r>
        <w:instrText>ADDIN CSL_CITATION {"citationItems":[{"id":"ITEM-1","itemData":{"DOI":"10.1111/1477-9552.12273","ISSN":"14779552","abstract":"Two of the experimental methods used to estimate willingness-to-pay (WTP) for a non-market good, the Becker-DeGroot-Marschak (BDM) mechanism and the non-hypothetical choice experiment (nHCE) often lead to significantly different WTP estimates, complicating the choice between the methods. In Zambia the same group of researchers used both techniques to evaluate WTP for orange maize, which provides more vitamin A than other varieties. This provided an opportunity to analyse the sources of the difference. In the BDM experiment, one group of respondents was provided with more training opportunities than the other, and made higher bids. Accounting for lexicographic behaviour in the nHCE reduced the estimated WTP. These two design factors together resulted in a decrease in the WTP difference for orange maize (1,279–632 ZMK) although the difference remains statistically significant. More training was also shown to eliminate the effects of different orders in which maize varieties were presented.","author":[{"dropping-particle":"","family":"Hamukwala","given":"Priscilla","non-dropping-particle":"","parse-names":false,"suffix":""},{"dropping-particle":"","family":"Oparinde","given":"Adewale","non-dropping-particle":"","parse-names":false,"suffix":""},{"dropping-particle":"","family":"Binswanger-Mkhize","given":"Hans Peter","non-dropping-particle":"","parse-names":false,"suffix":""},{"dropping-particle":"","family":"Kirsten","given":"Johann","non-dropping-particle":"","parse-names":false,"suffix":""}],"container-title":"Journal of Agricultural Economics","id":"ITEM-1","issue":"1","issued":{"date-parts":[["2019"]]},"page":"81-100","title":"Design Factors Influencing Willingness-to-Pay Estimates in the Becker-DeGroot-Marschak (BDM) Mechanism and the Non-hypothetical Choice Experiment: A Case of Biofortified Maize in Zambia","type":"article-journal","volume":"70"},"uris":["http://www.mendeley.com/documents/?uuid=de21d8a3-de05-4628-8134-6c15183ecc02"]}],"mendeley":{"formattedCitation":"(Hamukwala et al., 2019)","manualFormatting":"Hamukwala et al., 2019","plainTextFormattedCitation":"(Hamukwala et al., 2019)","previouslyFormattedCitation":"(Hamukwala et al., 2019)"},"properties":{"noteIndex":0},"schema":"https://github.com/citation-style-language/schema/raw/master/csl-citation.json"}</w:instrText>
      </w:r>
      <w:r>
        <w:fldChar w:fldCharType="separate"/>
      </w:r>
      <w:r w:rsidRPr="00986D34">
        <w:rPr>
          <w:noProof/>
        </w:rPr>
        <w:t>Hamukwala et al., 2019</w:t>
      </w:r>
      <w:r>
        <w:fldChar w:fldCharType="end"/>
      </w:r>
      <w:r>
        <w:t>, which supposes that the complexity of the BDM means that even humans require extensive practice to produce reliable bidding.</w:t>
      </w:r>
    </w:p>
  </w:footnote>
  <w:footnote w:id="34">
    <w:p w14:paraId="154885B4" w14:textId="77777777" w:rsidR="00270682" w:rsidRDefault="00270682" w:rsidP="00884E52">
      <w:pPr>
        <w:pStyle w:val="FootnoteText"/>
      </w:pPr>
      <w:r>
        <w:rPr>
          <w:rStyle w:val="FootnoteReference"/>
        </w:rPr>
        <w:footnoteRef/>
      </w:r>
      <w:r>
        <w:t xml:space="preserve"> Our monkeys cannot be told an induced value but should quickly learn the constant and certain value of an offered liquid good upon winning auctions.</w:t>
      </w:r>
    </w:p>
  </w:footnote>
  <w:footnote w:id="35">
    <w:p w14:paraId="1A3DFF84" w14:textId="77777777" w:rsidR="00270682" w:rsidRPr="00915BE1" w:rsidRDefault="00270682" w:rsidP="00884E52">
      <w:pPr>
        <w:pStyle w:val="FootnoteText"/>
      </w:pPr>
      <w:r>
        <w:rPr>
          <w:rStyle w:val="FootnoteReference"/>
        </w:rPr>
        <w:footnoteRef/>
      </w:r>
      <w:r>
        <w:t xml:space="preserve"> A possibly counterintuitive idea. The expected computer bid </w:t>
      </w:r>
      <w:r>
        <w:rPr>
          <w:i/>
          <w:iCs/>
        </w:rPr>
        <w:t xml:space="preserve">before </w:t>
      </w:r>
      <w:r>
        <w:t xml:space="preserve">any bidding takes place is of course equal to half the maximum possible bid, however this is the expected computer bid </w:t>
      </w:r>
      <w:r>
        <w:rPr>
          <w:i/>
          <w:iCs/>
        </w:rPr>
        <w:t>given</w:t>
      </w:r>
      <w:r>
        <w:t xml:space="preserve"> we know the subject won the auction. See the Monty Hall problem for a similar example.</w:t>
      </w:r>
    </w:p>
  </w:footnote>
  <w:footnote w:id="36">
    <w:p w14:paraId="57803C79" w14:textId="77777777" w:rsidR="00270682" w:rsidRPr="00A9357D" w:rsidRDefault="00270682" w:rsidP="00884E52">
      <w:pPr>
        <w:pStyle w:val="FootnoteText"/>
      </w:pPr>
      <w:r>
        <w:rPr>
          <w:rStyle w:val="FootnoteReference"/>
        </w:rPr>
        <w:footnoteRef/>
      </w:r>
      <w:r>
        <w:t xml:space="preserve"> Any good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a</m:t>
            </m:r>
          </m:sub>
        </m:sSub>
      </m:oMath>
      <w:r>
        <w:t xml:space="preserve"> where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a</m:t>
            </m:r>
          </m:sub>
        </m:sSub>
        <m:r>
          <m:rPr>
            <m:sty m:val="bi"/>
          </m:rPr>
          <w:rPr>
            <w:rFonts w:ascii="Cambria Math" w:hAnsi="Cambria Math"/>
          </w:rPr>
          <m:t>)</m:t>
        </m:r>
      </m:oMath>
      <w:r w:rsidRPr="00AF5406">
        <w:rPr>
          <w:b/>
          <w:bCs/>
          <w:i/>
        </w:rPr>
        <w:t xml:space="preserve"> </w:t>
      </w:r>
      <w:r>
        <w:rPr>
          <w:b/>
          <w:bCs/>
          <w:i/>
        </w:rPr>
        <w:t>&gt;</w:t>
      </w:r>
      <w:r w:rsidRPr="00AF5406">
        <w:rPr>
          <w:b/>
          <w:bCs/>
          <w:i/>
        </w:rPr>
        <w:t xml:space="preserve"> B</w:t>
      </w:r>
      <w:r w:rsidRPr="00AF5406">
        <w:rPr>
          <w:b/>
          <w:bCs/>
          <w:i/>
          <w:vertAlign w:val="subscript"/>
        </w:rPr>
        <w:t>max</w:t>
      </w:r>
      <w:r>
        <w:t xml:space="preserve"> is indistinguishable from a good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b</m:t>
            </m:r>
          </m:sub>
        </m:sSub>
      </m:oMath>
      <w:r>
        <w:t xml:space="preserve"> where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(b)</m:t>
        </m:r>
      </m:oMath>
      <w:r w:rsidRPr="00AF5406">
        <w:rPr>
          <w:b/>
          <w:bCs/>
          <w:i/>
        </w:rPr>
        <w:t xml:space="preserve"> </w:t>
      </w:r>
      <w:r>
        <w:rPr>
          <w:b/>
          <w:bCs/>
          <w:i/>
        </w:rPr>
        <w:t>==</w:t>
      </w:r>
      <w:r w:rsidRPr="00AF5406">
        <w:rPr>
          <w:b/>
          <w:bCs/>
          <w:i/>
        </w:rPr>
        <w:t xml:space="preserve"> B</w:t>
      </w:r>
      <w:r w:rsidRPr="00AF5406">
        <w:rPr>
          <w:b/>
          <w:bCs/>
          <w:i/>
          <w:vertAlign w:val="subscript"/>
        </w:rPr>
        <w:t>max</w:t>
      </w:r>
      <w:r>
        <w:t xml:space="preserve"> and so the BDM paradigm is not a suitable task for such goods.</w:t>
      </w:r>
    </w:p>
  </w:footnote>
  <w:footnote w:id="37">
    <w:p w14:paraId="6D9CDFC5" w14:textId="77777777" w:rsidR="00270682" w:rsidRDefault="00270682" w:rsidP="00884E52">
      <w:pPr>
        <w:pStyle w:val="FootnoteText"/>
      </w:pPr>
      <w:r>
        <w:rPr>
          <w:rStyle w:val="FootnoteReference"/>
        </w:rPr>
        <w:footnoteRef/>
      </w:r>
      <w:r>
        <w:t xml:space="preserve"> Though 16 bids are made in each of the ‘learning’ and ‘equibilibrium’ phases of the experiment, these are further split into four sets of 8 bids in the authors reporting.</w:t>
      </w:r>
    </w:p>
  </w:footnote>
  <w:footnote w:id="38">
    <w:p w14:paraId="36418566" w14:textId="77777777" w:rsidR="00270682" w:rsidRDefault="00270682" w:rsidP="00884E52">
      <w:pPr>
        <w:pStyle w:val="FootnoteText"/>
      </w:pPr>
      <w:r>
        <w:rPr>
          <w:rStyle w:val="FootnoteReference"/>
        </w:rPr>
        <w:footnoteRef/>
      </w:r>
      <w:r>
        <w:t xml:space="preserve"> See for instance, </w:t>
      </w:r>
      <w:r>
        <w:fldChar w:fldCharType="begin" w:fldLock="1"/>
      </w:r>
      <w:r>
        <w:instrText>ADDIN CSL_CITATION {"citationItems":[{"id":"ITEM-1","itemData":{"DOI":"10.1038/s41586-019-1924-6","ISSN":"14764687","PMID":"31942076","abstract":"Since its introduction, the reward prediction error theory of dopamine has explained a wealth of empirical phenomena, providing a unifying framework for understanding the representation of reward and value in the brain1–3. According to the now canonical theory, reward predictions are represented as a single scalar quantity, which supports learning about the expectation, or mean, of stochastic outcomes. Here we propose an account of dopamine-based reinforcement learning inspired by recent artificial intelligence research on distributional reinforcement learning4–6. We hypothesized that the brain represents possible future rewards not as a single mean, but instead as a probability distribution, effectively representing multiple future outcomes simultaneously and in parallel. This idea implies a set of empirical predictions, which we tested using single-unit recordings from mouse ventral tegmental area. Our findings provide strong evidence for a neural realization of distributional reinforcement learning.","author":[{"dropping-particle":"","family":"Dabney","given":"Will","non-dropping-particle":"","parse-names":false,"suffix":""},{"dropping-particle":"","family":"Kurth-Nelson","given":"Zeb","non-dropping-particle":"","parse-names":false,"suffix":""},{"dropping-particle":"","family":"Uchida","given":"Naoshige","non-dropping-particle":"","parse-names":false,"suffix":""},{"dropping-particle":"","family":"Starkweather","given":"Clara Kwon","non-dropping-particle":"","parse-names":false,"suffix":""},{"dropping-particle":"","family":"Hassabis","given":"Demis","non-dropping-particle":"","parse-names":false,"suffix":""},{"dropping-particle":"","family":"Munos","given":"Rémi","non-dropping-particle":"","parse-names":false,"suffix":""},{"dropping-particle":"","family":"Botvinick","given":"Matthew","non-dropping-particle":"","parse-names":false,"suffix":""}],"container-title":"Nature","id":"ITEM-1","issue":"7792","issued":{"date-parts":[["2020"]]},"page":"671-675","publisher":"Springer US","title":"A distributional code for value in dopamine-based reinforcement learning","type":"article-journal","volume":"577"},"uris":["http://www.mendeley.com/documents/?uuid=e5209a47-0af7-49ff-b5ab-f9e844a428ab"]}],"mendeley":{"formattedCitation":"(Dabney et al., 2020)","manualFormatting":"Dabney et al., 2020","plainTextFormattedCitation":"(Dabney et al., 2020)","previouslyFormattedCitation":"(Dabney et al., 2020)"},"properties":{"noteIndex":0},"schema":"https://github.com/citation-style-language/schema/raw/master/csl-citation.json"}</w:instrText>
      </w:r>
      <w:r>
        <w:fldChar w:fldCharType="separate"/>
      </w:r>
      <w:r w:rsidRPr="00EE6644">
        <w:rPr>
          <w:noProof/>
        </w:rPr>
        <w:t>Dabney et al., 2020</w:t>
      </w:r>
      <w:r>
        <w:fldChar w:fldCharType="end"/>
      </w:r>
      <w:r>
        <w:t xml:space="preserve"> on how the response activity of a single dopaminergic neuron is not simply a linear function of the magnitude of a reward. The more contexts (e.g. the greater distribution of reward magnitudes encountered) a neuron is recorded under, the greater the resolution of its scaling function. C.f. figure 4b) of </w:t>
      </w:r>
      <w:r>
        <w:fldChar w:fldCharType="begin" w:fldLock="1"/>
      </w:r>
      <w:r>
        <w:instrText>ADDIN CSL_CITATION {"citationItems":[{"id":"ITEM-1","itemData":{"DOI":"10.1038/s41586-019-1924-6","ISSN":"14764687","PMID":"31942076","abstract":"Since its introduction, the reward prediction error theory of dopamine has explained a wealth of empirical phenomena, providing a unifying framework for understanding the representation of reward and value in the brain1–3. According to the now canonical theory, reward predictions are represented as a single scalar quantity, which supports learning about the expectation, or mean, of stochastic outcomes. Here we propose an account of dopamine-based reinforcement learning inspired by recent artificial intelligence research on distributional reinforcement learning4–6. We hypothesized that the brain represents possible future rewards not as a single mean, but instead as a probability distribution, effectively representing multiple future outcomes simultaneously and in parallel. This idea implies a set of empirical predictions, which we tested using single-unit recordings from mouse ventral tegmental area. Our findings provide strong evidence for a neural realization of distributional reinforcement learning.","author":[{"dropping-particle":"","family":"Dabney","given":"Will","non-dropping-particle":"","parse-names":false,"suffix":""},{"dropping-particle":"","family":"Kurth-Nelson","given":"Zeb","non-dropping-particle":"","parse-names":false,"suffix":""},{"dropping-particle":"","family":"Uchida","given":"Naoshige","non-dropping-particle":"","parse-names":false,"suffix":""},{"dropping-particle":"","family":"Starkweather","given":"Clara Kwon","non-dropping-particle":"","parse-names":false,"suffix":""},{"dropping-particle":"","family":"Hassabis","given":"Demis","non-dropping-particle":"","parse-names":false,"suffix":""},{"dropping-particle":"","family":"Munos","given":"Rémi","non-dropping-particle":"","parse-names":false,"suffix":""},{"dropping-particle":"","family":"Botvinick","given":"Matthew","non-dropping-particle":"","parse-names":false,"suffix":""}],"container-title":"Nature","id":"ITEM-1","issue":"7792","issued":{"date-parts":[["2020"]]},"page":"671-675","publisher":"Springer US","title":"A distributional code for value in dopamine-based reinforcement learning","type":"article-journal","volume":"577"},"uris":["http://www.mendeley.com/documents/?uuid=e5209a47-0af7-49ff-b5ab-f9e844a428ab"]}],"mendeley":{"formattedCitation":"(Dabney et al., 2020)","manualFormatting":"Dabney et al., ","plainTextFormattedCitation":"(Dabney et al., 2020)","previouslyFormattedCitation":"(Dabney et al., 2020)"},"properties":{"noteIndex":0},"schema":"https://github.com/citation-style-language/schema/raw/master/csl-citation.json"}</w:instrText>
      </w:r>
      <w:r>
        <w:fldChar w:fldCharType="separate"/>
      </w:r>
      <w:r w:rsidRPr="00A4477D">
        <w:rPr>
          <w:noProof/>
        </w:rPr>
        <w:t xml:space="preserve">Dabney et al., </w:t>
      </w:r>
      <w:r>
        <w:fldChar w:fldCharType="end"/>
      </w:r>
      <w:r>
        <w:t>where the 7 magnitudes of possible reward mean (at most) fitting a scaling function to 3 or 4 (i.e. half of the) encountered reward magnitudes.</w:t>
      </w:r>
    </w:p>
    <w:p w14:paraId="0AA76536" w14:textId="77777777" w:rsidR="00270682" w:rsidRDefault="00270682" w:rsidP="00884E52">
      <w:pPr>
        <w:pStyle w:val="FootnoteText"/>
      </w:pPr>
    </w:p>
  </w:footnote>
  <w:footnote w:id="39">
    <w:p w14:paraId="52E28336" w14:textId="77777777" w:rsidR="00270682" w:rsidRDefault="00270682" w:rsidP="00884E52">
      <w:pPr>
        <w:pStyle w:val="FootnoteText"/>
      </w:pPr>
      <w:r>
        <w:rPr>
          <w:rStyle w:val="FootnoteReference"/>
        </w:rPr>
        <w:footnoteRef/>
      </w:r>
      <w:r>
        <w:t xml:space="preserve"> Mean bids were slightly, but not significantly higher in the sulpiride condition than in either the bromocriptine or placebo condition, raising the interesting possibility that it </w:t>
      </w:r>
      <w:r>
        <w:rPr>
          <w:i/>
          <w:iCs/>
        </w:rPr>
        <w:t>may</w:t>
      </w:r>
      <w:r>
        <w:t xml:space="preserve"> be possible for interventions to affect bidding behaviour. It is perhaps confusing why a D2 antagonist (i.e. and inhibitory effect on an inhibitory signal) might affect behaviour in this way, though the authors make the point that it may simply be because application of sulpiride increases the variability of bids so they regress towards the mean of the budget range.</w:t>
      </w:r>
    </w:p>
  </w:footnote>
  <w:footnote w:id="40">
    <w:p w14:paraId="56D08A1B" w14:textId="77777777" w:rsidR="00270682" w:rsidRPr="00B73A1C" w:rsidRDefault="00270682" w:rsidP="00884E52">
      <w:pPr>
        <w:spacing w:before="240"/>
        <w:rPr>
          <w:sz w:val="20"/>
          <w:szCs w:val="20"/>
        </w:rPr>
      </w:pPr>
      <w:r>
        <w:rPr>
          <w:rStyle w:val="FootnoteReference"/>
        </w:rPr>
        <w:footnoteRef/>
      </w:r>
      <w:r>
        <w:t xml:space="preserve"> </w:t>
      </w:r>
      <w:r w:rsidRPr="00B73A1C">
        <w:rPr>
          <w:sz w:val="20"/>
          <w:szCs w:val="20"/>
        </w:rPr>
        <w:t xml:space="preserve">The </w:t>
      </w:r>
      <w:r>
        <w:rPr>
          <w:sz w:val="20"/>
          <w:szCs w:val="20"/>
        </w:rPr>
        <w:t>main finding of this paper was the</w:t>
      </w:r>
      <w:r w:rsidRPr="00B73A1C">
        <w:rPr>
          <w:sz w:val="20"/>
          <w:szCs w:val="20"/>
        </w:rPr>
        <w:t xml:space="preserve"> effect of treatment on the BOLD signal in the intraparietal sulcus, especially during the ‘late’ stage of valuation (more than half the time from stimulus present</w:t>
      </w:r>
      <w:r>
        <w:rPr>
          <w:sz w:val="20"/>
          <w:szCs w:val="20"/>
        </w:rPr>
        <w:t>ation</w:t>
      </w:r>
      <w:r w:rsidRPr="00B73A1C">
        <w:rPr>
          <w:sz w:val="20"/>
          <w:szCs w:val="20"/>
        </w:rPr>
        <w:t xml:space="preserve"> to </w:t>
      </w:r>
      <w:r>
        <w:rPr>
          <w:sz w:val="20"/>
          <w:szCs w:val="20"/>
        </w:rPr>
        <w:t>setting one’s bid</w:t>
      </w:r>
      <w:r w:rsidRPr="00B73A1C">
        <w:rPr>
          <w:sz w:val="20"/>
          <w:szCs w:val="20"/>
        </w:rPr>
        <w:t xml:space="preserve">). Activity within this area has previously been implicated in decision making tasks with signals correlating with the gain a subject expects from a trial </w:t>
      </w:r>
      <w:r w:rsidRPr="00B73A1C">
        <w:rPr>
          <w:sz w:val="20"/>
          <w:szCs w:val="20"/>
        </w:rPr>
        <w:fldChar w:fldCharType="begin" w:fldLock="1"/>
      </w:r>
      <w:r w:rsidRPr="00B73A1C">
        <w:rPr>
          <w:sz w:val="20"/>
          <w:szCs w:val="20"/>
        </w:rPr>
        <w:instrText>ADDIN CSL_CITATION {"citationItems":[{"id":"ITEM-1","itemData":{"DOI":"10.1038/22268","ISSN":"00280836","PMID":"10421364","abstract":"Decision theory proposes that humans and animals decide what to do in a given situation by assessing the relative value of each possible response. This assessment can be computed, in part, from the probability that each action will result in a gain and the magnitude of the gain expected. Here we show that the gain (or reward) a monkey can expect to realize from an eye- movement response modulates the activity of neurons in the lateral intraparietal area, an area of primate cortex that is thought to transform visual signals into eye-movement commands. We also show that the activity of these neurons is sensitive to the probability that a particular response will result in a gain. When animals can choose freely between two alternative responses, the choices subjects make and neuronal activation in this area are both correlated with the relative amount of gain that the animal can expect from each response. Our data indicate that a decision-theoretic model may provide a powerful new framework for studying the neural processes that intervene between sensation and action.","author":[{"dropping-particle":"","family":"Platt","given":"Michael L.","non-dropping-particle":"","parse-names":false,"suffix":""},{"dropping-particle":"","family":"Glimcher","given":"Paul W.","non-dropping-particle":"","parse-names":false,"suffix":""}],"container-title":"Nature","id":"ITEM-1","issue":"6741","issued":{"date-parts":[["1999"]]},"page":"233-238","title":"Neural correlates of decision variables in parietal cortex","type":"article-journal","volume":"400"},"uris":["http://www.mendeley.com/documents/?uuid=126a6151-046b-4d2a-ab11-74932839aed0"]}],"mendeley":{"formattedCitation":"(Platt &amp; Glimcher, 1999)","plainTextFormattedCitation":"(Platt &amp; Glimcher, 1999)","previouslyFormattedCitation":"(Platt &amp; Glimcher, 1999)"},"properties":{"noteIndex":0},"schema":"https://github.com/citation-style-language/schema/raw/master/csl-citation.json"}</w:instrText>
      </w:r>
      <w:r w:rsidRPr="00B73A1C">
        <w:rPr>
          <w:sz w:val="20"/>
          <w:szCs w:val="20"/>
        </w:rPr>
        <w:fldChar w:fldCharType="separate"/>
      </w:r>
      <w:r w:rsidRPr="00B73A1C">
        <w:rPr>
          <w:noProof/>
          <w:sz w:val="20"/>
          <w:szCs w:val="20"/>
        </w:rPr>
        <w:t>(Platt &amp; Glimcher, 1999)</w:t>
      </w:r>
      <w:r w:rsidRPr="00B73A1C">
        <w:rPr>
          <w:sz w:val="20"/>
          <w:szCs w:val="20"/>
        </w:rPr>
        <w:fldChar w:fldCharType="end"/>
      </w:r>
      <w:r w:rsidRPr="00B73A1C">
        <w:rPr>
          <w:sz w:val="20"/>
          <w:szCs w:val="20"/>
        </w:rPr>
        <w:t xml:space="preserve">. </w:t>
      </w:r>
    </w:p>
    <w:p w14:paraId="194EFF55" w14:textId="77777777" w:rsidR="00270682" w:rsidRDefault="00270682" w:rsidP="00884E52">
      <w:pPr>
        <w:pStyle w:val="FootnoteText"/>
      </w:pPr>
    </w:p>
  </w:footnote>
  <w:footnote w:id="41">
    <w:p w14:paraId="06A62B56" w14:textId="77777777" w:rsidR="00270682" w:rsidRDefault="00270682" w:rsidP="00884E52">
      <w:pPr>
        <w:pStyle w:val="FootnoteText"/>
      </w:pPr>
      <w:r>
        <w:rPr>
          <w:rStyle w:val="FootnoteReference"/>
        </w:rPr>
        <w:footnoteRef/>
      </w:r>
      <w:r>
        <w:t xml:space="preserve"> See chapter 1 of this thesis on the representation of utility in the brain and its associated appendices.</w:t>
      </w:r>
    </w:p>
  </w:footnote>
  <w:footnote w:id="42">
    <w:p w14:paraId="2FD93259" w14:textId="77777777" w:rsidR="00270682" w:rsidRDefault="00270682" w:rsidP="00884E52">
      <w:pPr>
        <w:pStyle w:val="FootnoteText"/>
      </w:pPr>
      <w:r>
        <w:rPr>
          <w:rStyle w:val="FootnoteReference"/>
        </w:rPr>
        <w:footnoteRef/>
      </w:r>
      <w:r>
        <w:t xml:space="preserve"> In rare cases it is possible to record electrophysiological signal from the human brain. See </w:t>
      </w:r>
      <w:r>
        <w:fldChar w:fldCharType="begin" w:fldLock="1"/>
      </w:r>
      <w:r>
        <w:instrText>ADDIN CSL_CITATION {"citationItems":[{"id":"ITEM-1","itemData":{"DOI":"10.1126/science.1167342","ISSN":"00368075","PMID":"19286561","abstract":"The brain's sensitivity to unexpected outcomes plays a fundamental role in an organism's ability to adapt and learn new behaviors. Emerging research suggests that midbrain dopaminergic neurons encode these unexpected outcomes. We used microelectrode recordings during deep brain stimulation surgery to study neuronal activity in the human substantia nigra (SN) while patients with Parkinson's disease engaged in a probabilistic learning task motivated by virtual financial rewards. Based on a model of the participants' expected reward, we divided trial outcomes into expected and unexpected gains and losses. SN neurons exhibited significantly higher firing rates after unexpected gains than unexpected losses. No such differences were observed after expected gains and losses. This result provides critical support for the hypothesized role of the SN in human reinforcement learning.","author":[{"dropping-particle":"","family":"Zaghloul","given":"Kareem A.","non-dropping-particle":"","parse-names":false,"suffix":""},{"dropping-particle":"","family":"Blanco","given":"Justin A.","non-dropping-particle":"","parse-names":false,"suffix":""},{"dropping-particle":"","family":"Weidemann","given":"Christoph T.","non-dropping-particle":"","parse-names":false,"suffix":""},{"dropping-particle":"","family":"McGill","given":"Kathryn","non-dropping-particle":"","parse-names":false,"suffix":""},{"dropping-particle":"","family":"Jaggi","given":"Jurg L.","non-dropping-particle":"","parse-names":false,"suffix":""},{"dropping-particle":"","family":"Baltuch","given":"Gordon H.","non-dropping-particle":"","parse-names":false,"suffix":""},{"dropping-particle":"","family":"Kahana","given":"Michael J.","non-dropping-particle":"","parse-names":false,"suffix":""}],"container-title":"Science","id":"ITEM-1","issue":"5920","issued":{"date-parts":[["2009"]]},"page":"1496-1499","title":"Human substantia nigra neurons encode unexpected financial rewards","type":"article-journal","volume":"323"},"uris":["http://www.mendeley.com/documents/?uuid=a24ac35f-d318-4400-9188-e31a037c39be"]}],"mendeley":{"formattedCitation":"(Zaghloul et al., 2009)","manualFormatting":"Zaghloul et al., 2009","plainTextFormattedCitation":"(Zaghloul et al., 2009)","previouslyFormattedCitation":"(Zaghloul et al., 2009)"},"properties":{"noteIndex":0},"schema":"https://github.com/citation-style-language/schema/raw/master/csl-citation.json"}</w:instrText>
      </w:r>
      <w:r>
        <w:fldChar w:fldCharType="separate"/>
      </w:r>
      <w:r w:rsidRPr="00382FBA">
        <w:rPr>
          <w:noProof/>
        </w:rPr>
        <w:t>Zaghloul et al., 2009</w:t>
      </w:r>
      <w:r>
        <w:fldChar w:fldCharType="end"/>
      </w:r>
      <w:r>
        <w:t xml:space="preserve"> for one such example, recording from the substantia nigra in patients undergoing deep-brain surgery for Parkinson’s disease.</w:t>
      </w:r>
    </w:p>
  </w:footnote>
  <w:footnote w:id="43">
    <w:p w14:paraId="3A6D4B56" w14:textId="77777777" w:rsidR="00270682" w:rsidRPr="00CF5F92" w:rsidRDefault="00270682" w:rsidP="00884E52">
      <w:pPr>
        <w:pStyle w:val="FootnoteText"/>
      </w:pPr>
      <w:r>
        <w:rPr>
          <w:rStyle w:val="FootnoteReference"/>
        </w:rPr>
        <w:footnoteRef/>
      </w:r>
      <w:r>
        <w:t xml:space="preserve"> This of course makes no difference, we are simply using the proof as formulated by Milgrom and Weber. In the BDM as discussed in the body of this thesis we assume there to be some utility just from receiving the endowment gifted to the participant at the start of each trial, but this utility should be ‘baked in’ to the participants expected payoff and so does not change the results, or implications, of the derivation here. It is actually </w:t>
      </w:r>
      <w:r>
        <w:rPr>
          <w:i/>
          <w:iCs/>
        </w:rPr>
        <w:t>probably</w:t>
      </w:r>
      <w:r>
        <w:t xml:space="preserve"> untrue that the utility even of human’s buying and selling mineral rights (the example in Milgrom and Weber, 1982) is zero (see below).</w:t>
      </w:r>
    </w:p>
  </w:footnote>
  <w:footnote w:id="44">
    <w:p w14:paraId="0DEFF544" w14:textId="77777777" w:rsidR="00270682" w:rsidRDefault="00270682" w:rsidP="00884E52">
      <w:pPr>
        <w:pStyle w:val="FootnoteText"/>
      </w:pPr>
      <w:r>
        <w:rPr>
          <w:rStyle w:val="FootnoteReference"/>
        </w:rPr>
        <w:footnoteRef/>
      </w:r>
      <w:r>
        <w:t xml:space="preserve"> This assumption is economically sound, but probably psychologically tenuous. Consider a child on Christmas Day who has spent the last six months expecting a specific gift and instead receives nothing.</w:t>
      </w:r>
    </w:p>
  </w:footnote>
  <w:footnote w:id="45">
    <w:p w14:paraId="49A0EF12" w14:textId="77777777" w:rsidR="00270682" w:rsidRPr="00144AD7" w:rsidRDefault="00270682" w:rsidP="00884E52">
      <w:pPr>
        <w:pStyle w:val="FootnoteText"/>
      </w:pPr>
      <w:r>
        <w:rPr>
          <w:rStyle w:val="FootnoteReference"/>
        </w:rPr>
        <w:footnoteRef/>
      </w:r>
      <w:r>
        <w:t xml:space="preserve"> Figure 2.6b) does in fact have a local minima at roughly the mid-point of the x-axis which contradicts this. A more stringent proof would state that this maxima is only a </w:t>
      </w:r>
      <w:r>
        <w:rPr>
          <w:i/>
          <w:iCs/>
        </w:rPr>
        <w:t>local</w:t>
      </w:r>
      <w:r>
        <w:t xml:space="preserve"> maxima. For complicated utility functions that might arise (e.g.) as the BDM task is extended and extra round of bidding/payments/chance are incorporated this could become important. For the simple BDM paradigm in this thesis and in the lifelike auctions of Milgrom and Weber we assume a ‘simple’ utility curve with only one maxima as presented in figure 2.6a) and figure 2.3.</w:t>
      </w:r>
    </w:p>
  </w:footnote>
  <w:footnote w:id="46">
    <w:p w14:paraId="3E005650" w14:textId="77777777" w:rsidR="00270682" w:rsidRDefault="00270682" w:rsidP="00884E52">
      <w:pPr>
        <w:pStyle w:val="FootnoteText"/>
      </w:pPr>
      <w:r>
        <w:rPr>
          <w:rStyle w:val="FootnoteReference"/>
        </w:rPr>
        <w:footnoteRef/>
      </w:r>
      <w:r>
        <w:t xml:space="preserve"> In the event of a loss the payoff is the same regardless of whether a participant paid attention- they receive the full endowment.</w:t>
      </w:r>
    </w:p>
  </w:footnote>
  <w:footnote w:id="47">
    <w:p w14:paraId="696702E3" w14:textId="77777777" w:rsidR="007A22C9" w:rsidRDefault="007A22C9" w:rsidP="007A22C9">
      <w:pPr>
        <w:pStyle w:val="FootnoteText"/>
      </w:pPr>
      <w:r>
        <w:rPr>
          <w:rStyle w:val="FootnoteReference"/>
        </w:rPr>
        <w:footnoteRef/>
      </w:r>
      <w:r>
        <w:t xml:space="preserve"> Efforts are made to make notebooks reproducible and code readable though due to time constraints results may vary. Contact the author for data and/or clarification of code.</w:t>
      </w:r>
    </w:p>
  </w:footnote>
  <w:footnote w:id="48">
    <w:p w14:paraId="2FE6BB39" w14:textId="77777777" w:rsidR="007A22C9" w:rsidRDefault="007A22C9" w:rsidP="007A22C9">
      <w:pPr>
        <w:pStyle w:val="FootnoteText"/>
      </w:pPr>
      <w:r>
        <w:rPr>
          <w:rStyle w:val="FootnoteReference"/>
        </w:rPr>
        <w:footnoteRef/>
      </w:r>
      <w:r>
        <w:t xml:space="preserve"> Changes in the task consisted primarily of reducing the number of task epochs and shortening of the bidding epoch to shorten the overall task time and the removal of any stimuli not considered absolutely necessary for behaviour (e.g. changing of bidding bars to indicate the finalisation of bids, and the occlusion of the budget bar to indicate payment).</w:t>
      </w:r>
    </w:p>
  </w:footnote>
  <w:footnote w:id="49">
    <w:p w14:paraId="41A93DBE" w14:textId="77777777" w:rsidR="007A22C9" w:rsidRDefault="007A22C9" w:rsidP="007A22C9">
      <w:pPr>
        <w:pStyle w:val="FootnoteText"/>
      </w:pPr>
      <w:r>
        <w:rPr>
          <w:rStyle w:val="FootnoteReference"/>
        </w:rPr>
        <w:footnoteRef/>
      </w:r>
      <w:r>
        <w:t xml:space="preserve"> Imprecision due to data not included before the rewrite of the software for the task in the first two months of the project. Total trials numbers broken down by monkey, task, and completed are shown in figure 3e.</w:t>
      </w:r>
    </w:p>
  </w:footnote>
  <w:footnote w:id="50">
    <w:p w14:paraId="14B2792B" w14:textId="77777777" w:rsidR="007A22C9" w:rsidRDefault="007A22C9" w:rsidP="007A22C9">
      <w:pPr>
        <w:pStyle w:val="FootnoteText"/>
      </w:pPr>
      <w:r>
        <w:rPr>
          <w:rStyle w:val="FootnoteReference"/>
        </w:rPr>
        <w:footnoteRef/>
      </w:r>
      <w:r>
        <w:t xml:space="preserve"> Not strictly true as it depends on the magnitudes of rewards but for both monkeys in this project the lowest magnitude fractal during the recording phase represented 0.2 and 0.3ml of juice respectively. </w:t>
      </w:r>
    </w:p>
  </w:footnote>
  <w:footnote w:id="51">
    <w:p w14:paraId="1DDF239D" w14:textId="77777777" w:rsidR="007A22C9" w:rsidRDefault="007A22C9" w:rsidP="007A22C9">
      <w:pPr>
        <w:pStyle w:val="FootnoteText"/>
      </w:pPr>
      <w:r>
        <w:rPr>
          <w:rStyle w:val="FootnoteReference"/>
        </w:rPr>
        <w:footnoteRef/>
      </w:r>
      <w:r>
        <w:t xml:space="preserve"> For a graphical example of distributions of utility (i.e. assumed bids for the BDM), see the appendix on Random Utility Theory in appendix 1.1 (figure a1.3).</w:t>
      </w:r>
    </w:p>
  </w:footnote>
  <w:footnote w:id="52">
    <w:p w14:paraId="14661255" w14:textId="77777777" w:rsidR="007A22C9" w:rsidRPr="00EA2576" w:rsidRDefault="007A22C9" w:rsidP="007A22C9">
      <w:pPr>
        <w:pStyle w:val="FootnoteText"/>
      </w:pPr>
      <w:r>
        <w:rPr>
          <w:rStyle w:val="FootnoteReference"/>
        </w:rPr>
        <w:footnoteRef/>
      </w:r>
      <w:r>
        <w:t xml:space="preserve"> Note- we do not include the intercepts of both regressions in figure 3.13. For Monkey U the intercept of the beta regression on all bids is </w:t>
      </w:r>
      <w:r w:rsidRPr="00ED4E87">
        <w:t>-0.95992</w:t>
      </w:r>
      <w:r w:rsidRPr="00C355BA">
        <w:rPr>
          <w:rFonts w:cstheme="minorHAnsi"/>
          <w:shd w:val="clear" w:color="auto" w:fill="FFFFFF"/>
        </w:rPr>
        <w:t>±</w:t>
      </w:r>
      <w:r w:rsidRPr="00ED4E87">
        <w:rPr>
          <w:rFonts w:cstheme="minorHAnsi"/>
          <w:shd w:val="clear" w:color="auto" w:fill="FFFFFF"/>
        </w:rPr>
        <w:t>0.03262</w:t>
      </w:r>
      <w:r>
        <w:rPr>
          <w:rFonts w:cstheme="minorHAnsi"/>
          <w:shd w:val="clear" w:color="auto" w:fill="FFFFFF"/>
        </w:rPr>
        <w:t xml:space="preserve"> and for Monkey V the intercept is </w:t>
      </w:r>
      <w:r w:rsidRPr="00ED4E87">
        <w:rPr>
          <w:rFonts w:cstheme="minorHAnsi"/>
          <w:shd w:val="clear" w:color="auto" w:fill="FFFFFF"/>
        </w:rPr>
        <w:t>-0.49961</w:t>
      </w:r>
      <w:r w:rsidRPr="00C355BA">
        <w:rPr>
          <w:rFonts w:cstheme="minorHAnsi"/>
          <w:shd w:val="clear" w:color="auto" w:fill="FFFFFF"/>
        </w:rPr>
        <w:t>±</w:t>
      </w:r>
      <w:r w:rsidRPr="00ED4E87">
        <w:rPr>
          <w:rFonts w:cstheme="minorHAnsi"/>
          <w:shd w:val="clear" w:color="auto" w:fill="FFFFFF"/>
        </w:rPr>
        <w:t>0.03053</w:t>
      </w:r>
      <w:r>
        <w:rPr>
          <w:rFonts w:cstheme="minorHAnsi"/>
          <w:shd w:val="clear" w:color="auto" w:fill="FFFFFF"/>
        </w:rPr>
        <w:t xml:space="preserve">. By task design, the monkey’s bids are censored to 0 and the maximum of the bidding range (1). Though in theory a monkey could be motivated to bid at either extreme, such bidding tended to signal probable poor performance (see appendix 3.2) and so all such trials were excluded before analysis. For regressions including such data, typically a Tobit regression is preferred </w:t>
      </w:r>
      <w:r>
        <w:rPr>
          <w:rFonts w:cstheme="minorHAnsi"/>
          <w:shd w:val="clear" w:color="auto" w:fill="FFFFFF"/>
        </w:rPr>
        <w:fldChar w:fldCharType="begin" w:fldLock="1"/>
      </w:r>
      <w:r>
        <w:rPr>
          <w:rFonts w:cstheme="minorHAnsi"/>
          <w:shd w:val="clear" w:color="auto" w:fill="FFFFFF"/>
        </w:rPr>
        <w:instrText>ADDIN CSL_CITATION {"citationItems":[{"id":"ITEM-1","itemData":{"author":[{"dropping-particle":"","family":"Tobin","given":"James","non-dropping-particle":"","parse-names":false,"suffix":""}],"container-title":"Econometrica","id":"ITEM-1","issue":"1","issued":{"date-parts":[["1956"]]},"page":"24-26","title":"Estimation of Relationships for Limited Dependent Variables","type":"article-journal","volume":"26"},"uris":["http://www.mendeley.com/documents/?uuid=99e575ae-731d-4c79-ad78-d7d469c85400"]}],"mendeley":{"formattedCitation":"(Tobin, 1956)","plainTextFormattedCitation":"(Tobin, 1956)","previouslyFormattedCitation":"(Tobin, 1956)"},"properties":{"noteIndex":0},"schema":"https://github.com/citation-style-language/schema/raw/master/csl-citation.json"}</w:instrText>
      </w:r>
      <w:r>
        <w:rPr>
          <w:rFonts w:cstheme="minorHAnsi"/>
          <w:shd w:val="clear" w:color="auto" w:fill="FFFFFF"/>
        </w:rPr>
        <w:fldChar w:fldCharType="separate"/>
      </w:r>
      <w:r w:rsidRPr="003218CC">
        <w:rPr>
          <w:rFonts w:cstheme="minorHAnsi"/>
          <w:noProof/>
          <w:shd w:val="clear" w:color="auto" w:fill="FFFFFF"/>
        </w:rPr>
        <w:t>(Tobin, 1956)</w:t>
      </w:r>
      <w:r>
        <w:rPr>
          <w:rFonts w:cstheme="minorHAnsi"/>
          <w:shd w:val="clear" w:color="auto" w:fill="FFFFFF"/>
        </w:rPr>
        <w:fldChar w:fldCharType="end"/>
      </w:r>
      <w:r>
        <w:rPr>
          <w:rFonts w:cstheme="minorHAnsi"/>
          <w:shd w:val="clear" w:color="auto" w:fill="FFFFFF"/>
        </w:rPr>
        <w:t xml:space="preserve">. The negative intercepts from these regressions </w:t>
      </w:r>
      <w:r>
        <w:rPr>
          <w:rFonts w:cstheme="minorHAnsi"/>
          <w:i/>
          <w:iCs/>
          <w:shd w:val="clear" w:color="auto" w:fill="FFFFFF"/>
        </w:rPr>
        <w:t xml:space="preserve">do not </w:t>
      </w:r>
      <w:r>
        <w:rPr>
          <w:rFonts w:cstheme="minorHAnsi"/>
          <w:shd w:val="clear" w:color="auto" w:fill="FFFFFF"/>
        </w:rPr>
        <w:t>refer to the prediction of the monkey bids by the models when all selected variables are equal to 0. See equation 3.4. For the fitted regressions, such predictions are 0.183 for Monkey U and 0.295 for Monkey V.</w:t>
      </w:r>
    </w:p>
  </w:footnote>
  <w:footnote w:id="53">
    <w:p w14:paraId="2ADA079E" w14:textId="77777777" w:rsidR="007A22C9" w:rsidRDefault="007A22C9" w:rsidP="007A22C9">
      <w:pPr>
        <w:pStyle w:val="FootnoteText"/>
      </w:pPr>
      <w:r>
        <w:rPr>
          <w:rStyle w:val="FootnoteReference"/>
        </w:rPr>
        <w:footnoteRef/>
      </w:r>
      <w:r>
        <w:t xml:space="preserve"> See </w:t>
      </w:r>
      <w:r>
        <w:fldChar w:fldCharType="begin" w:fldLock="1"/>
      </w:r>
      <w:r>
        <w:instrText>ADDIN CSL_CITATION {"citationItems":[{"id":"ITEM-1","itemData":{"ISSN":"0022328X","author":[{"dropping-particle":"","family":"Cohen","given":"Jacob","non-dropping-particle":"","parse-names":false,"suffix":""}],"container-title":"Psychological Bulletin","id":"ITEM-1","issued":{"date-parts":[["1992"]]},"page":"155-159","title":"A Power Primer","type":"article-journal","volume":"112"},"uris":["http://www.mendeley.com/documents/?uuid=2db8aaaf-f7a5-4c82-b316-db7d793cae3f"]}],"mendeley":{"formattedCitation":"(Cohen, 1992)","manualFormatting":"Cohen, 1992","plainTextFormattedCitation":"(Cohen, 1992)","previouslyFormattedCitation":"(Cohen, 1992)"},"properties":{"noteIndex":0},"schema":"https://github.com/citation-style-language/schema/raw/master/csl-citation.json"}</w:instrText>
      </w:r>
      <w:r>
        <w:fldChar w:fldCharType="separate"/>
      </w:r>
      <w:r w:rsidRPr="003A6B5D">
        <w:rPr>
          <w:noProof/>
        </w:rPr>
        <w:t>Cohen, 1992</w:t>
      </w:r>
      <w:r>
        <w:fldChar w:fldCharType="end"/>
      </w:r>
      <w:r>
        <w:t xml:space="preserve"> for definition of effect size terminology.</w:t>
      </w:r>
    </w:p>
  </w:footnote>
  <w:footnote w:id="54">
    <w:p w14:paraId="09630FD8" w14:textId="77777777" w:rsidR="007A22C9" w:rsidRDefault="007A22C9" w:rsidP="007A22C9">
      <w:pPr>
        <w:pStyle w:val="FootnoteText"/>
      </w:pPr>
      <w:r>
        <w:rPr>
          <w:rStyle w:val="FootnoteReference"/>
        </w:rPr>
        <w:footnoteRef/>
      </w:r>
      <w:r>
        <w:t xml:space="preserve"> Even if we expected the BDM and bundle choice tasks to give exactly equivalent WTP estimates, we would not expect the monkey to bid exactly the same value on every trial of the BDM. Utility is stochastic and indeed, one of the guiding ideas behind the experiments in this thesis is the limitation of aggregating choices over a whole session of discrete choice tasks versus trial-by-trial reports of utility from auction tasks. We compare the bids made to a hypothetical utility ‘ground truth’ from the bundle choice simply to show the limited difference the small changes in WTP make to the actual experience of the monkeys.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3A57811"/>
    <w:multiLevelType w:val="hybridMultilevel"/>
    <w:tmpl w:val="5E1260EE"/>
    <w:lvl w:ilvl="0" w:tplc="B56A2C3C">
      <w:start w:val="4"/>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474063"/>
    <w:multiLevelType w:val="hybridMultilevel"/>
    <w:tmpl w:val="289EA7AE"/>
    <w:lvl w:ilvl="0" w:tplc="40D811E4">
      <w:start w:val="1"/>
      <w:numFmt w:val="decimal"/>
      <w:lvlText w:val="%1)"/>
      <w:lvlJc w:val="left"/>
      <w:pPr>
        <w:ind w:left="720" w:hanging="360"/>
      </w:pPr>
      <w:rPr>
        <w:rFonts w:cstheme="minorHAns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6E2597"/>
    <w:multiLevelType w:val="hybridMultilevel"/>
    <w:tmpl w:val="A1B88F64"/>
    <w:lvl w:ilvl="0" w:tplc="2A043550">
      <w:start w:val="9"/>
      <w:numFmt w:val="bullet"/>
      <w:lvlText w:val="-"/>
      <w:lvlJc w:val="left"/>
      <w:pPr>
        <w:ind w:left="720" w:hanging="360"/>
      </w:pPr>
      <w:rPr>
        <w:rFonts w:ascii="Times New Roman" w:eastAsia="SimSun" w:hAnsi="Times New Roman" w:cs="Times New Roman" w:hint="default"/>
        <w:b w:val="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882A0B"/>
    <w:multiLevelType w:val="hybridMultilevel"/>
    <w:tmpl w:val="F0767E9A"/>
    <w:lvl w:ilvl="0" w:tplc="B6DEF85E">
      <w:start w:val="9"/>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967C27"/>
    <w:multiLevelType w:val="hybridMultilevel"/>
    <w:tmpl w:val="1CF08FC4"/>
    <w:lvl w:ilvl="0" w:tplc="E326D5BC">
      <w:start w:val="9"/>
      <w:numFmt w:val="bullet"/>
      <w:lvlText w:val="-"/>
      <w:lvlJc w:val="left"/>
      <w:pPr>
        <w:ind w:left="502" w:hanging="360"/>
      </w:pPr>
      <w:rPr>
        <w:rFonts w:ascii="Times New Roman" w:eastAsia="SimSun" w:hAnsi="Times New Roman" w:cs="Times New Roman"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6" w15:restartNumberingAfterBreak="0">
    <w:nsid w:val="20E10458"/>
    <w:multiLevelType w:val="hybridMultilevel"/>
    <w:tmpl w:val="48CC10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DF4BBF"/>
    <w:multiLevelType w:val="hybridMultilevel"/>
    <w:tmpl w:val="ECE6DD04"/>
    <w:lvl w:ilvl="0" w:tplc="14F8EF4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2C1F6E58"/>
    <w:multiLevelType w:val="hybridMultilevel"/>
    <w:tmpl w:val="5536755C"/>
    <w:lvl w:ilvl="0" w:tplc="E04EA6B8">
      <w:start w:val="1"/>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AD512A"/>
    <w:multiLevelType w:val="hybridMultilevel"/>
    <w:tmpl w:val="90F8F6E2"/>
    <w:lvl w:ilvl="0" w:tplc="2DD4932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105532"/>
    <w:multiLevelType w:val="hybridMultilevel"/>
    <w:tmpl w:val="AD9474AA"/>
    <w:lvl w:ilvl="0" w:tplc="4B383C4C">
      <w:start w:val="1"/>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6108D9"/>
    <w:multiLevelType w:val="hybridMultilevel"/>
    <w:tmpl w:val="320686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E0F59A5"/>
    <w:multiLevelType w:val="hybridMultilevel"/>
    <w:tmpl w:val="2350F80C"/>
    <w:lvl w:ilvl="0" w:tplc="802C78E4">
      <w:start w:val="1"/>
      <w:numFmt w:val="bullet"/>
      <w:lvlText w:val=""/>
      <w:lvlJc w:val="left"/>
      <w:pPr>
        <w:ind w:left="420" w:hanging="360"/>
      </w:pPr>
      <w:rPr>
        <w:rFonts w:ascii="Wingdings" w:eastAsia="SimSun" w:hAnsi="Wingdings" w:cs="Lucida Sans"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3" w15:restartNumberingAfterBreak="0">
    <w:nsid w:val="50E656A0"/>
    <w:multiLevelType w:val="hybridMultilevel"/>
    <w:tmpl w:val="20FA68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64372E"/>
    <w:multiLevelType w:val="hybridMultilevel"/>
    <w:tmpl w:val="B066C188"/>
    <w:lvl w:ilvl="0" w:tplc="D6C854AC">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FE2E80"/>
    <w:multiLevelType w:val="hybridMultilevel"/>
    <w:tmpl w:val="8380486C"/>
    <w:lvl w:ilvl="0" w:tplc="023E726E">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30383D"/>
    <w:multiLevelType w:val="hybridMultilevel"/>
    <w:tmpl w:val="85EACB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03E5106"/>
    <w:multiLevelType w:val="hybridMultilevel"/>
    <w:tmpl w:val="416C61A6"/>
    <w:lvl w:ilvl="0" w:tplc="08090011">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882655"/>
    <w:multiLevelType w:val="hybridMultilevel"/>
    <w:tmpl w:val="8AC8C682"/>
    <w:lvl w:ilvl="0" w:tplc="16867882">
      <w:start w:val="1"/>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32942AF"/>
    <w:multiLevelType w:val="hybridMultilevel"/>
    <w:tmpl w:val="1DA6EA2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15"/>
  </w:num>
  <w:num w:numId="3">
    <w:abstractNumId w:val="0"/>
  </w:num>
  <w:num w:numId="4">
    <w:abstractNumId w:val="1"/>
  </w:num>
  <w:num w:numId="5">
    <w:abstractNumId w:val="6"/>
  </w:num>
  <w:num w:numId="6">
    <w:abstractNumId w:val="7"/>
  </w:num>
  <w:num w:numId="7">
    <w:abstractNumId w:val="16"/>
  </w:num>
  <w:num w:numId="8">
    <w:abstractNumId w:val="13"/>
  </w:num>
  <w:num w:numId="9">
    <w:abstractNumId w:val="19"/>
  </w:num>
  <w:num w:numId="10">
    <w:abstractNumId w:val="18"/>
  </w:num>
  <w:num w:numId="11">
    <w:abstractNumId w:val="11"/>
  </w:num>
  <w:num w:numId="12">
    <w:abstractNumId w:val="8"/>
  </w:num>
  <w:num w:numId="13">
    <w:abstractNumId w:val="10"/>
  </w:num>
  <w:num w:numId="14">
    <w:abstractNumId w:val="12"/>
  </w:num>
  <w:num w:numId="15">
    <w:abstractNumId w:val="5"/>
  </w:num>
  <w:num w:numId="16">
    <w:abstractNumId w:val="3"/>
  </w:num>
  <w:num w:numId="17">
    <w:abstractNumId w:val="4"/>
  </w:num>
  <w:num w:numId="18">
    <w:abstractNumId w:val="17"/>
  </w:num>
  <w:num w:numId="19">
    <w:abstractNumId w:val="2"/>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FF"/>
    <w:rsid w:val="00000F4E"/>
    <w:rsid w:val="000012AC"/>
    <w:rsid w:val="0001268A"/>
    <w:rsid w:val="00017949"/>
    <w:rsid w:val="00036EAC"/>
    <w:rsid w:val="00046C39"/>
    <w:rsid w:val="000479A2"/>
    <w:rsid w:val="00050BD7"/>
    <w:rsid w:val="00054FAB"/>
    <w:rsid w:val="00056A01"/>
    <w:rsid w:val="000570FF"/>
    <w:rsid w:val="000618AF"/>
    <w:rsid w:val="000653D8"/>
    <w:rsid w:val="00072C2E"/>
    <w:rsid w:val="00076065"/>
    <w:rsid w:val="0007718B"/>
    <w:rsid w:val="0009000F"/>
    <w:rsid w:val="00092C4A"/>
    <w:rsid w:val="000946C4"/>
    <w:rsid w:val="000A146F"/>
    <w:rsid w:val="000A75EF"/>
    <w:rsid w:val="000C6983"/>
    <w:rsid w:val="000D07E7"/>
    <w:rsid w:val="000D5C8E"/>
    <w:rsid w:val="000E2E30"/>
    <w:rsid w:val="000F23C4"/>
    <w:rsid w:val="00110248"/>
    <w:rsid w:val="001115CE"/>
    <w:rsid w:val="001150D8"/>
    <w:rsid w:val="00136070"/>
    <w:rsid w:val="00140A4B"/>
    <w:rsid w:val="0014382D"/>
    <w:rsid w:val="00156668"/>
    <w:rsid w:val="00157064"/>
    <w:rsid w:val="001619ED"/>
    <w:rsid w:val="00180202"/>
    <w:rsid w:val="001839E1"/>
    <w:rsid w:val="00186DE8"/>
    <w:rsid w:val="00192C4F"/>
    <w:rsid w:val="00194300"/>
    <w:rsid w:val="001B2B41"/>
    <w:rsid w:val="001B342D"/>
    <w:rsid w:val="001B5FED"/>
    <w:rsid w:val="001C3029"/>
    <w:rsid w:val="001D3661"/>
    <w:rsid w:val="001D5852"/>
    <w:rsid w:val="001E182C"/>
    <w:rsid w:val="001E3B27"/>
    <w:rsid w:val="00225598"/>
    <w:rsid w:val="00226089"/>
    <w:rsid w:val="00257328"/>
    <w:rsid w:val="00264EA5"/>
    <w:rsid w:val="00266ACD"/>
    <w:rsid w:val="00266FA3"/>
    <w:rsid w:val="00270673"/>
    <w:rsid w:val="00270682"/>
    <w:rsid w:val="0028111A"/>
    <w:rsid w:val="002832DF"/>
    <w:rsid w:val="00285DFE"/>
    <w:rsid w:val="00295D4F"/>
    <w:rsid w:val="002A1482"/>
    <w:rsid w:val="002A4C90"/>
    <w:rsid w:val="002C0996"/>
    <w:rsid w:val="002C0E60"/>
    <w:rsid w:val="002C178A"/>
    <w:rsid w:val="002D1F17"/>
    <w:rsid w:val="002D2F48"/>
    <w:rsid w:val="002D37BC"/>
    <w:rsid w:val="002E1C34"/>
    <w:rsid w:val="002F206E"/>
    <w:rsid w:val="003127E9"/>
    <w:rsid w:val="0031296E"/>
    <w:rsid w:val="003160B4"/>
    <w:rsid w:val="00322716"/>
    <w:rsid w:val="003343B6"/>
    <w:rsid w:val="00335094"/>
    <w:rsid w:val="003459BB"/>
    <w:rsid w:val="00346260"/>
    <w:rsid w:val="00354931"/>
    <w:rsid w:val="00356B9E"/>
    <w:rsid w:val="00361E3E"/>
    <w:rsid w:val="00370415"/>
    <w:rsid w:val="00375DE3"/>
    <w:rsid w:val="003918EF"/>
    <w:rsid w:val="00394D4F"/>
    <w:rsid w:val="003A56E5"/>
    <w:rsid w:val="003A64C5"/>
    <w:rsid w:val="003B74A9"/>
    <w:rsid w:val="003C14E3"/>
    <w:rsid w:val="003C55BF"/>
    <w:rsid w:val="003D0BFE"/>
    <w:rsid w:val="003D6A96"/>
    <w:rsid w:val="003E04CC"/>
    <w:rsid w:val="00401893"/>
    <w:rsid w:val="004037C2"/>
    <w:rsid w:val="00405122"/>
    <w:rsid w:val="004224D1"/>
    <w:rsid w:val="00427AE4"/>
    <w:rsid w:val="004323F4"/>
    <w:rsid w:val="00433904"/>
    <w:rsid w:val="004540CE"/>
    <w:rsid w:val="00464962"/>
    <w:rsid w:val="00480686"/>
    <w:rsid w:val="004A71FF"/>
    <w:rsid w:val="004B20A2"/>
    <w:rsid w:val="004B3143"/>
    <w:rsid w:val="004B7179"/>
    <w:rsid w:val="004C356E"/>
    <w:rsid w:val="004C59BC"/>
    <w:rsid w:val="004E4613"/>
    <w:rsid w:val="004E46CE"/>
    <w:rsid w:val="004F3671"/>
    <w:rsid w:val="004F738D"/>
    <w:rsid w:val="005006DA"/>
    <w:rsid w:val="00522267"/>
    <w:rsid w:val="005225D6"/>
    <w:rsid w:val="0052431D"/>
    <w:rsid w:val="00534FAB"/>
    <w:rsid w:val="005471D4"/>
    <w:rsid w:val="00551993"/>
    <w:rsid w:val="005556F3"/>
    <w:rsid w:val="00555B06"/>
    <w:rsid w:val="005569B4"/>
    <w:rsid w:val="00560385"/>
    <w:rsid w:val="005611AE"/>
    <w:rsid w:val="00571AE9"/>
    <w:rsid w:val="005818FB"/>
    <w:rsid w:val="005841F9"/>
    <w:rsid w:val="0058545C"/>
    <w:rsid w:val="00592B2C"/>
    <w:rsid w:val="00593816"/>
    <w:rsid w:val="005A0EAA"/>
    <w:rsid w:val="005B4BC5"/>
    <w:rsid w:val="005C27F9"/>
    <w:rsid w:val="005C4318"/>
    <w:rsid w:val="005C7827"/>
    <w:rsid w:val="005E2514"/>
    <w:rsid w:val="005E5032"/>
    <w:rsid w:val="005F13CF"/>
    <w:rsid w:val="005F28DF"/>
    <w:rsid w:val="00603906"/>
    <w:rsid w:val="00604F99"/>
    <w:rsid w:val="00612838"/>
    <w:rsid w:val="0061606B"/>
    <w:rsid w:val="006177AD"/>
    <w:rsid w:val="00623009"/>
    <w:rsid w:val="00630141"/>
    <w:rsid w:val="006355F5"/>
    <w:rsid w:val="00635646"/>
    <w:rsid w:val="00637F34"/>
    <w:rsid w:val="006579D8"/>
    <w:rsid w:val="00664DCE"/>
    <w:rsid w:val="006725C6"/>
    <w:rsid w:val="00676CF8"/>
    <w:rsid w:val="006903B0"/>
    <w:rsid w:val="00690756"/>
    <w:rsid w:val="00691777"/>
    <w:rsid w:val="006A087B"/>
    <w:rsid w:val="006A1692"/>
    <w:rsid w:val="006A52B7"/>
    <w:rsid w:val="006A5569"/>
    <w:rsid w:val="006A5BAB"/>
    <w:rsid w:val="006A6C3E"/>
    <w:rsid w:val="006C2779"/>
    <w:rsid w:val="006D0598"/>
    <w:rsid w:val="006D1F99"/>
    <w:rsid w:val="006D7D62"/>
    <w:rsid w:val="006F2716"/>
    <w:rsid w:val="00702B0A"/>
    <w:rsid w:val="0071354C"/>
    <w:rsid w:val="007137B8"/>
    <w:rsid w:val="00726AAD"/>
    <w:rsid w:val="007413C6"/>
    <w:rsid w:val="00754831"/>
    <w:rsid w:val="00765D32"/>
    <w:rsid w:val="00770288"/>
    <w:rsid w:val="00776F5B"/>
    <w:rsid w:val="007772CB"/>
    <w:rsid w:val="007852F2"/>
    <w:rsid w:val="00785488"/>
    <w:rsid w:val="00785BE0"/>
    <w:rsid w:val="007923F8"/>
    <w:rsid w:val="007A22C9"/>
    <w:rsid w:val="007A3397"/>
    <w:rsid w:val="007B5E71"/>
    <w:rsid w:val="007C3B3E"/>
    <w:rsid w:val="007C6AA6"/>
    <w:rsid w:val="00805709"/>
    <w:rsid w:val="00810FFE"/>
    <w:rsid w:val="00833640"/>
    <w:rsid w:val="00845A2F"/>
    <w:rsid w:val="00850271"/>
    <w:rsid w:val="00852E65"/>
    <w:rsid w:val="00870656"/>
    <w:rsid w:val="00872605"/>
    <w:rsid w:val="00884E52"/>
    <w:rsid w:val="00892573"/>
    <w:rsid w:val="00893C6E"/>
    <w:rsid w:val="0089479A"/>
    <w:rsid w:val="008A1F05"/>
    <w:rsid w:val="008A26E6"/>
    <w:rsid w:val="008A591D"/>
    <w:rsid w:val="008A6854"/>
    <w:rsid w:val="008B1B5B"/>
    <w:rsid w:val="008B35DA"/>
    <w:rsid w:val="008B3A3E"/>
    <w:rsid w:val="008B45B5"/>
    <w:rsid w:val="008C52A2"/>
    <w:rsid w:val="008C6180"/>
    <w:rsid w:val="008D0760"/>
    <w:rsid w:val="008E6953"/>
    <w:rsid w:val="008F1927"/>
    <w:rsid w:val="008F53C2"/>
    <w:rsid w:val="008F5CB0"/>
    <w:rsid w:val="008F7901"/>
    <w:rsid w:val="008F7D88"/>
    <w:rsid w:val="00903B9A"/>
    <w:rsid w:val="009057FA"/>
    <w:rsid w:val="0090595D"/>
    <w:rsid w:val="0091061B"/>
    <w:rsid w:val="00911C63"/>
    <w:rsid w:val="00917856"/>
    <w:rsid w:val="00920644"/>
    <w:rsid w:val="009368A6"/>
    <w:rsid w:val="00941A0D"/>
    <w:rsid w:val="009435EA"/>
    <w:rsid w:val="009444D6"/>
    <w:rsid w:val="00945C0E"/>
    <w:rsid w:val="0095497C"/>
    <w:rsid w:val="009551C8"/>
    <w:rsid w:val="009564B2"/>
    <w:rsid w:val="009643AC"/>
    <w:rsid w:val="00966DF5"/>
    <w:rsid w:val="00971152"/>
    <w:rsid w:val="00977A84"/>
    <w:rsid w:val="00980C27"/>
    <w:rsid w:val="009916AA"/>
    <w:rsid w:val="009961C2"/>
    <w:rsid w:val="0099735E"/>
    <w:rsid w:val="009A2C06"/>
    <w:rsid w:val="009A3945"/>
    <w:rsid w:val="009A50CB"/>
    <w:rsid w:val="009B2022"/>
    <w:rsid w:val="009C57C2"/>
    <w:rsid w:val="009F4A40"/>
    <w:rsid w:val="009F6C6D"/>
    <w:rsid w:val="009F715E"/>
    <w:rsid w:val="009F7A42"/>
    <w:rsid w:val="00A06A3F"/>
    <w:rsid w:val="00A06B22"/>
    <w:rsid w:val="00A17511"/>
    <w:rsid w:val="00A201B6"/>
    <w:rsid w:val="00A31722"/>
    <w:rsid w:val="00A3753B"/>
    <w:rsid w:val="00A409A7"/>
    <w:rsid w:val="00A417F9"/>
    <w:rsid w:val="00A47500"/>
    <w:rsid w:val="00A6632A"/>
    <w:rsid w:val="00A676D1"/>
    <w:rsid w:val="00A73ACF"/>
    <w:rsid w:val="00A7494A"/>
    <w:rsid w:val="00A75B15"/>
    <w:rsid w:val="00A76871"/>
    <w:rsid w:val="00A87409"/>
    <w:rsid w:val="00A90542"/>
    <w:rsid w:val="00A905F9"/>
    <w:rsid w:val="00AA0874"/>
    <w:rsid w:val="00AA4DA8"/>
    <w:rsid w:val="00AC63BD"/>
    <w:rsid w:val="00AC77F7"/>
    <w:rsid w:val="00AD101F"/>
    <w:rsid w:val="00AD314F"/>
    <w:rsid w:val="00AD4CEC"/>
    <w:rsid w:val="00AE092E"/>
    <w:rsid w:val="00AF2226"/>
    <w:rsid w:val="00AF3525"/>
    <w:rsid w:val="00B07EA6"/>
    <w:rsid w:val="00B2274C"/>
    <w:rsid w:val="00B31203"/>
    <w:rsid w:val="00B3761B"/>
    <w:rsid w:val="00B400E3"/>
    <w:rsid w:val="00B406E9"/>
    <w:rsid w:val="00B423B2"/>
    <w:rsid w:val="00B42671"/>
    <w:rsid w:val="00B47886"/>
    <w:rsid w:val="00B5113D"/>
    <w:rsid w:val="00B52537"/>
    <w:rsid w:val="00B61727"/>
    <w:rsid w:val="00B618D9"/>
    <w:rsid w:val="00B73882"/>
    <w:rsid w:val="00B77BA7"/>
    <w:rsid w:val="00B81F4D"/>
    <w:rsid w:val="00B90F2D"/>
    <w:rsid w:val="00BB3DA8"/>
    <w:rsid w:val="00BB3E70"/>
    <w:rsid w:val="00BC02D9"/>
    <w:rsid w:val="00BC17D8"/>
    <w:rsid w:val="00BC182D"/>
    <w:rsid w:val="00BC2D62"/>
    <w:rsid w:val="00BD131F"/>
    <w:rsid w:val="00BE378C"/>
    <w:rsid w:val="00BE44C4"/>
    <w:rsid w:val="00C0284B"/>
    <w:rsid w:val="00C21F5B"/>
    <w:rsid w:val="00C2225C"/>
    <w:rsid w:val="00C24FD5"/>
    <w:rsid w:val="00C267F7"/>
    <w:rsid w:val="00C357CD"/>
    <w:rsid w:val="00C511B8"/>
    <w:rsid w:val="00C57E9A"/>
    <w:rsid w:val="00C652DC"/>
    <w:rsid w:val="00C6642B"/>
    <w:rsid w:val="00C71654"/>
    <w:rsid w:val="00C8066C"/>
    <w:rsid w:val="00C81EC9"/>
    <w:rsid w:val="00C82BAC"/>
    <w:rsid w:val="00C82BB6"/>
    <w:rsid w:val="00C87A17"/>
    <w:rsid w:val="00CA2530"/>
    <w:rsid w:val="00CA3AC4"/>
    <w:rsid w:val="00CA608C"/>
    <w:rsid w:val="00CB2797"/>
    <w:rsid w:val="00CD3967"/>
    <w:rsid w:val="00CF2A88"/>
    <w:rsid w:val="00CF6AF8"/>
    <w:rsid w:val="00D06DD5"/>
    <w:rsid w:val="00D22622"/>
    <w:rsid w:val="00D25DDD"/>
    <w:rsid w:val="00D3125E"/>
    <w:rsid w:val="00D557B0"/>
    <w:rsid w:val="00D6368E"/>
    <w:rsid w:val="00D71E77"/>
    <w:rsid w:val="00D72E87"/>
    <w:rsid w:val="00D73399"/>
    <w:rsid w:val="00D95935"/>
    <w:rsid w:val="00DA405F"/>
    <w:rsid w:val="00DB09FD"/>
    <w:rsid w:val="00DC26CC"/>
    <w:rsid w:val="00DC4435"/>
    <w:rsid w:val="00DC5B87"/>
    <w:rsid w:val="00DD22D3"/>
    <w:rsid w:val="00DD28DF"/>
    <w:rsid w:val="00E005ED"/>
    <w:rsid w:val="00E128BF"/>
    <w:rsid w:val="00E14DE9"/>
    <w:rsid w:val="00E26DBC"/>
    <w:rsid w:val="00E35371"/>
    <w:rsid w:val="00E4183B"/>
    <w:rsid w:val="00E476CD"/>
    <w:rsid w:val="00E57644"/>
    <w:rsid w:val="00E6058E"/>
    <w:rsid w:val="00E6351A"/>
    <w:rsid w:val="00E71334"/>
    <w:rsid w:val="00E75D86"/>
    <w:rsid w:val="00EA20F6"/>
    <w:rsid w:val="00EA38D0"/>
    <w:rsid w:val="00EA5528"/>
    <w:rsid w:val="00EA5AE1"/>
    <w:rsid w:val="00EC0A2A"/>
    <w:rsid w:val="00ED7681"/>
    <w:rsid w:val="00EE1451"/>
    <w:rsid w:val="00EE58C0"/>
    <w:rsid w:val="00EE5D90"/>
    <w:rsid w:val="00EF0B60"/>
    <w:rsid w:val="00EF78DA"/>
    <w:rsid w:val="00F010BA"/>
    <w:rsid w:val="00F025E6"/>
    <w:rsid w:val="00F045C7"/>
    <w:rsid w:val="00F055F9"/>
    <w:rsid w:val="00F05917"/>
    <w:rsid w:val="00F10BA6"/>
    <w:rsid w:val="00F242B4"/>
    <w:rsid w:val="00F5620A"/>
    <w:rsid w:val="00F562F1"/>
    <w:rsid w:val="00F623C3"/>
    <w:rsid w:val="00F62AA4"/>
    <w:rsid w:val="00F667DD"/>
    <w:rsid w:val="00F709D8"/>
    <w:rsid w:val="00FA318B"/>
    <w:rsid w:val="00FA374C"/>
    <w:rsid w:val="00FA6C75"/>
    <w:rsid w:val="00FB794B"/>
    <w:rsid w:val="00FB7E54"/>
    <w:rsid w:val="00FC0BAF"/>
    <w:rsid w:val="00FC519F"/>
    <w:rsid w:val="00FD3FE4"/>
    <w:rsid w:val="00FE0D9F"/>
    <w:rsid w:val="00FE30EC"/>
    <w:rsid w:val="00FF36E0"/>
    <w:rsid w:val="00FF4B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8F1127"/>
  <w15:chartTrackingRefBased/>
  <w15:docId w15:val="{BFD3AA40-C531-4268-90B8-145079796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4A71FF"/>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paragraph" w:styleId="FootnoteText">
    <w:name w:val="footnote text"/>
    <w:basedOn w:val="Normal"/>
    <w:link w:val="FootnoteTextChar"/>
    <w:uiPriority w:val="99"/>
    <w:unhideWhenUsed/>
    <w:rsid w:val="004A71FF"/>
    <w:pPr>
      <w:widowControl w:val="0"/>
      <w:suppressAutoHyphens/>
      <w:autoSpaceDN w:val="0"/>
      <w:spacing w:after="0" w:line="240" w:lineRule="auto"/>
      <w:textAlignment w:val="baseline"/>
    </w:pPr>
    <w:rPr>
      <w:rFonts w:ascii="Times New Roman" w:eastAsia="SimSun" w:hAnsi="Times New Roman" w:cs="Mangal"/>
      <w:kern w:val="3"/>
      <w:sz w:val="20"/>
      <w:szCs w:val="18"/>
      <w:lang w:eastAsia="zh-CN" w:bidi="hi-IN"/>
    </w:rPr>
  </w:style>
  <w:style w:type="character" w:customStyle="1" w:styleId="FootnoteTextChar">
    <w:name w:val="Footnote Text Char"/>
    <w:basedOn w:val="DefaultParagraphFont"/>
    <w:link w:val="FootnoteText"/>
    <w:uiPriority w:val="99"/>
    <w:semiHidden/>
    <w:rsid w:val="004A71FF"/>
    <w:rPr>
      <w:rFonts w:ascii="Times New Roman" w:eastAsia="SimSun" w:hAnsi="Times New Roman" w:cs="Mangal"/>
      <w:kern w:val="3"/>
      <w:sz w:val="20"/>
      <w:szCs w:val="18"/>
      <w:lang w:eastAsia="zh-CN" w:bidi="hi-IN"/>
    </w:rPr>
  </w:style>
  <w:style w:type="character" w:styleId="FootnoteReference">
    <w:name w:val="footnote reference"/>
    <w:basedOn w:val="DefaultParagraphFont"/>
    <w:uiPriority w:val="99"/>
    <w:unhideWhenUsed/>
    <w:rsid w:val="004A71FF"/>
    <w:rPr>
      <w:vertAlign w:val="superscript"/>
    </w:rPr>
  </w:style>
  <w:style w:type="paragraph" w:styleId="NormalWeb">
    <w:name w:val="Normal (Web)"/>
    <w:basedOn w:val="Normal"/>
    <w:uiPriority w:val="99"/>
    <w:semiHidden/>
    <w:unhideWhenUsed/>
    <w:rsid w:val="004A71F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A26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6E6"/>
    <w:rPr>
      <w:rFonts w:ascii="Segoe UI" w:hAnsi="Segoe UI" w:cs="Segoe UI"/>
      <w:sz w:val="18"/>
      <w:szCs w:val="18"/>
    </w:rPr>
  </w:style>
  <w:style w:type="paragraph" w:customStyle="1" w:styleId="Textbody">
    <w:name w:val="Text body"/>
    <w:basedOn w:val="Normal"/>
    <w:rsid w:val="00754831"/>
    <w:pPr>
      <w:widowControl w:val="0"/>
      <w:suppressAutoHyphens/>
      <w:autoSpaceDN w:val="0"/>
      <w:spacing w:after="120" w:line="240" w:lineRule="auto"/>
      <w:textAlignment w:val="baseline"/>
    </w:pPr>
    <w:rPr>
      <w:rFonts w:ascii="Times New Roman" w:eastAsia="SimSun" w:hAnsi="Times New Roman" w:cs="Arial"/>
      <w:kern w:val="3"/>
      <w:sz w:val="24"/>
      <w:szCs w:val="24"/>
      <w:lang w:eastAsia="zh-CN" w:bidi="hi-IN"/>
    </w:rPr>
  </w:style>
  <w:style w:type="paragraph" w:styleId="Caption">
    <w:name w:val="caption"/>
    <w:basedOn w:val="Normal"/>
    <w:uiPriority w:val="35"/>
    <w:qFormat/>
    <w:rsid w:val="00754831"/>
    <w:pPr>
      <w:widowControl w:val="0"/>
      <w:suppressLineNumbers/>
      <w:suppressAutoHyphens/>
      <w:autoSpaceDN w:val="0"/>
      <w:spacing w:before="120" w:after="120" w:line="240" w:lineRule="auto"/>
      <w:textAlignment w:val="baseline"/>
    </w:pPr>
    <w:rPr>
      <w:rFonts w:ascii="Times New Roman" w:eastAsia="SimSun" w:hAnsi="Times New Roman" w:cs="Arial"/>
      <w:i/>
      <w:iCs/>
      <w:kern w:val="3"/>
      <w:sz w:val="24"/>
      <w:szCs w:val="24"/>
      <w:lang w:eastAsia="zh-CN" w:bidi="hi-IN"/>
    </w:rPr>
  </w:style>
  <w:style w:type="character" w:styleId="PlaceholderText">
    <w:name w:val="Placeholder Text"/>
    <w:basedOn w:val="DefaultParagraphFont"/>
    <w:uiPriority w:val="99"/>
    <w:semiHidden/>
    <w:rsid w:val="002D2F48"/>
    <w:rPr>
      <w:color w:val="808080"/>
    </w:rPr>
  </w:style>
  <w:style w:type="paragraph" w:styleId="ListParagraph">
    <w:name w:val="List Paragraph"/>
    <w:basedOn w:val="Normal"/>
    <w:uiPriority w:val="34"/>
    <w:qFormat/>
    <w:rsid w:val="00770288"/>
    <w:pPr>
      <w:ind w:left="720"/>
      <w:contextualSpacing/>
    </w:pPr>
  </w:style>
  <w:style w:type="character" w:styleId="Hyperlink">
    <w:name w:val="Hyperlink"/>
    <w:basedOn w:val="DefaultParagraphFont"/>
    <w:uiPriority w:val="99"/>
    <w:unhideWhenUsed/>
    <w:rsid w:val="00770288"/>
    <w:rPr>
      <w:color w:val="0563C1" w:themeColor="hyperlink"/>
      <w:u w:val="single"/>
    </w:rPr>
  </w:style>
  <w:style w:type="character" w:styleId="UnresolvedMention">
    <w:name w:val="Unresolved Mention"/>
    <w:basedOn w:val="DefaultParagraphFont"/>
    <w:uiPriority w:val="99"/>
    <w:semiHidden/>
    <w:unhideWhenUsed/>
    <w:rsid w:val="00770288"/>
    <w:rPr>
      <w:color w:val="605E5C"/>
      <w:shd w:val="clear" w:color="auto" w:fill="E1DFDD"/>
    </w:rPr>
  </w:style>
  <w:style w:type="character" w:customStyle="1" w:styleId="FootnoteCharacters">
    <w:name w:val="Footnote Characters"/>
    <w:rsid w:val="009C57C2"/>
  </w:style>
  <w:style w:type="character" w:styleId="FollowedHyperlink">
    <w:name w:val="FollowedHyperlink"/>
    <w:basedOn w:val="DefaultParagraphFont"/>
    <w:uiPriority w:val="99"/>
    <w:semiHidden/>
    <w:unhideWhenUsed/>
    <w:rsid w:val="00BB3E70"/>
    <w:rPr>
      <w:color w:val="954F72" w:themeColor="followedHyperlink"/>
      <w:u w:val="single"/>
    </w:rPr>
  </w:style>
  <w:style w:type="character" w:styleId="EndnoteReference">
    <w:name w:val="endnote reference"/>
    <w:basedOn w:val="DefaultParagraphFont"/>
    <w:uiPriority w:val="99"/>
    <w:semiHidden/>
    <w:unhideWhenUsed/>
    <w:rsid w:val="00CD3967"/>
    <w:rPr>
      <w:vertAlign w:val="superscript"/>
    </w:rPr>
  </w:style>
  <w:style w:type="paragraph" w:styleId="Header">
    <w:name w:val="header"/>
    <w:basedOn w:val="Normal"/>
    <w:link w:val="HeaderChar"/>
    <w:uiPriority w:val="99"/>
    <w:unhideWhenUsed/>
    <w:rsid w:val="00884E52"/>
    <w:pPr>
      <w:widowControl w:val="0"/>
      <w:tabs>
        <w:tab w:val="center" w:pos="4513"/>
        <w:tab w:val="right" w:pos="9026"/>
      </w:tabs>
      <w:suppressAutoHyphens/>
      <w:spacing w:after="0" w:line="240" w:lineRule="auto"/>
    </w:pPr>
    <w:rPr>
      <w:rFonts w:ascii="Times New Roman" w:eastAsia="SimSun" w:hAnsi="Times New Roman" w:cs="Mangal"/>
      <w:kern w:val="1"/>
      <w:sz w:val="24"/>
      <w:szCs w:val="21"/>
      <w:lang w:eastAsia="hi-IN" w:bidi="hi-IN"/>
    </w:rPr>
  </w:style>
  <w:style w:type="character" w:customStyle="1" w:styleId="HeaderChar">
    <w:name w:val="Header Char"/>
    <w:basedOn w:val="DefaultParagraphFont"/>
    <w:link w:val="Header"/>
    <w:uiPriority w:val="99"/>
    <w:rsid w:val="00884E52"/>
    <w:rPr>
      <w:rFonts w:ascii="Times New Roman" w:eastAsia="SimSun" w:hAnsi="Times New Roman" w:cs="Mangal"/>
      <w:kern w:val="1"/>
      <w:sz w:val="24"/>
      <w:szCs w:val="21"/>
      <w:lang w:eastAsia="hi-IN" w:bidi="hi-IN"/>
    </w:rPr>
  </w:style>
  <w:style w:type="paragraph" w:styleId="Footer">
    <w:name w:val="footer"/>
    <w:basedOn w:val="Normal"/>
    <w:link w:val="FooterChar"/>
    <w:uiPriority w:val="99"/>
    <w:unhideWhenUsed/>
    <w:rsid w:val="00884E52"/>
    <w:pPr>
      <w:widowControl w:val="0"/>
      <w:tabs>
        <w:tab w:val="center" w:pos="4513"/>
        <w:tab w:val="right" w:pos="9026"/>
      </w:tabs>
      <w:suppressAutoHyphens/>
      <w:spacing w:after="0" w:line="240" w:lineRule="auto"/>
    </w:pPr>
    <w:rPr>
      <w:rFonts w:ascii="Times New Roman" w:eastAsia="SimSun" w:hAnsi="Times New Roman" w:cs="Mangal"/>
      <w:kern w:val="1"/>
      <w:sz w:val="24"/>
      <w:szCs w:val="21"/>
      <w:lang w:eastAsia="hi-IN" w:bidi="hi-IN"/>
    </w:rPr>
  </w:style>
  <w:style w:type="character" w:customStyle="1" w:styleId="FooterChar">
    <w:name w:val="Footer Char"/>
    <w:basedOn w:val="DefaultParagraphFont"/>
    <w:link w:val="Footer"/>
    <w:uiPriority w:val="99"/>
    <w:rsid w:val="00884E52"/>
    <w:rPr>
      <w:rFonts w:ascii="Times New Roman" w:eastAsia="SimSun" w:hAnsi="Times New Roman" w:cs="Mangal"/>
      <w:kern w:val="1"/>
      <w:sz w:val="24"/>
      <w:szCs w:val="2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sv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sv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svg"/><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image" Target="media/image25.png"/><Relationship Id="rId37" Type="http://schemas.openxmlformats.org/officeDocument/2006/relationships/image" Target="media/image30.svg"/><Relationship Id="rId40" Type="http://schemas.openxmlformats.org/officeDocument/2006/relationships/image" Target="media/image33.png"/><Relationship Id="rId45" Type="http://schemas.openxmlformats.org/officeDocument/2006/relationships/image" Target="media/image38.sv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svg"/><Relationship Id="rId48" Type="http://schemas.openxmlformats.org/officeDocument/2006/relationships/image" Target="media/image41.svg"/><Relationship Id="rId56" Type="http://schemas.openxmlformats.org/officeDocument/2006/relationships/image" Target="media/image49.sv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svg"/><Relationship Id="rId54" Type="http://schemas.openxmlformats.org/officeDocument/2006/relationships/image" Target="media/image47.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A68F3-F573-4CAD-BB34-514123C89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90</Pages>
  <Words>89118</Words>
  <Characters>507978</Characters>
  <Application>Microsoft Office Word</Application>
  <DocSecurity>0</DocSecurity>
  <Lines>4233</Lines>
  <Paragraphs>1191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5</cp:revision>
  <cp:lastPrinted>2020-11-19T10:00:00Z</cp:lastPrinted>
  <dcterms:created xsi:type="dcterms:W3CDTF">2020-12-09T19:41:00Z</dcterms:created>
  <dcterms:modified xsi:type="dcterms:W3CDTF">2021-01-22T14:16:00Z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