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C35173">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C35173">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C3517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C3517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C3517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65512A6C"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F906FA">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E0AE270"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F906FA">
            <w:rPr>
              <w:noProof/>
            </w:rPr>
            <w:t>[2]</w:t>
          </w:r>
          <w:r w:rsidR="006051D8">
            <w:fldChar w:fldCharType="end"/>
          </w:r>
        </w:sdtContent>
      </w:sdt>
    </w:p>
    <w:p w14:paraId="138C0CA8" w14:textId="5B24D9CE"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F906FA">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F906FA">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56FED254"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F906FA">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43624A17"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w:t>
      </w:r>
      <w:proofErr w:type="spellStart"/>
      <w:r w:rsidRPr="00694829">
        <w:t>Ruddle</w:t>
      </w:r>
      <w:proofErr w:type="spellEnd"/>
      <w:r w:rsidRPr="00694829">
        <w:t xml:space="preserve"> &amp; </w:t>
      </w:r>
      <w:proofErr w:type="spellStart"/>
      <w:r w:rsidRPr="00694829">
        <w:t>Lessels</w:t>
      </w:r>
      <w:proofErr w:type="spellEnd"/>
      <w:r w:rsidRPr="00694829">
        <w:t xml:space="preserve">,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w:t>
      </w:r>
      <w:proofErr w:type="spellStart"/>
      <w:r w:rsidRPr="00694829">
        <w:t>Stanney</w:t>
      </w:r>
      <w:proofErr w:type="spellEnd"/>
      <w:r w:rsidRPr="00694829">
        <w:t xml:space="preserve">, 2014). </w:t>
      </w:r>
      <w:proofErr w:type="spellStart"/>
      <w:r w:rsidRPr="00694829">
        <w:t>Locomotion</w:t>
      </w:r>
      <w:proofErr w:type="spellEnd"/>
      <w:r w:rsidRPr="00694829">
        <w:t xml:space="preserve">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 xml:space="preserve">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w:t>
      </w:r>
      <w:proofErr w:type="spellStart"/>
      <w:r w:rsidRPr="00694829">
        <w:t>Kitson</w:t>
      </w:r>
      <w:proofErr w:type="spellEnd"/>
      <w:r w:rsidRPr="00694829">
        <w:t xml:space="preserve">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F906FA">
            <w:rPr>
              <w:noProof/>
            </w:rPr>
            <w:t>[6]</w:t>
          </w:r>
          <w:r w:rsidR="000A1697">
            <w:fldChar w:fldCharType="end"/>
          </w:r>
        </w:sdtContent>
      </w:sdt>
    </w:p>
    <w:p w14:paraId="3774E62B" w14:textId="77777777" w:rsidR="00FE23F2" w:rsidRDefault="00FE23F2" w:rsidP="00694829"/>
    <w:p w14:paraId="12A855FC" w14:textId="1CD854D3"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w:t>
      </w:r>
      <w:proofErr w:type="spellStart"/>
      <w:r w:rsidR="00A11F7C">
        <w:t>Chernie</w:t>
      </w:r>
      <w:proofErr w:type="spellEnd"/>
      <w:r w:rsidR="00A11F7C">
        <w:t xml:space="preserv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F906FA">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r w:rsidR="00C10486">
        <w:fldChar w:fldCharType="begin"/>
      </w:r>
      <w:r w:rsidR="00C10486">
        <w:instrText xml:space="preserve"> SEQ Abb. \* ARABIC </w:instrText>
      </w:r>
      <w:r w:rsidR="00C10486">
        <w:fldChar w:fldCharType="separate"/>
      </w:r>
      <w:r>
        <w:rPr>
          <w:noProof/>
        </w:rPr>
        <w:t>1</w:t>
      </w:r>
      <w:r w:rsidR="00C10486">
        <w:rPr>
          <w:noProof/>
        </w:rPr>
        <w:fldChar w:fldCharType="end"/>
      </w:r>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302F9825"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F906FA">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087D4AA3"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F906FA">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F906FA">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F906FA">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F906FA">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F906FA">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F906FA">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F906FA">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F906FA">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proofErr w:type="spellStart"/>
      <w:r>
        <w:t>Redirected</w:t>
      </w:r>
      <w:proofErr w:type="spellEnd"/>
      <w:r>
        <w:t xml:space="preserve"> Walking</w:t>
      </w:r>
      <w:bookmarkEnd w:id="22"/>
      <w:bookmarkEnd w:id="23"/>
    </w:p>
    <w:p w14:paraId="78DF7DE2" w14:textId="7F10BD37"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F906FA">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F906FA">
            <w:rPr>
              <w:noProof/>
            </w:rPr>
            <w:t>[2]</w:t>
          </w:r>
          <w:r w:rsidR="004A31D5">
            <w:fldChar w:fldCharType="end"/>
          </w:r>
        </w:sdtContent>
      </w:sdt>
    </w:p>
    <w:p w14:paraId="7FA6B32A" w14:textId="4701FB32"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F906FA">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F906FA">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F906FA">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F906FA">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F906FA">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F906FA">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F906FA">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F906FA">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r w:rsidR="00C10486">
        <w:fldChar w:fldCharType="begin"/>
      </w:r>
      <w:r w:rsidR="00C10486">
        <w:instrText xml:space="preserve"> SEQ Abb. \* ARABIC </w:instrText>
      </w:r>
      <w:r w:rsidR="00C10486">
        <w:fldChar w:fldCharType="separate"/>
      </w:r>
      <w:r w:rsidR="008F1729">
        <w:rPr>
          <w:noProof/>
        </w:rPr>
        <w:t>2</w:t>
      </w:r>
      <w:r w:rsidR="00C10486">
        <w:rPr>
          <w:noProof/>
        </w:rPr>
        <w:fldChar w:fldCharType="end"/>
      </w:r>
      <w:r>
        <w:t>: Eine Taxonomie für Umleitungstechniken</w:t>
      </w:r>
      <w:bookmarkEnd w:id="24"/>
    </w:p>
    <w:p w14:paraId="1029191D" w14:textId="77777777" w:rsidR="005763A4" w:rsidRPr="005763A4" w:rsidRDefault="005763A4" w:rsidP="005763A4">
      <w:pPr>
        <w:pStyle w:val="Textkrper"/>
      </w:pPr>
    </w:p>
    <w:p w14:paraId="75F6650C" w14:textId="392355B3"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F906FA">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71AC36C6"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F906FA">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F906FA">
            <w:rPr>
              <w:noProof/>
            </w:rPr>
            <w:t>[20]</w:t>
          </w:r>
          <w:r w:rsidR="00CE3B43">
            <w:fldChar w:fldCharType="end"/>
          </w:r>
        </w:sdtContent>
      </w:sdt>
      <w:r w:rsidRPr="007754C5">
        <w:t xml:space="preserve">. </w:t>
      </w:r>
    </w:p>
    <w:p w14:paraId="4B3C2249" w14:textId="303B2A93"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F906FA">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F906FA">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F906FA">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629FE9D8"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F906FA">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F906FA">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F906FA">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3A964C17"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F906FA">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160AF87F"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F906FA">
            <w:rPr>
              <w:noProof/>
            </w:rPr>
            <w:t>[14]</w:t>
          </w:r>
          <w:r w:rsidR="00077F4A">
            <w:fldChar w:fldCharType="end"/>
          </w:r>
        </w:sdtContent>
      </w:sdt>
      <w:r w:rsidR="00077F4A">
        <w:t xml:space="preserve"> </w:t>
      </w:r>
    </w:p>
    <w:p w14:paraId="23701AE6" w14:textId="79AC56D8"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F906FA">
            <w:rPr>
              <w:noProof/>
            </w:rPr>
            <w:t>[23]</w:t>
          </w:r>
          <w:r>
            <w:fldChar w:fldCharType="end"/>
          </w:r>
        </w:sdtContent>
      </w:sdt>
    </w:p>
    <w:p w14:paraId="6A289F21" w14:textId="236A7F6E"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F906FA">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F906FA">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F906FA">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19271CFF"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F906FA">
            <w:rPr>
              <w:noProof/>
            </w:rPr>
            <w:t>[24]</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601665E5"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F906FA">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r w:rsidR="00C10486">
        <w:fldChar w:fldCharType="begin"/>
      </w:r>
      <w:r w:rsidR="00C10486">
        <w:instrText xml:space="preserve"> SEQ Abb. \* ARABIC </w:instrText>
      </w:r>
      <w:r w:rsidR="00C10486">
        <w:fldChar w:fldCharType="separate"/>
      </w:r>
      <w:r w:rsidR="008F1729">
        <w:rPr>
          <w:noProof/>
        </w:rPr>
        <w:t>3</w:t>
      </w:r>
      <w:r w:rsidR="00C10486">
        <w:rPr>
          <w:noProof/>
        </w:rPr>
        <w:fldChar w:fldCharType="end"/>
      </w:r>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1948C1A3"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F906FA">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27B79DFF"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F906FA">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r w:rsidR="00C10486">
        <w:fldChar w:fldCharType="begin"/>
      </w:r>
      <w:r w:rsidR="00C10486">
        <w:instrText xml:space="preserve"> SEQ Abb. \* ARABIC </w:instrText>
      </w:r>
      <w:r w:rsidR="00C10486">
        <w:fldChar w:fldCharType="separate"/>
      </w:r>
      <w:r w:rsidR="008F1729">
        <w:rPr>
          <w:noProof/>
        </w:rPr>
        <w:t>4</w:t>
      </w:r>
      <w:r w:rsidR="00C10486">
        <w:rPr>
          <w:noProof/>
        </w:rPr>
        <w:fldChar w:fldCharType="end"/>
      </w:r>
      <w:r>
        <w:t xml:space="preserve">: </w:t>
      </w:r>
      <w:proofErr w:type="spellStart"/>
      <w:r>
        <w:t>Redirected</w:t>
      </w:r>
      <w:proofErr w:type="spellEnd"/>
      <w:r>
        <w:t xml:space="preserve"> Walking</w:t>
      </w:r>
      <w:bookmarkEnd w:id="33"/>
    </w:p>
    <w:p w14:paraId="59DC6455" w14:textId="727F10FD" w:rsidR="006D1AF4" w:rsidRDefault="006D1AF4" w:rsidP="006D1AF4"/>
    <w:p w14:paraId="06A7A328" w14:textId="1ABA9CF4"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F906FA">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F906FA">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2CA2CA6F"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F906FA">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F906FA">
            <w:rPr>
              <w:noProof/>
            </w:rPr>
            <w:t>[14]</w:t>
          </w:r>
          <w:r w:rsidR="00F1449B">
            <w:fldChar w:fldCharType="end"/>
          </w:r>
        </w:sdtContent>
      </w:sdt>
      <w:r w:rsidR="004C4D26">
        <w:t>.</w:t>
      </w:r>
    </w:p>
    <w:p w14:paraId="3F9A5859" w14:textId="5253096A"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F906FA">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2D3D1954"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F906FA">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2F809783"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F906FA">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F906FA">
            <w:rPr>
              <w:noProof/>
            </w:rPr>
            <w:t>[14]</w:t>
          </w:r>
          <w:r w:rsidR="00663870">
            <w:fldChar w:fldCharType="end"/>
          </w:r>
        </w:sdtContent>
      </w:sdt>
      <w:r w:rsidR="00905051">
        <w:t xml:space="preserve">. </w:t>
      </w:r>
    </w:p>
    <w:p w14:paraId="240204A2" w14:textId="24CFBC02"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F906FA">
            <w:rPr>
              <w:noProof/>
            </w:rPr>
            <w:t>[27]</w:t>
          </w:r>
          <w:r w:rsidR="00A95A26">
            <w:fldChar w:fldCharType="end"/>
          </w:r>
        </w:sdtContent>
      </w:sdt>
    </w:p>
    <w:p w14:paraId="754D916A" w14:textId="452E04D3"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F906FA">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63BB8101"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F906FA">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F906FA">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r w:rsidR="00C10486">
        <w:fldChar w:fldCharType="begin"/>
      </w:r>
      <w:r w:rsidR="00C10486">
        <w:instrText xml:space="preserve"> SEQ Abb. \* ARABIC </w:instrText>
      </w:r>
      <w:r w:rsidR="00C10486">
        <w:fldChar w:fldCharType="separate"/>
      </w:r>
      <w:r w:rsidR="008F1729">
        <w:rPr>
          <w:noProof/>
        </w:rPr>
        <w:t>5</w:t>
      </w:r>
      <w:r w:rsidR="00C10486">
        <w:rPr>
          <w:noProof/>
        </w:rPr>
        <w:fldChar w:fldCharType="end"/>
      </w:r>
      <w:r>
        <w:t>: Diskreter Szenenwechsel</w:t>
      </w:r>
      <w:bookmarkEnd w:id="37"/>
    </w:p>
    <w:p w14:paraId="28C6E947" w14:textId="77777777" w:rsidR="006D1AF4" w:rsidRDefault="006D1AF4" w:rsidP="006167CE">
      <w:pPr>
        <w:rPr>
          <w:rStyle w:val="Hervorhebung"/>
        </w:rPr>
      </w:pPr>
    </w:p>
    <w:p w14:paraId="3603DBED" w14:textId="1D0D0150" w:rsidR="00C850A4" w:rsidRDefault="00C850A4" w:rsidP="00AB385E">
      <w:pPr>
        <w:pStyle w:val="berschrift4"/>
      </w:pPr>
      <w:bookmarkStart w:id="38" w:name="_Toc67318197"/>
      <w:r>
        <w:t>Walking-In-Place</w:t>
      </w:r>
      <w:bookmarkEnd w:id="38"/>
    </w:p>
    <w:p w14:paraId="78DC6274" w14:textId="1294604C"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F906FA">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F906FA">
            <w:rPr>
              <w:noProof/>
            </w:rPr>
            <w:t>[6]</w:t>
          </w:r>
          <w:r>
            <w:fldChar w:fldCharType="end"/>
          </w:r>
        </w:sdtContent>
      </w:sdt>
      <w:r w:rsidRPr="00ED5A32">
        <w:t>.</w:t>
      </w:r>
      <w:r w:rsidR="0019242C">
        <w:t xml:space="preserve"> </w:t>
      </w:r>
      <w:proofErr w:type="spellStart"/>
      <w:r w:rsidR="0019242C">
        <w:t>WiP</w:t>
      </w:r>
      <w:proofErr w:type="spellEnd"/>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F906FA">
            <w:rPr>
              <w:noProof/>
            </w:rPr>
            <w:t>[28]</w:t>
          </w:r>
          <w:r w:rsidR="00991E24">
            <w:fldChar w:fldCharType="end"/>
          </w:r>
        </w:sdtContent>
      </w:sdt>
      <w:r w:rsidR="00C62AD0">
        <w:t>.</w:t>
      </w:r>
    </w:p>
    <w:p w14:paraId="4F44E799" w14:textId="2D0641D5"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F906FA">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39" w:name="_Toc67318198"/>
      <w:r>
        <w:lastRenderedPageBreak/>
        <w:t>Physikalische Schnittstellen</w:t>
      </w:r>
      <w:bookmarkEnd w:id="39"/>
    </w:p>
    <w:p w14:paraId="3A07A376" w14:textId="0239861B"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F906FA">
            <w:rPr>
              <w:noProof/>
            </w:rPr>
            <w:t>[29]</w:t>
          </w:r>
          <w:r w:rsidR="00A37D13">
            <w:fldChar w:fldCharType="end"/>
          </w:r>
        </w:sdtContent>
      </w:sdt>
    </w:p>
    <w:p w14:paraId="50A0562E" w14:textId="57329AA8"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F906FA">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F906FA">
            <w:rPr>
              <w:noProof/>
            </w:rPr>
            <w:t>[30]</w:t>
          </w:r>
          <w:r w:rsidR="00753EC9">
            <w:fldChar w:fldCharType="end"/>
          </w:r>
        </w:sdtContent>
      </w:sdt>
      <w:r w:rsidR="00A56AB1">
        <w:t>.</w:t>
      </w:r>
    </w:p>
    <w:p w14:paraId="49AB3287" w14:textId="309AE147" w:rsidR="00FA29C0" w:rsidRDefault="00FA29C0" w:rsidP="00C850A4">
      <w:r w:rsidRPr="00FA29C0">
        <w:t xml:space="preserve">Der </w:t>
      </w:r>
      <w:proofErr w:type="spellStart"/>
      <w:r w:rsidRPr="00FA29C0">
        <w:t>Wizdish</w:t>
      </w:r>
      <w:proofErr w:type="spellEnd"/>
      <w:r w:rsidRPr="00FA29C0">
        <w:t xml:space="preserve"> </w:t>
      </w:r>
      <w:r>
        <w:t>(</w:t>
      </w:r>
      <w:r w:rsidRPr="00FA29C0">
        <w:t>34</w:t>
      </w:r>
      <w:r>
        <w:t>)</w:t>
      </w:r>
      <w:r w:rsidRPr="00FA29C0">
        <w:t xml:space="preserve"> stellt ein Beispiel dar, bei dem eine direkte Abbildung zwischen virtueller Fortbewegung und Interaktion mit einer physischen Schnittstelle besteht. Streng genommen ist der </w:t>
      </w:r>
      <w:proofErr w:type="spellStart"/>
      <w:r w:rsidRPr="00FA29C0">
        <w:t>Wizdish</w:t>
      </w:r>
      <w:proofErr w:type="spellEnd"/>
      <w:r w:rsidRPr="00FA29C0">
        <w:t xml:space="preserve"> keine physische Schnittstelle, da er auf einem Motion-Capture-System zur Erkennung der Bewegung des Benutzers beruht. Die Interaktion ist jedoch davon abhängig, dass die Geste über den </w:t>
      </w:r>
      <w:proofErr w:type="spellStart"/>
      <w:r w:rsidRPr="00FA29C0">
        <w:t>Wizdish</w:t>
      </w:r>
      <w:proofErr w:type="spellEnd"/>
      <w:r w:rsidRPr="00FA29C0">
        <w:t xml:space="preserve"> selbst ausgeführt wird. Die Oberfläche des </w:t>
      </w:r>
      <w:proofErr w:type="spellStart"/>
      <w:r w:rsidRPr="00FA29C0">
        <w:t>Wizdish</w:t>
      </w:r>
      <w:proofErr w:type="spellEnd"/>
      <w:r w:rsidRPr="00FA29C0">
        <w:t xml:space="preserve">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0" w:name="_Toc67318199"/>
      <w:r>
        <w:t>Motion Tracking</w:t>
      </w:r>
      <w:bookmarkEnd w:id="40"/>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w:t>
      </w:r>
      <w:proofErr w:type="spellStart"/>
      <w:r w:rsidRPr="004E37BF">
        <w:t>Treadmill</w:t>
      </w:r>
      <w:proofErr w:type="spellEnd"/>
      <w:r w:rsidRPr="004E37BF">
        <w:t xml:space="preserve">"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12180BD2" w:rsidR="004E37BF" w:rsidRPr="004E37BF" w:rsidRDefault="00C77DDF" w:rsidP="004E37BF">
      <w:r w:rsidRPr="00C77DDF">
        <w:t>Eine weitere Implementierung, die sich ebenfalls auf die Kopfbewegung stützt, ist die sogenannte Shake-</w:t>
      </w:r>
      <w:proofErr w:type="spellStart"/>
      <w:r w:rsidRPr="00C77DDF">
        <w:t>Your</w:t>
      </w:r>
      <w:proofErr w:type="spellEnd"/>
      <w:r w:rsidRPr="00C77DDF">
        <w:t xml:space="preserve">-Head-Technik, die von </w:t>
      </w:r>
      <w:proofErr w:type="spellStart"/>
      <w:r w:rsidRPr="00C77DDF">
        <w:t>Terziman</w:t>
      </w:r>
      <w:proofErr w:type="spellEnd"/>
      <w:r w:rsidRPr="00C77DDF">
        <w:t xml:space="preserve">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w:t>
      </w:r>
      <w:r w:rsidRPr="00C77DDF">
        <w:lastRenderedPageBreak/>
        <w:t>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F906FA">
            <w:rPr>
              <w:noProof/>
            </w:rPr>
            <w:t>[29]</w:t>
          </w:r>
          <w:r w:rsidR="004E37BF">
            <w:fldChar w:fldCharType="end"/>
          </w:r>
        </w:sdtContent>
      </w:sdt>
    </w:p>
    <w:p w14:paraId="3B39EBA8" w14:textId="77777777" w:rsidR="00C77DDF" w:rsidRDefault="00C77DDF" w:rsidP="00C850A4"/>
    <w:p w14:paraId="7BBFFCD1" w14:textId="3D2F52B9"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w:t>
      </w:r>
      <w:proofErr w:type="spellStart"/>
      <w:r w:rsidRPr="00BB6ACF">
        <w:t>Sidestep</w:t>
      </w:r>
      <w:proofErr w:type="spellEnd"/>
      <w:r w:rsidRPr="00BB6ACF">
        <w:t xml:space="preserve">-Gesten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F906FA">
            <w:rPr>
              <w:noProof/>
            </w:rPr>
            <w:t>[31]</w:t>
          </w:r>
          <w:r w:rsidR="002C494B">
            <w:fldChar w:fldCharType="end"/>
          </w:r>
        </w:sdtContent>
      </w:sdt>
    </w:p>
    <w:p w14:paraId="11DC36A8" w14:textId="450F97B2"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Bei dem sogenannten Tapping-In-Place 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F906FA">
            <w:rPr>
              <w:noProof/>
            </w:rPr>
            <w:t>[29]</w:t>
          </w:r>
          <w:r w:rsidR="00F31D34">
            <w:fldChar w:fldCharType="end"/>
          </w:r>
        </w:sdtContent>
      </w:sdt>
    </w:p>
    <w:p w14:paraId="2EE68E94" w14:textId="77777777" w:rsidR="0035129C" w:rsidRDefault="0035129C" w:rsidP="00C850A4"/>
    <w:p w14:paraId="16F816AF" w14:textId="5A3F6B64"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F906FA">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w:t>
      </w:r>
      <w:proofErr w:type="spellStart"/>
      <w:r w:rsidRPr="00385416">
        <w:t>Bozgeyikli</w:t>
      </w:r>
      <w:proofErr w:type="spellEnd"/>
      <w:r w:rsidRPr="00385416">
        <w:t xml:space="preserve"> et al., 2016b, 2016a; </w:t>
      </w:r>
      <w:proofErr w:type="spellStart"/>
      <w:r w:rsidRPr="00385416">
        <w:t>McCullough</w:t>
      </w:r>
      <w:proofErr w:type="spellEnd"/>
      <w:r w:rsidRPr="00385416">
        <w:t xml:space="preserve"> et al., 2015)</w:t>
      </w:r>
      <w:r w:rsidR="001649D9">
        <w:t xml:space="preserve">. </w:t>
      </w:r>
      <w:r w:rsidRPr="00385416">
        <w:t xml:space="preserve">Die Ergebnisse der Studien, die diese Fortbewegungsmethode mit anderen Methoden wie Armschwingen, </w:t>
      </w:r>
      <w:r w:rsidR="009E090B">
        <w:t xml:space="preserve">Point &amp; </w:t>
      </w:r>
      <w:proofErr w:type="spellStart"/>
      <w:r w:rsidR="009E090B">
        <w:t>Teleport</w:t>
      </w:r>
      <w:proofErr w:type="spellEnd"/>
      <w:r w:rsidRPr="00385416">
        <w:t xml:space="preserve">, </w:t>
      </w:r>
      <w:proofErr w:type="spellStart"/>
      <w:r w:rsidRPr="00385416">
        <w:t>lehnungsbasierte</w:t>
      </w:r>
      <w:proofErr w:type="spellEnd"/>
      <w:r w:rsidRPr="00385416">
        <w:t xml:space="preserv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4B7BD00B"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w:t>
      </w:r>
      <w:proofErr w:type="spellStart"/>
      <w:r w:rsidR="00385416" w:rsidRPr="00385416">
        <w:t>Mounted</w:t>
      </w:r>
      <w:proofErr w:type="spellEnd"/>
      <w:r w:rsidR="00385416" w:rsidRPr="00385416">
        <w:t xml:space="preserve"> Displays </w:t>
      </w:r>
      <w:sdt>
        <w:sdtPr>
          <w:id w:val="-172887296"/>
          <w:citation/>
        </w:sdtPr>
        <w:sdtEndPr/>
        <w:sdtContent>
          <w:r w:rsidR="00A52183">
            <w:fldChar w:fldCharType="begin"/>
          </w:r>
          <w:r w:rsidR="00A52183">
            <w:instrText xml:space="preserve"> CITATION Lee18 \l 1031 </w:instrText>
          </w:r>
          <w:r w:rsidR="00A52183">
            <w:fldChar w:fldCharType="separate"/>
          </w:r>
          <w:r w:rsidR="00F906FA">
            <w:rPr>
              <w:noProof/>
            </w:rPr>
            <w:t>[32]</w:t>
          </w:r>
          <w:r w:rsidR="00A52183">
            <w:fldChar w:fldCharType="end"/>
          </w:r>
        </w:sdtContent>
      </w:sdt>
      <w:r w:rsidR="00385416" w:rsidRPr="00385416">
        <w:t xml:space="preserve">. </w:t>
      </w:r>
    </w:p>
    <w:p w14:paraId="68B239DD" w14:textId="4C2E9595" w:rsidR="00B81BBF" w:rsidRDefault="00385416" w:rsidP="00EA5F68">
      <w:r w:rsidRPr="00385416">
        <w:lastRenderedPageBreak/>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F906FA">
            <w:rPr>
              <w:noProof/>
            </w:rPr>
            <w:t>[6]</w:t>
          </w:r>
          <w:r w:rsidR="00DA2F5C">
            <w:fldChar w:fldCharType="end"/>
          </w:r>
        </w:sdtContent>
      </w:sdt>
    </w:p>
    <w:p w14:paraId="4BC846BB" w14:textId="201549B4" w:rsidR="00CD6520" w:rsidRDefault="00CD6520" w:rsidP="00CD6520">
      <w:pPr>
        <w:pStyle w:val="berschrift4"/>
      </w:pPr>
      <w:bookmarkStart w:id="41" w:name="_Toc67318200"/>
      <w:proofErr w:type="spellStart"/>
      <w:r>
        <w:t>Abstahierte</w:t>
      </w:r>
      <w:proofErr w:type="spellEnd"/>
      <w:r>
        <w:t xml:space="preserve"> Schnittstelle</w:t>
      </w:r>
      <w:r w:rsidR="009678D8">
        <w:t xml:space="preserve"> des Gehens</w:t>
      </w:r>
      <w:bookmarkEnd w:id="41"/>
    </w:p>
    <w:p w14:paraId="6BB953F5" w14:textId="165DE86E" w:rsid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F906FA">
            <w:rPr>
              <w:noProof/>
            </w:rPr>
            <w:t>[2]</w:t>
          </w:r>
          <w:r w:rsidR="00F61189">
            <w:fldChar w:fldCharType="end"/>
          </w:r>
        </w:sdtContent>
      </w:sdt>
    </w:p>
    <w:p w14:paraId="09F68ADD" w14:textId="005D31ED" w:rsidR="00776089" w:rsidRDefault="00776089" w:rsidP="00776089">
      <w:pPr>
        <w:pStyle w:val="berschrift5"/>
      </w:pPr>
      <w:r>
        <w:t xml:space="preserve">Point &amp; </w:t>
      </w:r>
      <w:proofErr w:type="spellStart"/>
      <w:r>
        <w:t>Teleport</w:t>
      </w:r>
      <w:proofErr w:type="spellEnd"/>
    </w:p>
    <w:p w14:paraId="1250F90A" w14:textId="1C190143" w:rsidR="004072A9" w:rsidRPr="004072A9" w:rsidRDefault="004072A9" w:rsidP="004072A9">
      <w:r w:rsidRPr="004072A9">
        <w:t>Eine weitere Möglichkeit, in der virtuellen Realität zu reisen, die auf dem Arm des Benutzers zur Steuerung der Bewegungen in der virtuellen Umgebung basiert, ist eine Methode, die als "Point-and-Teleport-Technik" bezeichnet wird (im Gegensatz zur softwareautomatisierten Teleportation). Mit dieser Technik kann der Benutzer von einem Ort zu einem anderen reisen, indem er auf den Ort zeigt, zu dem er reisen möchte, und sich dann an der neuen Position befindet (siehe Abbildung 8). Der neue Ort, zu dem der Benutzer reisen möchte, wird oft als "Zielort" bezeichnet (</w:t>
      </w:r>
      <w:proofErr w:type="spellStart"/>
      <w:r w:rsidRPr="004072A9">
        <w:t>Bozgeyikli</w:t>
      </w:r>
      <w:proofErr w:type="spellEnd"/>
      <w:r w:rsidRPr="004072A9">
        <w:t xml:space="preserve"> et al., 2019). In einigen Anwendungen sind die Zielorte vordefiniert, und der Benutzer muss auf das Ziel zeigen, um anzugeben, zu welchem er reisen möchte. In anderen Anwendungen sind die Ziele nicht vordefiniert, sondern die Benutzer können sich frei an jeden beliebigen Ort auf dem Boden teleportieren, indem sie auf die Zielposition zeigen. In beiden Fällen haben die Benutzer oft ein visuelles und manchmal ein auditives Feedback, um die gewählte Zielposition und die Bewegung des Benutzers zu bestätigen (</w:t>
      </w:r>
      <w:proofErr w:type="spellStart"/>
      <w:r w:rsidRPr="004072A9">
        <w:t>Cherep</w:t>
      </w:r>
      <w:proofErr w:type="spellEnd"/>
      <w:r w:rsidRPr="004072A9">
        <w:t xml:space="preserve"> et al., 2020). Beim Zeigen der Zielposition kann die Teleportation entweder durch einen Tastendruck oder durch längeres Zeigen auf das Ziel ausgelöst werden. In diesem Fall ist es wichtig zu beachten, dass die Verwendung des Arms zur Interaktion mit der VE "geopfert" wird. Außerdem ist bekannt, dass die Punkt- und Teleport-Lokomotionstechnik keine Motion </w:t>
      </w:r>
      <w:proofErr w:type="spellStart"/>
      <w:r w:rsidRPr="004072A9">
        <w:t>Sickness</w:t>
      </w:r>
      <w:proofErr w:type="spellEnd"/>
      <w:r w:rsidRPr="004072A9">
        <w:t xml:space="preserve"> auslöst, da sie keine sichtbaren translatorischen Bewegungen beinhaltet (</w:t>
      </w:r>
      <w:proofErr w:type="spellStart"/>
      <w:r w:rsidRPr="004072A9">
        <w:t>Bozgeyikli</w:t>
      </w:r>
      <w:proofErr w:type="spellEnd"/>
      <w:r w:rsidRPr="004072A9">
        <w:t xml:space="preserve"> et al., 2019). In ihrer Studie verglichen </w:t>
      </w:r>
      <w:proofErr w:type="spellStart"/>
      <w:r w:rsidRPr="004072A9">
        <w:t>Bozgeyikli</w:t>
      </w:r>
      <w:proofErr w:type="spellEnd"/>
      <w:r w:rsidRPr="004072A9">
        <w:t xml:space="preserve"> und Kollegen (2016b) diese Lokomotionsmethode mit der Walking-in-</w:t>
      </w:r>
      <w:r w:rsidRPr="004072A9">
        <w:lastRenderedPageBreak/>
        <w:t xml:space="preserve">Place- und Joystick-gesteuerten Technik. Um sich in der virtuellen Umgebung zu teleportieren, sollten die Benutzer zwei Sekunden lang auf denselben Ort zeigen. Danach wird die Teleportation ausgelöst und der virtuelle Avatar wird augenblicklich an die Zielposition bewegt. In den Experimenten müssen die Benutzer mit jeder Fortbewegungstechnik zehn Zielpunkte anfahren, ohne mit statischen Hindernissen zu kollidieren. Sie fanden heraus, dass die "Point and </w:t>
      </w:r>
      <w:proofErr w:type="spellStart"/>
      <w:r w:rsidRPr="004072A9">
        <w:t>Teleport</w:t>
      </w:r>
      <w:proofErr w:type="spellEnd"/>
      <w:r w:rsidRPr="004072A9">
        <w:t>"-Methode die Walking-in-Place- und die Joystick-gesteuerten Techniken übertraf. Die Benutzer erreichten die Zielpunkte schneller und führten weniger Kollisionen mit den Hindernissen durch. Die Joystick-Methode ist jedoch einfacher zu verstehen, erfordert weniger Anstrengung, führt zu weniger Ermüdung und die Benutzer hatten eine bessere Kontrolle über die Aufgabe. Es ist wichtig zu beachten, dass bei dieser Technik die gesenkte Armhaltung des Benutzers die Teleportation inaktiv macht. Folglich funktioniert dieses Design möglicherweise nicht gut für Anwendungen, bei denen der Benutzer während des Wartens einige Aktivitäten mit den Händen ausführen soll. In diesem Fall muss eine andere Geste oder ein Controller verwendet werden, um die Aktivität der Teleportation zu steuern.</w:t>
      </w:r>
    </w:p>
    <w:p w14:paraId="4509CF00" w14:textId="49F5E7DA" w:rsidR="00776089" w:rsidRDefault="000029E8" w:rsidP="00776089">
      <w:pPr>
        <w:pStyle w:val="berschrift5"/>
      </w:pPr>
      <w:r w:rsidRPr="000029E8">
        <w:t>Arm</w:t>
      </w:r>
      <w:r w:rsidR="00A62AC7">
        <w:t xml:space="preserve"> </w:t>
      </w:r>
      <w:r w:rsidRPr="000029E8">
        <w:t>basierte Bewegungserfassung</w:t>
      </w:r>
    </w:p>
    <w:p w14:paraId="1E553ECB" w14:textId="16772172" w:rsidR="004072A9" w:rsidRDefault="004072A9" w:rsidP="004072A9">
      <w:r w:rsidRPr="004072A9">
        <w:t>Benutzer können auch ihren Arm benutzen, um durch die virtuelle Umgebung zu gehen. Eine der ersten Methoden, die den menschlichen Arm zur Steuerung der Benutzerbewegungen verwendet, ist die "Arm Swinging"-Methode (</w:t>
      </w:r>
      <w:proofErr w:type="spellStart"/>
      <w:r w:rsidRPr="004072A9">
        <w:t>Habgood</w:t>
      </w:r>
      <w:proofErr w:type="spellEnd"/>
      <w:r w:rsidRPr="004072A9">
        <w:t xml:space="preserve"> et al., 2018; </w:t>
      </w:r>
      <w:proofErr w:type="spellStart"/>
      <w:r w:rsidRPr="004072A9">
        <w:t>McCullough</w:t>
      </w:r>
      <w:proofErr w:type="spellEnd"/>
      <w:r w:rsidRPr="004072A9">
        <w:t xml:space="preserve"> et al., 2015). Die Grundidee der Methode besteht darin, dass Benutzer ihre Arme schwingen, um sich in die Richtung zu bewegen, in die sie schauen (siehe Abbildung 7). Das Gehen durch die virtuelle Umgebung mit dieser Technik erfordert die Verfolgung der Position und der Drehung der Hand des Benutzers mithilfe von Tracking-Geräten. Diese Tracking-Systeme sind jedoch teuer und sehr spezifisch und lassen vermuten, dass es sich niemals um ein Produkt auf </w:t>
      </w:r>
      <w:proofErr w:type="spellStart"/>
      <w:r w:rsidRPr="004072A9">
        <w:t>Commodity</w:t>
      </w:r>
      <w:proofErr w:type="spellEnd"/>
      <w:r w:rsidRPr="004072A9">
        <w:t>-Niveau handeln wird (</w:t>
      </w:r>
      <w:proofErr w:type="spellStart"/>
      <w:r w:rsidRPr="004072A9">
        <w:t>McCullough</w:t>
      </w:r>
      <w:proofErr w:type="spellEnd"/>
      <w:r w:rsidRPr="004072A9">
        <w:t xml:space="preserve"> et al., 2015). Mehrere Studien versuchten, das Problem der Sensoren zu lösen, indem sie ein tragbares Armband (Beschleunigungssensoren) verwendeten, das sie an der dicksten Stelle des Unterarms des Benutzers befestigten: das Myo-Armband. Diese Fortbewegungstechnik wurde zum ersten Mal von </w:t>
      </w:r>
      <w:proofErr w:type="spellStart"/>
      <w:r w:rsidRPr="004072A9">
        <w:t>McCullough</w:t>
      </w:r>
      <w:proofErr w:type="spellEnd"/>
      <w:r w:rsidRPr="004072A9">
        <w:t xml:space="preserve"> und Kollegen (2015) vorgeschlagen, die sie mit Joystick- und Walking-in-Place-Ansätzen verglichen. Sie fanden heraus, dass diese neue Armschwingmethode den einfachen Joystick in der räumlichen Orientierung übertrifft und dass sie mit dem physischen Gehen zu Fuß vergleichbar ist. Wilson und Kollegen (2016) verglichen in ihrer Studie die Armschwingungs-Lokomotionstechnik, die auf dem Myo-Armband basiert, mit einer neuen Methode des Walking-in-Place, die ebenfalls auf dem Myo-Armband basiert, und dem realen Gehen. Die Ergebnisse zeigten, dass die physische Lokomotion sowohl Walking-in-Place als auch </w:t>
      </w:r>
      <w:r w:rsidRPr="004072A9">
        <w:lastRenderedPageBreak/>
        <w:t>Arm Swinging in Bezug auf das räumliche Bewusstsein übertraf. Sie zeigten auch, dass die Walking-in-Place-Methode besser war als Arm Swinging.</w:t>
      </w:r>
    </w:p>
    <w:p w14:paraId="734AC92F" w14:textId="77777777" w:rsidR="00213895" w:rsidRDefault="00213895" w:rsidP="004072A9"/>
    <w:p w14:paraId="4FFDBB62" w14:textId="728F47E2" w:rsidR="00213895" w:rsidRDefault="00213895" w:rsidP="00213895">
      <w:pPr>
        <w:pStyle w:val="berschrift5"/>
      </w:pPr>
      <w:r>
        <w:t>Rumpfbasierte Bewegungserfassung</w:t>
      </w:r>
    </w:p>
    <w:p w14:paraId="540A8494" w14:textId="77777777" w:rsidR="00213895" w:rsidRDefault="00213895" w:rsidP="00213895"/>
    <w:p w14:paraId="328D03C6" w14:textId="77777777" w:rsidR="00213895" w:rsidRDefault="00213895" w:rsidP="00213895">
      <w:r>
        <w:t>Die Techniken, die auf Rumpf-Bewegungserfassung basieren, bestehen darin, den Rumpf physisch zu neigen oder zu kippen, um den Benutzer gemäß zwei Freiheitsgraden (vorwärts und rückwärts) zu translatieren und im virtuellen Raum zu drehen (</w:t>
      </w:r>
      <w:proofErr w:type="spellStart"/>
      <w:r>
        <w:t>Kitson</w:t>
      </w:r>
      <w:proofErr w:type="spellEnd"/>
      <w:r>
        <w:t xml:space="preserve"> et al., 2017b).</w:t>
      </w:r>
    </w:p>
    <w:p w14:paraId="66D68CE2" w14:textId="77777777" w:rsidR="00213895" w:rsidRDefault="00213895" w:rsidP="00213895">
      <w:r>
        <w:t xml:space="preserve">Mit der rumpfbasierten Methode kann der Benutzer im Stehen durch die virtuelle Umgebung laufen. Harris und Kollegen (2014) verglichen diese Methode mit der Joystick-Navigation und der Walking-in-Place-Lokomotionstechnik. Im ersten Teil der Studie verglichen sie diese Lokomotionstechnik mit der Joystick-Navigation. Sie fanden heraus, dass die räumliche Repräsentation der virtuellen Umgebung genauer ist, wenn die Teilnehmer die Umgebung durch körperliches Anlehnen erkunden. Im zweiten Teil der Studie fanden sie heraus, dass die Benutzer sich besser orientierten, wenn sie sich zur Erkundung der Umgebung anlehnten, während sie bei der Walking-in-Place-Technik mehr Zeit und körperliche Energie zur Erkundung der virtuellen Umgebung aufwandten. Außerdem äußerten die Teilnehmer, dass die schnellere Geschwindigkeit eher mit der </w:t>
      </w:r>
      <w:proofErr w:type="spellStart"/>
      <w:r>
        <w:t>Leaning</w:t>
      </w:r>
      <w:proofErr w:type="spellEnd"/>
      <w:r>
        <w:t>-Methode als mit Walking-in-Place übereinstimmte. Im Raumwissenstest waren jedoch die Drehfehler und die Latenzzeit beim Drehen in der Konfiguration mit der Walking-in-Place-Technik geringer.</w:t>
      </w:r>
    </w:p>
    <w:p w14:paraId="4FE79EA8" w14:textId="77777777" w:rsidR="00213895" w:rsidRDefault="00213895" w:rsidP="00213895"/>
    <w:p w14:paraId="5A56DA47" w14:textId="03BE63BC" w:rsidR="00213895" w:rsidRPr="004072A9" w:rsidRDefault="00213895" w:rsidP="00213895">
      <w:r>
        <w:t>Darüber hinaus können auf Rumpf-Lehnen basierende LT auch in sitzender Position durchgeführt werden (</w:t>
      </w:r>
      <w:proofErr w:type="spellStart"/>
      <w:r>
        <w:t>Kitson</w:t>
      </w:r>
      <w:proofErr w:type="spellEnd"/>
      <w:r>
        <w:t xml:space="preserve"> et al., 2017a, 2015; </w:t>
      </w:r>
      <w:proofErr w:type="spellStart"/>
      <w:r>
        <w:t>Zielasko</w:t>
      </w:r>
      <w:proofErr w:type="spellEnd"/>
      <w:r>
        <w:t xml:space="preserve"> et al., 2016). In ihrer Studie nutzten </w:t>
      </w:r>
      <w:proofErr w:type="spellStart"/>
      <w:r>
        <w:t>Kitson</w:t>
      </w:r>
      <w:proofErr w:type="spellEnd"/>
      <w:r>
        <w:t xml:space="preserve"> und Kollegen (2017a) eine komplexe Umgebung, um in einer Zielfindungsaufgabe vier </w:t>
      </w:r>
      <w:proofErr w:type="spellStart"/>
      <w:r>
        <w:t>lehnungsbasierte</w:t>
      </w:r>
      <w:proofErr w:type="spellEnd"/>
      <w:r>
        <w:t xml:space="preserve"> Lokomotionstechniken mit dem Joystick zu vergleichen. Die Vergleiche basierten auf Interviews und Beobachtungen sowie auf Daten, die während der Experimente gesammelt wurden. Die Ergebnisse unterstützten nicht die Vorhersagen der Literatur, dass die Motion-Cueing-Interfaces größere Vorteile gegenüber einem Non-Motion-Cueing-Interface wie dem Joystick bieten, was Illusionen der Eigenbewegung, räumliche Wahrnehmung und Orientierung, Spaß und Engagement sowie Immersion und Präsenz betrifft. Das qualitative Feedback zeigte, dass die Joystick-Navigation eine einfachere und präzisere Steuerung bietet, komfortabler ist und den Teilnehmern hilft, sich räumlich orientierter zu fühlen, trotz der Tatsache, dass wir bei der Verwendung des Joysticks für die Bewegung den Einsatz des Arms und der Hand bei der Interaktion mit dem virtuellen System opfern. Dennoch zeigten die vier Motion-Cueing-</w:t>
      </w:r>
      <w:r>
        <w:lastRenderedPageBreak/>
        <w:t xml:space="preserve">Techniken einen Trend zur Vermittlung eines stärkeren Gefühls der Eigenbewegung. In ihrer Studie testeten </w:t>
      </w:r>
      <w:proofErr w:type="spellStart"/>
      <w:r>
        <w:t>Zielasko</w:t>
      </w:r>
      <w:proofErr w:type="spellEnd"/>
      <w:r>
        <w:t xml:space="preserve"> und Kollegen (2016) in einer virtuellen Umgebung mit Head-</w:t>
      </w:r>
      <w:proofErr w:type="spellStart"/>
      <w:r>
        <w:t>Mounted</w:t>
      </w:r>
      <w:proofErr w:type="spellEnd"/>
      <w:r>
        <w:t xml:space="preserve">-Display eine auf Lehnen in sitzender Position basierende, kostengünstige freihändige Navigationsmethode und verglichen sie mit einer Gamepad-Navigation. Die Ergebnisse der Studie zeigten, dass die </w:t>
      </w:r>
      <w:proofErr w:type="spellStart"/>
      <w:r>
        <w:t>Leaning</w:t>
      </w:r>
      <w:proofErr w:type="spellEnd"/>
      <w:r>
        <w:t>-Methode im Allgemeinen sehr gut abschnitt und auf verschiedenen Ebenen mit der Gamepad-Navigation konkurrieren kann.</w:t>
      </w:r>
    </w:p>
    <w:p w14:paraId="5FC16833" w14:textId="77777777" w:rsidR="00776089" w:rsidRPr="00CE4864" w:rsidRDefault="00776089" w:rsidP="00776089">
      <w:pPr>
        <w:pStyle w:val="berschrift5"/>
      </w:pPr>
      <w:bookmarkStart w:id="42" w:name="_Toc67318195"/>
      <w:r>
        <w:t>Neigungsbasierte Fortbewegung</w:t>
      </w:r>
      <w:bookmarkEnd w:id="42"/>
    </w:p>
    <w:p w14:paraId="19C762C4" w14:textId="34F64D39" w:rsidR="00776089" w:rsidRDefault="00776089" w:rsidP="00776089">
      <w:r>
        <w:t xml:space="preserve">Bei </w:t>
      </w:r>
      <w:r w:rsidRPr="0055722B">
        <w:rPr>
          <w:rStyle w:val="Hervorhebung"/>
        </w:rPr>
        <w:t>neigungsbasierten Fortbewegungstechniken</w:t>
      </w:r>
      <w:r>
        <w:t xml:space="preserve"> wird der ganze</w:t>
      </w:r>
      <w:r w:rsidRPr="009B2117">
        <w:t xml:space="preserve"> Körper oder Oberkörper</w:t>
      </w:r>
      <w:r>
        <w:t xml:space="preserve"> zur Bewegung eingesetzt</w:t>
      </w:r>
      <w:r w:rsidRPr="009B2117">
        <w:t xml:space="preserve">. </w:t>
      </w:r>
      <w:r>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t xml:space="preserve"> </w:t>
      </w:r>
      <w:r w:rsidRPr="009B2117">
        <w:t>oder mit speziellen Geräten wie Kraftmessplatten, z. B. dem Wii Balance Board [11, 40] oder speziellen</w:t>
      </w:r>
      <w:r>
        <w:t xml:space="preserve">, </w:t>
      </w:r>
      <w:r w:rsidRPr="009B2117">
        <w:t>wie dem von Marchal et al. Konstruierten</w:t>
      </w:r>
      <w:r>
        <w:t xml:space="preserve"> </w:t>
      </w:r>
      <w:r w:rsidRPr="009B2117">
        <w:t>Prototypen [27], erfasst werden.</w:t>
      </w:r>
      <w:r>
        <w:t xml:space="preserve"> </w:t>
      </w:r>
      <w:sdt>
        <w:sdtPr>
          <w:id w:val="1343661803"/>
          <w:citation/>
        </w:sdtPr>
        <w:sdtContent>
          <w:r>
            <w:fldChar w:fldCharType="begin"/>
          </w:r>
          <w:r>
            <w:instrText xml:space="preserve"> CITATION Zie16 \l 1031 </w:instrText>
          </w:r>
          <w:r>
            <w:fldChar w:fldCharType="separate"/>
          </w:r>
          <w:r w:rsidR="00F906FA">
            <w:rPr>
              <w:noProof/>
            </w:rPr>
            <w:t>[33]</w:t>
          </w:r>
          <w:r>
            <w:fldChar w:fldCharType="end"/>
          </w:r>
        </w:sdtContent>
      </w:sdt>
    </w:p>
    <w:p w14:paraId="1124C4CF" w14:textId="77777777" w:rsidR="00776089" w:rsidRDefault="00776089" w:rsidP="00776089">
      <w:pPr>
        <w:pStyle w:val="berschrift5"/>
      </w:pPr>
      <w:bookmarkStart w:id="43" w:name="_Toc67318196"/>
      <w:r>
        <w:t>Kopfbasierte Fortbewegung</w:t>
      </w:r>
      <w:bookmarkEnd w:id="43"/>
    </w:p>
    <w:p w14:paraId="61D7745A" w14:textId="749C39C4" w:rsidR="00776089" w:rsidRPr="00776089" w:rsidRDefault="00776089" w:rsidP="00776089">
      <w:proofErr w:type="spellStart"/>
      <w:r w:rsidRPr="007A2BA6">
        <w:t>Zielasko</w:t>
      </w:r>
      <w:proofErr w:type="spellEnd"/>
      <w:r w:rsidRPr="007A2BA6">
        <w:t xml:space="preserve"> und Kollegen (2016) nutzten die im HMD eingebauten </w:t>
      </w:r>
      <w:proofErr w:type="spellStart"/>
      <w:r w:rsidRPr="007A2BA6">
        <w:t>Inertialsensoren</w:t>
      </w:r>
      <w:proofErr w:type="spellEnd"/>
      <w:r w:rsidRPr="007A2BA6">
        <w:t xml:space="preserve">, um die Position und die Drehung des sitzenden Benutzers zu bestimmen. Der Teilnehmer musste nach oben und nach unten schauen, um </w:t>
      </w:r>
      <w:r>
        <w:t>V</w:t>
      </w:r>
      <w:r w:rsidRPr="007A2BA6">
        <w:t xml:space="preserve">orwärts und </w:t>
      </w:r>
      <w:r>
        <w:t>R</w:t>
      </w:r>
      <w:r w:rsidRPr="007A2BA6">
        <w:t xml:space="preserve">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w:t>
      </w:r>
      <w:proofErr w:type="spellStart"/>
      <w:r w:rsidRPr="007A2BA6">
        <w:t>McMahan</w:t>
      </w:r>
      <w:proofErr w:type="spellEnd"/>
      <w:r w:rsidRPr="007A2BA6">
        <w:t xml:space="preserve"> und Kollegen (2012) schlugen verschiedene Ansätze der gleichen Fortbewegungstechnik in einer Höhlendisplay-Konfiguration vor. Sie entwarfen und implementierten eine neue </w:t>
      </w:r>
      <w:proofErr w:type="spellStart"/>
      <w:r w:rsidRPr="007A2BA6">
        <w:t>High-Fidelity</w:t>
      </w:r>
      <w:proofErr w:type="spellEnd"/>
      <w:r w:rsidRPr="007A2BA6">
        <w:t xml:space="preserve">-Lokomotion-Technik, die auf dem Tracking der Kopfposition basiert, die sie Human Joystick nannten, und verglichen sie mit der Joystick-Navigation. Sie erfassten den horizontalen 2D-Vektor vom Zentrum des CAVE zur 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w:t>
      </w:r>
      <w:proofErr w:type="spellStart"/>
      <w:r w:rsidRPr="007A2BA6">
        <w:t>High-Fidelity</w:t>
      </w:r>
      <w:proofErr w:type="spellEnd"/>
      <w:r w:rsidRPr="007A2BA6">
        <w:t>-Display ein größeres Gefühl der Präsenz hatten. Bei einer Low-Fidelity-Anzeige übertrafen Tastatur und Maus jedoch die Human Joystick-Methode.</w:t>
      </w:r>
      <w:r>
        <w:t xml:space="preserve"> </w:t>
      </w:r>
      <w:sdt>
        <w:sdtPr>
          <w:id w:val="-2104555081"/>
          <w:citation/>
        </w:sdtPr>
        <w:sdtContent>
          <w:r>
            <w:fldChar w:fldCharType="begin"/>
          </w:r>
          <w:r>
            <w:instrText xml:space="preserve"> CITATION Che20 \l 1031 </w:instrText>
          </w:r>
          <w:r>
            <w:fldChar w:fldCharType="separate"/>
          </w:r>
          <w:r w:rsidR="00F906FA">
            <w:rPr>
              <w:noProof/>
            </w:rPr>
            <w:t>[6]</w:t>
          </w:r>
          <w:r>
            <w:fldChar w:fldCharType="end"/>
          </w:r>
        </w:sdtContent>
      </w:sdt>
    </w:p>
    <w:p w14:paraId="1ED13207" w14:textId="29A28E79" w:rsidR="00B56F37" w:rsidRDefault="00B56F37" w:rsidP="00B56F37">
      <w:pPr>
        <w:pStyle w:val="berschrift4"/>
      </w:pPr>
      <w:bookmarkStart w:id="44" w:name="_Toc67318201"/>
      <w:r>
        <w:lastRenderedPageBreak/>
        <w:t>Laufbänder</w:t>
      </w:r>
      <w:bookmarkEnd w:id="44"/>
    </w:p>
    <w:p w14:paraId="5C408043" w14:textId="627C0BEC" w:rsidR="00F61189" w:rsidRDefault="00F61189" w:rsidP="00F61189">
      <w:r w:rsidRPr="00F61189">
        <w:t xml:space="preserve">Omnidirektionale Laufbänder unterstützen das Gehen in jede Richtung </w:t>
      </w:r>
      <w:r w:rsidR="000908B3">
        <w:t>(</w:t>
      </w:r>
      <w:r w:rsidRPr="00F61189">
        <w:t>35</w:t>
      </w:r>
      <w:r w:rsidR="000908B3">
        <w:t>)</w:t>
      </w:r>
      <w:r w:rsidRPr="00F61189">
        <w:t>.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F906FA">
            <w:rPr>
              <w:noProof/>
            </w:rPr>
            <w:t xml:space="preserve"> [2]</w:t>
          </w:r>
          <w:r>
            <w:fldChar w:fldCharType="end"/>
          </w:r>
        </w:sdtContent>
      </w:sdt>
    </w:p>
    <w:p w14:paraId="102C9413" w14:textId="2932F169" w:rsidR="0020214A" w:rsidRDefault="009212CF" w:rsidP="00F61189">
      <w:r w:rsidRPr="009212CF">
        <w:t xml:space="preserve">ODT enthält mehrere Konstruktionsschemata. Die Benutzer stehen auf einer reibungsarmen Oberfläche, wie z. B. der kugelgelagerten Oberfläche, und sind mit der Hüfte an die Maschine gebunden. Viele kommerzielle Produkte basieren auf diesem Prinzip, wie z. B. der Kat Walk, </w:t>
      </w:r>
      <w:proofErr w:type="spellStart"/>
      <w:r w:rsidRPr="009212CF">
        <w:t>Virtuix</w:t>
      </w:r>
      <w:proofErr w:type="spellEnd"/>
      <w:r w:rsidRPr="009212CF">
        <w:t xml:space="preserve"> </w:t>
      </w:r>
      <w:proofErr w:type="spellStart"/>
      <w:r w:rsidRPr="009212CF">
        <w:t>Omni</w:t>
      </w:r>
      <w:proofErr w:type="spellEnd"/>
      <w:r w:rsidRPr="009212CF">
        <w:t xml:space="preserve">, </w:t>
      </w:r>
      <w:proofErr w:type="spellStart"/>
      <w:r w:rsidRPr="009212CF">
        <w:t>Cyberith</w:t>
      </w:r>
      <w:proofErr w:type="spellEnd"/>
      <w:r w:rsidRPr="009212CF">
        <w:t xml:space="preserve"> </w:t>
      </w:r>
      <w:proofErr w:type="spellStart"/>
      <w:r w:rsidRPr="009212CF">
        <w:t>Virtualizer</w:t>
      </w:r>
      <w:proofErr w:type="spellEnd"/>
      <w:r w:rsidRPr="009212CF">
        <w:t xml:space="preserve">, etc. Für den Benutzer ist es leicht, die Reibung der Vorwärtsbewegung zu überwinden, für </w:t>
      </w:r>
      <w:r w:rsidR="00B71D9D">
        <w:t>Richtungen wie rückwärts oder seitwärts</w:t>
      </w:r>
      <w:r w:rsidRPr="009212CF">
        <w:t xml:space="preserve"> ist es jedoch </w:t>
      </w:r>
      <w:r w:rsidR="00B71D9D">
        <w:t>erschwert</w:t>
      </w:r>
      <w:r w:rsidRPr="009212CF">
        <w:t xml:space="preserve">. Ein weiteres Problem ist, dass die Distanzmessung ungenau ist. Der Kat Walk 1 und der </w:t>
      </w:r>
      <w:proofErr w:type="spellStart"/>
      <w:r w:rsidRPr="009212CF">
        <w:t>Virtuix</w:t>
      </w:r>
      <w:proofErr w:type="spellEnd"/>
      <w:r w:rsidRPr="009212CF">
        <w:t xml:space="preserve"> </w:t>
      </w:r>
      <w:proofErr w:type="spellStart"/>
      <w:r w:rsidRPr="009212CF">
        <w:t>Omni</w:t>
      </w:r>
      <w:proofErr w:type="spellEnd"/>
      <w:r w:rsidRPr="009212CF">
        <w:t xml:space="preserve"> 2 basieren auf der </w:t>
      </w:r>
      <w:proofErr w:type="spellStart"/>
      <w:r w:rsidRPr="009212CF">
        <w:t>Inertialmesseinheit</w:t>
      </w:r>
      <w:proofErr w:type="spellEnd"/>
      <w:r w:rsidRPr="009212CF">
        <w:t xml:space="preserve"> (IMU), um </w:t>
      </w:r>
      <w:proofErr w:type="spellStart"/>
      <w:r w:rsidRPr="009212CF">
        <w:t>omnidirektionale</w:t>
      </w:r>
      <w:proofErr w:type="spellEnd"/>
      <w:r w:rsidRPr="009212CF">
        <w:t xml:space="preserve"> Fortbewegung zu realisieren. Dies ist eine übliche Methode in </w:t>
      </w:r>
      <w:proofErr w:type="spellStart"/>
      <w:r w:rsidRPr="009212CF">
        <w:t>WiP</w:t>
      </w:r>
      <w:proofErr w:type="spellEnd"/>
      <w:r w:rsidRPr="009212CF">
        <w:t xml:space="preserve">-Systemen </w:t>
      </w:r>
      <w:r w:rsidR="0059202E">
        <w:t>(</w:t>
      </w:r>
      <w:r w:rsidRPr="009212CF">
        <w:t>9, 30, 34</w:t>
      </w:r>
      <w:r w:rsidR="0059202E">
        <w:t>)</w:t>
      </w:r>
      <w:r w:rsidRPr="009212CF">
        <w:t>, um die Schritte zu zählen, aber nicht die Entfernung</w:t>
      </w:r>
      <w:r w:rsidR="00E824D0">
        <w:t>.</w:t>
      </w:r>
      <w:r w:rsidRPr="009212CF">
        <w:t xml:space="preserve"> </w:t>
      </w:r>
      <w:proofErr w:type="spellStart"/>
      <w:r w:rsidRPr="005C3E27">
        <w:rPr>
          <w:rStyle w:val="Hervorhebung"/>
        </w:rPr>
        <w:t>StriderVR</w:t>
      </w:r>
      <w:proofErr w:type="spellEnd"/>
      <w:r w:rsidRPr="009212CF">
        <w:t xml:space="preserve"> ist ein kommerzielles Produkt, </w:t>
      </w:r>
      <w:r w:rsidR="00AC0F7D">
        <w:t>bei dem sich eine</w:t>
      </w:r>
      <w:r w:rsidRPr="009212CF">
        <w:t xml:space="preserve"> Schicht aus Stahlkugeln dreht</w:t>
      </w:r>
      <w:r w:rsidR="00AC0F7D">
        <w:t xml:space="preserve">. </w:t>
      </w:r>
      <w:proofErr w:type="spellStart"/>
      <w:r w:rsidRPr="005C3E27">
        <w:rPr>
          <w:rStyle w:val="Hervorhebung"/>
        </w:rPr>
        <w:t>Omnideck</w:t>
      </w:r>
      <w:proofErr w:type="spellEnd"/>
      <w:r w:rsidRPr="009212CF">
        <w:t xml:space="preserve"> </w:t>
      </w:r>
      <w:r w:rsidR="008E076C">
        <w:t>(</w:t>
      </w:r>
      <w:r w:rsidRPr="009212CF">
        <w:t>5</w:t>
      </w:r>
      <w:r w:rsidR="008E076C">
        <w:t>)</w:t>
      </w:r>
      <w:r w:rsidRPr="009212CF">
        <w:t xml:space="preserve">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ist, wenn sich der Benutzer in die Nähe des Zentrums bewegt. Dadurch wird die Immersion des Erlebnisses gestört.</w:t>
      </w:r>
    </w:p>
    <w:p w14:paraId="22641041" w14:textId="24F54CDB" w:rsidR="0020214A" w:rsidRDefault="0020214A" w:rsidP="00F61189"/>
    <w:p w14:paraId="71922634" w14:textId="1A849F1C" w:rsidR="0020214A" w:rsidRDefault="0020214A" w:rsidP="0020214A">
      <w:pPr>
        <w:pStyle w:val="berschrift5"/>
      </w:pPr>
      <w:r>
        <w:t>O</w:t>
      </w:r>
      <w:r w:rsidRPr="0020214A">
        <w:t>mnidirektionale Laufband</w:t>
      </w:r>
    </w:p>
    <w:p w14:paraId="34AD7F46" w14:textId="2F7FABA2" w:rsidR="00925B93" w:rsidRDefault="0020214A" w:rsidP="00F61189">
      <w:r w:rsidRPr="0020214A">
        <w:t xml:space="preserve">Eine neue halbnatürliche Fortbewegungsmethode ist das </w:t>
      </w:r>
      <w:proofErr w:type="spellStart"/>
      <w:r w:rsidRPr="0020214A">
        <w:t>omnidirektionale</w:t>
      </w:r>
      <w:proofErr w:type="spellEnd"/>
      <w:r w:rsidRPr="0020214A">
        <w:t xml:space="preserve"> Laufband (</w:t>
      </w:r>
      <w:proofErr w:type="spellStart"/>
      <w:r w:rsidRPr="0020214A">
        <w:t>Calandra</w:t>
      </w:r>
      <w:proofErr w:type="spellEnd"/>
      <w:r w:rsidRPr="0020214A">
        <w:t xml:space="preserve"> et al., 2018; Warren &amp; Bowman, 2017). Das </w:t>
      </w:r>
      <w:proofErr w:type="spellStart"/>
      <w:r w:rsidRPr="0020214A">
        <w:t>omnidirektionale</w:t>
      </w:r>
      <w:proofErr w:type="spellEnd"/>
      <w:r w:rsidRPr="0020214A">
        <w:t xml:space="preserve"> Laufband ist ein mechanisches Gerät, das es dem Benutzer ermöglicht, sich in jede Richtung fortzubewegen, was eine 360-Grad-Bewegung ermöglicht (siehe Abbildung 11). In Kombination mit einem virtuellen Head </w:t>
      </w:r>
      <w:proofErr w:type="spellStart"/>
      <w:r w:rsidRPr="0020214A">
        <w:t>Mounted</w:t>
      </w:r>
      <w:proofErr w:type="spellEnd"/>
      <w:r w:rsidRPr="0020214A">
        <w:t xml:space="preserve"> Display wird dieses Gerät verwendet, um die Fußbewegungen des Benutzers zu erfassen und sein Verhalten in einer virtuellen Welt durch einen Avatar zu reproduzieren (</w:t>
      </w:r>
      <w:proofErr w:type="spellStart"/>
      <w:r w:rsidRPr="0020214A">
        <w:t>Calandra</w:t>
      </w:r>
      <w:proofErr w:type="spellEnd"/>
      <w:r w:rsidRPr="0020214A">
        <w:t xml:space="preserve"> et al., 2018). Einige Lokomotionstechniken verwenden spezielle Geräte, um die Lokomotion zu kontrollieren und die Benutzer an einem sicheren Ort zu halten. Zu diesem Zweck wurden </w:t>
      </w:r>
      <w:proofErr w:type="spellStart"/>
      <w:r w:rsidRPr="0020214A">
        <w:t>omnidirektionale</w:t>
      </w:r>
      <w:proofErr w:type="spellEnd"/>
      <w:r w:rsidRPr="0020214A">
        <w:t xml:space="preserve"> Laufbänder entworfen und entwickelt. Diese Laufbänder erkennen das Gehen in jede Richtung und halten den Benutzer in der Mitte.</w:t>
      </w:r>
      <w:r w:rsidR="00BA321B">
        <w:t xml:space="preserve"> </w:t>
      </w:r>
      <w:sdt>
        <w:sdtPr>
          <w:id w:val="-1256051984"/>
          <w:citation/>
        </w:sdtPr>
        <w:sdtContent>
          <w:r w:rsidR="00BA321B">
            <w:fldChar w:fldCharType="begin"/>
          </w:r>
          <w:r w:rsidR="00BA321B">
            <w:instrText xml:space="preserve"> CITATION Che20 \l 1031 </w:instrText>
          </w:r>
          <w:r w:rsidR="00BA321B">
            <w:fldChar w:fldCharType="separate"/>
          </w:r>
          <w:r w:rsidR="00F906FA">
            <w:rPr>
              <w:noProof/>
            </w:rPr>
            <w:t>[6]</w:t>
          </w:r>
          <w:r w:rsidR="00BA321B">
            <w:fldChar w:fldCharType="end"/>
          </w:r>
        </w:sdtContent>
      </w:sdt>
    </w:p>
    <w:p w14:paraId="0B5500EE" w14:textId="45888215" w:rsidR="00F906FA" w:rsidRDefault="00F906FA" w:rsidP="00F61189">
      <w:r w:rsidRPr="009212CF">
        <w:lastRenderedPageBreak/>
        <w:t xml:space="preserve">Es gibt mehrere Forschungen, die auf diesem Prinzip basieren, wie z. B. Torus [12], </w:t>
      </w:r>
      <w:proofErr w:type="spellStart"/>
      <w:r w:rsidRPr="009212CF">
        <w:t>Cyberwalk</w:t>
      </w:r>
      <w:proofErr w:type="spellEnd"/>
      <w:r w:rsidRPr="009212CF">
        <w:t xml:space="preserve"> </w:t>
      </w:r>
      <w:r>
        <w:t>(</w:t>
      </w:r>
      <w:r w:rsidRPr="009212CF">
        <w:t>27, 29</w:t>
      </w:r>
      <w:r>
        <w:t>)</w:t>
      </w:r>
      <w:r w:rsidRPr="009212CF">
        <w:t xml:space="preserve">, F-ODT </w:t>
      </w:r>
      <w:r>
        <w:t>(</w:t>
      </w:r>
      <w:r w:rsidRPr="009212CF">
        <w:t>20, 25</w:t>
      </w:r>
      <w:r>
        <w:t>) und</w:t>
      </w:r>
      <w:r w:rsidRPr="009212CF">
        <w:t xml:space="preserve"> </w:t>
      </w:r>
      <w:proofErr w:type="spellStart"/>
      <w:r w:rsidRPr="009212CF">
        <w:t>Infinadeck</w:t>
      </w:r>
      <w:proofErr w:type="spellEnd"/>
      <w:r w:rsidRPr="009212CF">
        <w:t xml:space="preserve"> </w:t>
      </w:r>
      <w:r>
        <w:t>(</w:t>
      </w:r>
      <w:r w:rsidRPr="009212CF">
        <w:t>22</w:t>
      </w:r>
      <w:r>
        <w:t>)</w:t>
      </w:r>
      <w:r>
        <w:t xml:space="preserve">. </w:t>
      </w:r>
      <w:sdt>
        <w:sdtPr>
          <w:id w:val="-468058159"/>
          <w:citation/>
        </w:sdtPr>
        <w:sdtContent>
          <w:r>
            <w:fldChar w:fldCharType="begin"/>
          </w:r>
          <w:r>
            <w:instrText xml:space="preserve"> CITATION Wan20 \l 1031 </w:instrText>
          </w:r>
          <w:r>
            <w:fldChar w:fldCharType="separate"/>
          </w:r>
          <w:r>
            <w:rPr>
              <w:noProof/>
            </w:rPr>
            <w:t>[28]</w:t>
          </w:r>
          <w:r>
            <w:fldChar w:fldCharType="end"/>
          </w:r>
        </w:sdtContent>
      </w:sdt>
    </w:p>
    <w:p w14:paraId="58521F14" w14:textId="77777777" w:rsidR="00A014DE" w:rsidRDefault="00A014DE" w:rsidP="00A014DE">
      <w:r>
        <w:t xml:space="preserve">In ihrer Studie verglichen Warren und Bowman (2017) das </w:t>
      </w:r>
      <w:proofErr w:type="spellStart"/>
      <w:r>
        <w:t>omnidirektionale</w:t>
      </w:r>
      <w:proofErr w:type="spellEnd"/>
      <w:r>
        <w:t xml:space="preserve"> </w:t>
      </w:r>
      <w:proofErr w:type="spellStart"/>
      <w:r>
        <w:t>Virtuix</w:t>
      </w:r>
      <w:proofErr w:type="spellEnd"/>
      <w:r>
        <w:t xml:space="preserve">-Laufband mit einem klassischen Game-Controller bei einer Pfadfolgeaufgabe in einer virtuellen Umgebung. Sie fanden heraus, dass der Game Controller eine bessere Benutzererfahrung bietet als das </w:t>
      </w:r>
      <w:proofErr w:type="spellStart"/>
      <w:r>
        <w:t>Omni</w:t>
      </w:r>
      <w:proofErr w:type="spellEnd"/>
      <w:r>
        <w:t xml:space="preserve"> </w:t>
      </w:r>
      <w:proofErr w:type="spellStart"/>
      <w:r>
        <w:t>Virtuix</w:t>
      </w:r>
      <w:proofErr w:type="spellEnd"/>
      <w:r>
        <w:t xml:space="preserve">. Das </w:t>
      </w:r>
      <w:proofErr w:type="spellStart"/>
      <w:r>
        <w:t>omnidirektionale</w:t>
      </w:r>
      <w:proofErr w:type="spellEnd"/>
      <w:r>
        <w:t xml:space="preserve"> Laufband ist natürlicher und spielerischer, aber es erfordert das Tragen eines unbequemen Gurtes und stellt eine Schwierigkeit beim Drehen während des Gehens dar, was zu einer Ermüdung nach nur einer kurzen Benutzungssitzung führt. Das erzielte Ergebnis unterstützt frühere Studien, die zeigen, dass Realismus in Virtual-Reality-Systemen nicht immer die am besten geeignete Lösung ist.</w:t>
      </w:r>
    </w:p>
    <w:p w14:paraId="617F2B63" w14:textId="77777777" w:rsidR="00A014DE" w:rsidRDefault="00A014DE" w:rsidP="00A014DE"/>
    <w:p w14:paraId="66B06F19" w14:textId="77777777" w:rsidR="00A014DE" w:rsidRDefault="00A014DE" w:rsidP="00A014DE">
      <w:r>
        <w:t xml:space="preserve">In ihrer Studie haben </w:t>
      </w:r>
      <w:proofErr w:type="spellStart"/>
      <w:r>
        <w:t>Calandra</w:t>
      </w:r>
      <w:proofErr w:type="spellEnd"/>
      <w:r>
        <w:t xml:space="preserve"> und Kollegen (2018) eine vergleichende Studie zwischen zwei Methoden zur Fortbewegung durchgeführt: ein Fortbewegungslaufband, das </w:t>
      </w:r>
      <w:proofErr w:type="spellStart"/>
      <w:r>
        <w:t>omnidirektionale</w:t>
      </w:r>
      <w:proofErr w:type="spellEnd"/>
      <w:r>
        <w:t xml:space="preserve"> Bewegungen unterstützt, und Arm Swinging, das die Bewegung aus dem Hin- und Herschwingen des Benutzers erkennt. Die Ergebnisse zeigten, dass die beiden Methoden in Bezug auf Usability-Faktoren wie Funktionalität, Benutzerinteraktion mit Objekten, Simulationstreue, Präsenz und Motion-</w:t>
      </w:r>
      <w:proofErr w:type="spellStart"/>
      <w:r>
        <w:t>Sickness</w:t>
      </w:r>
      <w:proofErr w:type="spellEnd"/>
      <w:r>
        <w:t>-Symptome als weitgehend gleichwertig wahrgenommen wurden, jedoch mit einem leichten Vorteil für die Arm Swinging-Methode.</w:t>
      </w:r>
    </w:p>
    <w:p w14:paraId="19A2EEC5" w14:textId="77777777" w:rsidR="00A014DE" w:rsidRDefault="00A014DE" w:rsidP="00A014DE"/>
    <w:p w14:paraId="20F3392C" w14:textId="1AAEC97F" w:rsidR="00A014DE" w:rsidRDefault="00A014DE" w:rsidP="00A014DE">
      <w:r>
        <w:t xml:space="preserve">Während </w:t>
      </w:r>
      <w:proofErr w:type="spellStart"/>
      <w:r>
        <w:t>omnidirektionale</w:t>
      </w:r>
      <w:proofErr w:type="spellEnd"/>
      <w:r>
        <w:t xml:space="preserve"> Laufbänder im Vergleich zu der Art und Weise, wie wir uns durch den physischen Raum bewegen, als am ähnlichsten angesehen werden, sind sie teuer und schwierig zu bedienen und zu warten. Außerdem ist eine solche Fortbewegungsmethode mit einem proportionalen Zeit- und Energieaufwand verbunden und kann in großen Umgebungen für den Benutzer kostspielig sein und muss im Versuchsprotokoll berücksichtigt werden (</w:t>
      </w:r>
      <w:proofErr w:type="spellStart"/>
      <w:r>
        <w:t>Calandra</w:t>
      </w:r>
      <w:proofErr w:type="spellEnd"/>
      <w:r>
        <w:t xml:space="preserve"> et al., 2018; Warren &amp; Bowman, 2017). Nichtsdestotrotz wurden in den letzten zwei Jahren mehrere andere </w:t>
      </w:r>
      <w:proofErr w:type="spellStart"/>
      <w:r>
        <w:t>omnidirektionale</w:t>
      </w:r>
      <w:proofErr w:type="spellEnd"/>
      <w:r>
        <w:t xml:space="preserve"> Laufbänder auf den Markt gebracht, und es gibt im Moment keine Literatur, die ihre Leistung bewertet, und neue spezifische Studien dazu könnten diese Ergebnisse für eine aktuellere Überprüfung nuancieren. Aus diesen Gründen nutzen mehrere Studien im Bereich der Virtual-Reality-Navigationsschnittstellen immer noch die Vorteile der nicht-natürlichen Methoden, die auf externen Peripheriegeräten basieren, als Lösung für die Fortbewegung in der virtuellen Umgebung, auch wenn diese Methoden ein geringeres Niveau der Immersion bieten.</w:t>
      </w:r>
    </w:p>
    <w:p w14:paraId="2A2C3E2E" w14:textId="53F73D55" w:rsidR="008942BE" w:rsidRDefault="008942BE" w:rsidP="00F61189"/>
    <w:p w14:paraId="4EF8BA9F" w14:textId="5C358812" w:rsidR="008942BE" w:rsidRDefault="008942BE" w:rsidP="00F61189">
      <w:r>
        <w:lastRenderedPageBreak/>
        <w:t>Wang et al</w:t>
      </w:r>
      <w:r w:rsidR="00CC083B">
        <w:t xml:space="preserve"> </w:t>
      </w:r>
      <w:sdt>
        <w:sdtPr>
          <w:id w:val="-546987878"/>
          <w:citation/>
        </w:sdtPr>
        <w:sdtEndPr/>
        <w:sdtContent>
          <w:r w:rsidR="00CC083B">
            <w:fldChar w:fldCharType="begin"/>
          </w:r>
          <w:r w:rsidR="00CC083B">
            <w:instrText xml:space="preserve"> CITATION Wan20 \l 1031 </w:instrText>
          </w:r>
          <w:r w:rsidR="00CC083B">
            <w:fldChar w:fldCharType="separate"/>
          </w:r>
          <w:r w:rsidR="00F906FA">
            <w:rPr>
              <w:noProof/>
            </w:rPr>
            <w:t>[28]</w:t>
          </w:r>
          <w:r w:rsidR="00CC083B">
            <w:fldChar w:fldCharType="end"/>
          </w:r>
        </w:sdtContent>
      </w:sdt>
      <w:r>
        <w:t xml:space="preserve"> sch</w:t>
      </w:r>
      <w:r w:rsidR="00366B83">
        <w:t>lugen</w:t>
      </w:r>
      <w:r>
        <w:t xml:space="preserve"> </w:t>
      </w:r>
      <w:r w:rsidRPr="008942BE">
        <w:t xml:space="preserve">ein neuartiges </w:t>
      </w:r>
      <w:proofErr w:type="spellStart"/>
      <w:r w:rsidRPr="008942BE">
        <w:t>omnidirektionales</w:t>
      </w:r>
      <w:proofErr w:type="spellEnd"/>
      <w:r w:rsidRPr="008942BE">
        <w:t xml:space="preserve"> Laufbandsystem mit dem Namen </w:t>
      </w:r>
      <w:r w:rsidRPr="00040A4F">
        <w:rPr>
          <w:rStyle w:val="Hervorhebung"/>
        </w:rPr>
        <w:t>H</w:t>
      </w:r>
      <w:r w:rsidR="00040A4F" w:rsidRPr="00040A4F">
        <w:rPr>
          <w:rStyle w:val="Hervorhebung"/>
        </w:rPr>
        <w:t>ex</w:t>
      </w:r>
      <w:r w:rsidRPr="00040A4F">
        <w:rPr>
          <w:rStyle w:val="Hervorhebung"/>
        </w:rPr>
        <w:t>-C</w:t>
      </w:r>
      <w:r w:rsidR="00040A4F" w:rsidRPr="00040A4F">
        <w:rPr>
          <w:rStyle w:val="Hervorhebung"/>
        </w:rPr>
        <w:t>ore</w:t>
      </w:r>
      <w:r w:rsidRPr="00040A4F">
        <w:rPr>
          <w:rStyle w:val="Hervorhebung"/>
        </w:rPr>
        <w:t>-P</w:t>
      </w:r>
      <w:r w:rsidR="00040A4F" w:rsidRPr="00040A4F">
        <w:rPr>
          <w:rStyle w:val="Hervorhebung"/>
        </w:rPr>
        <w:t>rototype</w:t>
      </w:r>
      <w:r w:rsidR="00040A4F">
        <w:t xml:space="preserve"> </w:t>
      </w:r>
      <w:r>
        <w:t>vor</w:t>
      </w:r>
      <w:r w:rsidRPr="008942BE">
        <w:t xml:space="preserve">. Die Hauptbestandteile des HCP-Systems sind das Design des </w:t>
      </w:r>
      <w:proofErr w:type="spellStart"/>
      <w:r w:rsidRPr="008942BE">
        <w:t>omnidirektionalen</w:t>
      </w:r>
      <w:proofErr w:type="spellEnd"/>
      <w:r w:rsidRPr="008942BE">
        <w:t xml:space="preserve"> Geschwindigkeitsfeldes und das Positionierungssystem. Das Anwendungsergebnis zeigt, dass HCP ein effektives Schema zur Lösung des Fortbewegungsproblems in VR ist. Im Vergleich zu den aktuellen </w:t>
      </w:r>
      <w:proofErr w:type="spellStart"/>
      <w:r w:rsidRPr="008942BE">
        <w:t>omnidirektionalen</w:t>
      </w:r>
      <w:proofErr w:type="spellEnd"/>
      <w:r w:rsidRPr="008942BE">
        <w:t xml:space="preserve"> Laufbändern, die ein reales Lauferlebnis mit vollem Freiheitsgrad bieten könnten, hat HCP eine spiegelsymmetrische Struktur. Das System mit zwei identischen Motoren macht es für den Controller einfacher, das System zu steuern. Durch die Kettenstruktur ist das HCP viel kompakter. Bei einer festen aktiven Fläche ermöglicht eine geringere Höhe dem System ein kleineres Volumen. Dies ist sehr wichtig für den Einsatz im Haus. </w:t>
      </w:r>
      <w:sdt>
        <w:sdtPr>
          <w:id w:val="473804057"/>
          <w:citation/>
        </w:sdtPr>
        <w:sdtEndPr/>
        <w:sdtContent>
          <w:r w:rsidR="00957924">
            <w:fldChar w:fldCharType="begin"/>
          </w:r>
          <w:r w:rsidR="00957924">
            <w:instrText xml:space="preserve"> CITATION Wan20 \l 1031 </w:instrText>
          </w:r>
          <w:r w:rsidR="00957924">
            <w:fldChar w:fldCharType="separate"/>
          </w:r>
          <w:r w:rsidR="00F906FA">
            <w:rPr>
              <w:noProof/>
            </w:rPr>
            <w:t>[28]</w:t>
          </w:r>
          <w:r w:rsidR="00957924">
            <w:fldChar w:fldCharType="end"/>
          </w:r>
        </w:sdtContent>
      </w:sdt>
    </w:p>
    <w:p w14:paraId="61F29380" w14:textId="77777777" w:rsidR="002E35FC" w:rsidRDefault="002E35FC" w:rsidP="00F61189"/>
    <w:p w14:paraId="6942263F" w14:textId="73C0AF90" w:rsidR="00CE4904" w:rsidRDefault="00CE4904" w:rsidP="00CE4904">
      <w:pPr>
        <w:pStyle w:val="berschrift4"/>
      </w:pPr>
      <w:bookmarkStart w:id="45" w:name="_Toc67318202"/>
      <w:r>
        <w:t>Bewegungsverhalten</w:t>
      </w:r>
      <w:bookmarkEnd w:id="45"/>
    </w:p>
    <w:p w14:paraId="0F5CDE45" w14:textId="23D5C7EF"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w:t>
      </w:r>
      <w:r>
        <w:lastRenderedPageBreak/>
        <w:t>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F906FA">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0BCD299F"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F906FA">
            <w:rPr>
              <w:noProof/>
            </w:rPr>
            <w:t>[34]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5F6D63B1"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F906FA">
            <w:rPr>
              <w:noProof/>
            </w:rPr>
            <w:t>[35]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r w:rsidR="00C10486">
        <w:fldChar w:fldCharType="begin"/>
      </w:r>
      <w:r w:rsidR="00C10486">
        <w:instrText xml:space="preserve"> SEQ Abb. \* ARABIC </w:instrText>
      </w:r>
      <w:r w:rsidR="00C10486">
        <w:fldChar w:fldCharType="separate"/>
      </w:r>
      <w:r w:rsidR="008F1729">
        <w:rPr>
          <w:noProof/>
        </w:rPr>
        <w:t>6</w:t>
      </w:r>
      <w:r w:rsidR="00C10486">
        <w:rPr>
          <w:noProof/>
        </w:rPr>
        <w:fldChar w:fldCharType="end"/>
      </w:r>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26F1E195"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F906FA">
            <w:rPr>
              <w:noProof/>
            </w:rPr>
            <w:t xml:space="preserve"> [36]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4FE66C52"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F906FA">
            <w:rPr>
              <w:noProof/>
            </w:rPr>
            <w:t>[37]</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F906FA">
            <w:rPr>
              <w:noProof/>
            </w:rPr>
            <w:t xml:space="preserve"> [38]</w:t>
          </w:r>
          <w:r w:rsidR="00A379CE">
            <w:fldChar w:fldCharType="end"/>
          </w:r>
        </w:sdtContent>
      </w:sdt>
    </w:p>
    <w:p w14:paraId="7EA460B9" w14:textId="564B9230" w:rsidR="00FB3190" w:rsidRDefault="00FB3190" w:rsidP="00FB3190">
      <w:pPr>
        <w:pStyle w:val="berschrift4"/>
      </w:pPr>
      <w:bookmarkStart w:id="58" w:name="_Toc67318212"/>
      <w:proofErr w:type="spellStart"/>
      <w:r>
        <w:t>Git</w:t>
      </w:r>
      <w:proofErr w:type="spellEnd"/>
      <w:r>
        <w:t xml:space="preserve"> Versionskontrolle</w:t>
      </w:r>
      <w:bookmarkEnd w:id="5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E71EBC2"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F906FA">
            <w:rPr>
              <w:noProof/>
            </w:rPr>
            <w:t xml:space="preserve"> [39]</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r w:rsidR="00C10486">
        <w:fldChar w:fldCharType="begin"/>
      </w:r>
      <w:r w:rsidR="00C10486">
        <w:instrText xml:space="preserve"> SEQ Abb. \* ARABIC </w:instrText>
      </w:r>
      <w:r w:rsidR="00C10486">
        <w:fldChar w:fldCharType="separate"/>
      </w:r>
      <w:r w:rsidR="008F1729">
        <w:rPr>
          <w:noProof/>
        </w:rPr>
        <w:t>7</w:t>
      </w:r>
      <w:r w:rsidR="00C10486">
        <w:rPr>
          <w:noProof/>
        </w:rPr>
        <w:fldChar w:fldCharType="end"/>
      </w:r>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r w:rsidR="00C10486">
        <w:fldChar w:fldCharType="begin"/>
      </w:r>
      <w:r w:rsidR="00C10486">
        <w:instrText xml:space="preserve"> SEQ Abb. \* ARABIC </w:instrText>
      </w:r>
      <w:r w:rsidR="00C10486">
        <w:fldChar w:fldCharType="separate"/>
      </w:r>
      <w:r w:rsidR="008F1729">
        <w:rPr>
          <w:noProof/>
        </w:rPr>
        <w:t>8</w:t>
      </w:r>
      <w:r w:rsidR="00C10486">
        <w:rPr>
          <w:noProof/>
        </w:rPr>
        <w:fldChar w:fldCharType="end"/>
      </w:r>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r w:rsidR="00C10486">
        <w:fldChar w:fldCharType="begin"/>
      </w:r>
      <w:r w:rsidR="00C10486">
        <w:instrText xml:space="preserve"> SEQ Abb. \* ARABIC </w:instrText>
      </w:r>
      <w:r w:rsidR="00C10486">
        <w:fldChar w:fldCharType="separate"/>
      </w:r>
      <w:r w:rsidR="008F1729">
        <w:rPr>
          <w:noProof/>
        </w:rPr>
        <w:t>9</w:t>
      </w:r>
      <w:r w:rsidR="00C10486">
        <w:rPr>
          <w:noProof/>
        </w:rPr>
        <w:fldChar w:fldCharType="end"/>
      </w:r>
      <w:r>
        <w:t xml:space="preserve">: </w:t>
      </w:r>
      <w:r w:rsidRPr="000577ED">
        <w:t>CSV Datei mit Beispieldaten</w:t>
      </w:r>
      <w:bookmarkEnd w:id="68"/>
      <w:bookmarkEnd w:id="69"/>
    </w:p>
    <w:p w14:paraId="6477A15A" w14:textId="50F64680"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F906FA">
            <w:rPr>
              <w:noProof/>
            </w:rPr>
            <w:t>[40]</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r w:rsidR="00C10486">
        <w:fldChar w:fldCharType="begin"/>
      </w:r>
      <w:r w:rsidR="00C10486">
        <w:instrText xml:space="preserve"> SEQ Abb. \* ARABIC </w:instrText>
      </w:r>
      <w:r w:rsidR="00C10486">
        <w:fldChar w:fldCharType="separate"/>
      </w:r>
      <w:r w:rsidR="008F1729">
        <w:rPr>
          <w:noProof/>
        </w:rPr>
        <w:t>10</w:t>
      </w:r>
      <w:r w:rsidR="00C10486">
        <w:rPr>
          <w:noProof/>
        </w:rPr>
        <w:fldChar w:fldCharType="end"/>
      </w:r>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r w:rsidR="00C10486">
        <w:fldChar w:fldCharType="begin"/>
      </w:r>
      <w:r w:rsidR="00C10486">
        <w:instrText xml:space="preserve"> SEQ Abb. \* ARABIC </w:instrText>
      </w:r>
      <w:r w:rsidR="00C10486">
        <w:fldChar w:fldCharType="separate"/>
      </w:r>
      <w:r w:rsidR="008F1729">
        <w:rPr>
          <w:noProof/>
        </w:rPr>
        <w:t>11</w:t>
      </w:r>
      <w:r w:rsidR="00C10486">
        <w:rPr>
          <w:noProof/>
        </w:rPr>
        <w:fldChar w:fldCharType="end"/>
      </w:r>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r w:rsidR="00C10486">
        <w:fldChar w:fldCharType="begin"/>
      </w:r>
      <w:r w:rsidR="00C10486">
        <w:instrText xml:space="preserve"> SEQ Abb. \* ARABIC </w:instrText>
      </w:r>
      <w:r w:rsidR="00C10486">
        <w:fldChar w:fldCharType="separate"/>
      </w:r>
      <w:r w:rsidR="008F1729">
        <w:rPr>
          <w:noProof/>
        </w:rPr>
        <w:t>12</w:t>
      </w:r>
      <w:r w:rsidR="00C10486">
        <w:rPr>
          <w:noProof/>
        </w:rPr>
        <w:fldChar w:fldCharType="end"/>
      </w:r>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r w:rsidR="00C10486">
        <w:fldChar w:fldCharType="begin"/>
      </w:r>
      <w:r w:rsidR="00C10486">
        <w:instrText xml:space="preserve"> SEQ Abb. \* ARABIC </w:instrText>
      </w:r>
      <w:r w:rsidR="00C10486">
        <w:fldChar w:fldCharType="separate"/>
      </w:r>
      <w:r w:rsidR="008F1729">
        <w:rPr>
          <w:noProof/>
        </w:rPr>
        <w:t>13</w:t>
      </w:r>
      <w:r w:rsidR="00C10486">
        <w:rPr>
          <w:noProof/>
        </w:rPr>
        <w:fldChar w:fldCharType="end"/>
      </w:r>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C35173">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C35173">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C35173">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C35173">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C35173">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34102363" w14:textId="77777777" w:rsidR="00F906FA"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F906FA" w14:paraId="4FC88B2C" w14:textId="77777777">
                <w:trPr>
                  <w:divId w:val="747270544"/>
                  <w:tblCellSpacing w:w="15" w:type="dxa"/>
                </w:trPr>
                <w:tc>
                  <w:tcPr>
                    <w:tcW w:w="50" w:type="pct"/>
                    <w:hideMark/>
                  </w:tcPr>
                  <w:p w14:paraId="56A3A5DF" w14:textId="434B1FCF" w:rsidR="00F906FA" w:rsidRDefault="00F906FA">
                    <w:pPr>
                      <w:pStyle w:val="Literaturverzeichnis"/>
                      <w:rPr>
                        <w:noProof/>
                      </w:rPr>
                    </w:pPr>
                    <w:r>
                      <w:rPr>
                        <w:noProof/>
                      </w:rPr>
                      <w:t xml:space="preserve">[1] </w:t>
                    </w:r>
                  </w:p>
                </w:tc>
                <w:tc>
                  <w:tcPr>
                    <w:tcW w:w="0" w:type="auto"/>
                    <w:hideMark/>
                  </w:tcPr>
                  <w:p w14:paraId="5F1F5339" w14:textId="77777777" w:rsidR="00F906FA" w:rsidRDefault="00F906FA">
                    <w:pPr>
                      <w:pStyle w:val="Literaturverzeichnis"/>
                      <w:rPr>
                        <w:noProof/>
                      </w:rPr>
                    </w:pPr>
                    <w:r>
                      <w:rPr>
                        <w:noProof/>
                      </w:rPr>
                      <w:t>J. N. Templeman, D. P. S. und L. E. Sibert, „Virtual Locomotion: Walking in Place through Virtual Env ironments,“ Dezember 1999.</w:t>
                    </w:r>
                  </w:p>
                </w:tc>
              </w:tr>
              <w:tr w:rsidR="00F906FA" w14:paraId="1603C453" w14:textId="77777777">
                <w:trPr>
                  <w:divId w:val="747270544"/>
                  <w:tblCellSpacing w:w="15" w:type="dxa"/>
                </w:trPr>
                <w:tc>
                  <w:tcPr>
                    <w:tcW w:w="50" w:type="pct"/>
                    <w:hideMark/>
                  </w:tcPr>
                  <w:p w14:paraId="5B8FEC2D" w14:textId="77777777" w:rsidR="00F906FA" w:rsidRDefault="00F906FA">
                    <w:pPr>
                      <w:pStyle w:val="Literaturverzeichnis"/>
                      <w:rPr>
                        <w:noProof/>
                      </w:rPr>
                    </w:pPr>
                    <w:r>
                      <w:rPr>
                        <w:noProof/>
                      </w:rPr>
                      <w:t xml:space="preserve">[2] </w:t>
                    </w:r>
                  </w:p>
                </w:tc>
                <w:tc>
                  <w:tcPr>
                    <w:tcW w:w="0" w:type="auto"/>
                    <w:hideMark/>
                  </w:tcPr>
                  <w:p w14:paraId="3B646858" w14:textId="77777777" w:rsidR="00F906FA" w:rsidRDefault="00F906FA">
                    <w:pPr>
                      <w:pStyle w:val="Literaturverzeichnis"/>
                      <w:rPr>
                        <w:noProof/>
                      </w:rPr>
                    </w:pPr>
                    <w:r>
                      <w:rPr>
                        <w:noProof/>
                      </w:rPr>
                      <w:t>A. L. Simeone, I. Mavridou und W. Powell, „Altering User Movement Behaviour in Virtual Environments,“ April 2017.</w:t>
                    </w:r>
                  </w:p>
                </w:tc>
              </w:tr>
              <w:tr w:rsidR="00F906FA" w14:paraId="101EA826" w14:textId="77777777">
                <w:trPr>
                  <w:divId w:val="747270544"/>
                  <w:tblCellSpacing w:w="15" w:type="dxa"/>
                </w:trPr>
                <w:tc>
                  <w:tcPr>
                    <w:tcW w:w="50" w:type="pct"/>
                    <w:hideMark/>
                  </w:tcPr>
                  <w:p w14:paraId="298F5B27" w14:textId="77777777" w:rsidR="00F906FA" w:rsidRDefault="00F906FA">
                    <w:pPr>
                      <w:pStyle w:val="Literaturverzeichnis"/>
                      <w:rPr>
                        <w:noProof/>
                      </w:rPr>
                    </w:pPr>
                    <w:r>
                      <w:rPr>
                        <w:noProof/>
                      </w:rPr>
                      <w:t xml:space="preserve">[3] </w:t>
                    </w:r>
                  </w:p>
                </w:tc>
                <w:tc>
                  <w:tcPr>
                    <w:tcW w:w="0" w:type="auto"/>
                    <w:hideMark/>
                  </w:tcPr>
                  <w:p w14:paraId="7BA8A714" w14:textId="77777777" w:rsidR="00F906FA" w:rsidRDefault="00F906FA">
                    <w:pPr>
                      <w:pStyle w:val="Literaturverzeichnis"/>
                      <w:rPr>
                        <w:noProof/>
                      </w:rPr>
                    </w:pPr>
                    <w:r>
                      <w:rPr>
                        <w:noProof/>
                      </w:rPr>
                      <w:t>P. Fink, P. Foo und W. H. Warren, „Obstacle avoidance during walking in real and virtual environments,“ Januar 2007.</w:t>
                    </w:r>
                  </w:p>
                </w:tc>
              </w:tr>
              <w:tr w:rsidR="00F906FA" w14:paraId="569E99A9" w14:textId="77777777">
                <w:trPr>
                  <w:divId w:val="747270544"/>
                  <w:tblCellSpacing w:w="15" w:type="dxa"/>
                </w:trPr>
                <w:tc>
                  <w:tcPr>
                    <w:tcW w:w="50" w:type="pct"/>
                    <w:hideMark/>
                  </w:tcPr>
                  <w:p w14:paraId="03257347" w14:textId="77777777" w:rsidR="00F906FA" w:rsidRDefault="00F906FA">
                    <w:pPr>
                      <w:pStyle w:val="Literaturverzeichnis"/>
                      <w:rPr>
                        <w:noProof/>
                      </w:rPr>
                    </w:pPr>
                    <w:r>
                      <w:rPr>
                        <w:noProof/>
                      </w:rPr>
                      <w:t xml:space="preserve">[4] </w:t>
                    </w:r>
                  </w:p>
                </w:tc>
                <w:tc>
                  <w:tcPr>
                    <w:tcW w:w="0" w:type="auto"/>
                    <w:hideMark/>
                  </w:tcPr>
                  <w:p w14:paraId="4EC42A7B" w14:textId="77777777" w:rsidR="00F906FA" w:rsidRDefault="00F906FA">
                    <w:pPr>
                      <w:pStyle w:val="Literaturverzeichnis"/>
                      <w:rPr>
                        <w:noProof/>
                      </w:rPr>
                    </w:pPr>
                    <w:r>
                      <w:rPr>
                        <w:noProof/>
                      </w:rPr>
                      <w:t>S. Razzaque, D. Swapp, M. Slater, M. C. Whitton und A. Steed, „Redirected Walking in Place,“ 2002.</w:t>
                    </w:r>
                  </w:p>
                </w:tc>
              </w:tr>
              <w:tr w:rsidR="00F906FA" w14:paraId="3098E59C" w14:textId="77777777">
                <w:trPr>
                  <w:divId w:val="747270544"/>
                  <w:tblCellSpacing w:w="15" w:type="dxa"/>
                </w:trPr>
                <w:tc>
                  <w:tcPr>
                    <w:tcW w:w="50" w:type="pct"/>
                    <w:hideMark/>
                  </w:tcPr>
                  <w:p w14:paraId="1D79C53C" w14:textId="77777777" w:rsidR="00F906FA" w:rsidRDefault="00F906FA">
                    <w:pPr>
                      <w:pStyle w:val="Literaturverzeichnis"/>
                      <w:rPr>
                        <w:noProof/>
                      </w:rPr>
                    </w:pPr>
                    <w:r>
                      <w:rPr>
                        <w:noProof/>
                      </w:rPr>
                      <w:t xml:space="preserve">[5] </w:t>
                    </w:r>
                  </w:p>
                </w:tc>
                <w:tc>
                  <w:tcPr>
                    <w:tcW w:w="0" w:type="auto"/>
                    <w:hideMark/>
                  </w:tcPr>
                  <w:p w14:paraId="6390444B" w14:textId="77777777" w:rsidR="00F906FA" w:rsidRDefault="00F906FA">
                    <w:pPr>
                      <w:pStyle w:val="Literaturverzeichnis"/>
                      <w:rPr>
                        <w:noProof/>
                      </w:rPr>
                    </w:pPr>
                    <w:r>
                      <w:rPr>
                        <w:noProof/>
                      </w:rPr>
                      <w:t>M. C. W. Kroes, J. E. Dunsmoor, W. E. Mackey, M. McClay und E. A, „Context conditioning in humans using commercially available immersive Virtual Reality,“ 2017.</w:t>
                    </w:r>
                  </w:p>
                </w:tc>
              </w:tr>
              <w:tr w:rsidR="00F906FA" w14:paraId="227B4AE3" w14:textId="77777777">
                <w:trPr>
                  <w:divId w:val="747270544"/>
                  <w:tblCellSpacing w:w="15" w:type="dxa"/>
                </w:trPr>
                <w:tc>
                  <w:tcPr>
                    <w:tcW w:w="50" w:type="pct"/>
                    <w:hideMark/>
                  </w:tcPr>
                  <w:p w14:paraId="74AD6EE1" w14:textId="77777777" w:rsidR="00F906FA" w:rsidRDefault="00F906FA">
                    <w:pPr>
                      <w:pStyle w:val="Literaturverzeichnis"/>
                      <w:rPr>
                        <w:noProof/>
                      </w:rPr>
                    </w:pPr>
                    <w:r>
                      <w:rPr>
                        <w:noProof/>
                      </w:rPr>
                      <w:t xml:space="preserve">[6] </w:t>
                    </w:r>
                  </w:p>
                </w:tc>
                <w:tc>
                  <w:tcPr>
                    <w:tcW w:w="0" w:type="auto"/>
                    <w:hideMark/>
                  </w:tcPr>
                  <w:p w14:paraId="3C83AC71" w14:textId="77777777" w:rsidR="00F906FA" w:rsidRDefault="00F906FA">
                    <w:pPr>
                      <w:pStyle w:val="Literaturverzeichnis"/>
                      <w:rPr>
                        <w:noProof/>
                      </w:rPr>
                    </w:pPr>
                    <w:r>
                      <w:rPr>
                        <w:noProof/>
                      </w:rPr>
                      <w:t>H. Cherni, N. Métayer und N. Souliman, „Literature review of locomotion techniques in virtual reality,“ 2020.</w:t>
                    </w:r>
                  </w:p>
                </w:tc>
              </w:tr>
              <w:tr w:rsidR="00F906FA" w14:paraId="502CC459" w14:textId="77777777">
                <w:trPr>
                  <w:divId w:val="747270544"/>
                  <w:tblCellSpacing w:w="15" w:type="dxa"/>
                </w:trPr>
                <w:tc>
                  <w:tcPr>
                    <w:tcW w:w="50" w:type="pct"/>
                    <w:hideMark/>
                  </w:tcPr>
                  <w:p w14:paraId="6EF4A627" w14:textId="77777777" w:rsidR="00F906FA" w:rsidRDefault="00F906FA">
                    <w:pPr>
                      <w:pStyle w:val="Literaturverzeichnis"/>
                      <w:rPr>
                        <w:noProof/>
                      </w:rPr>
                    </w:pPr>
                    <w:r>
                      <w:rPr>
                        <w:noProof/>
                      </w:rPr>
                      <w:t xml:space="preserve">[7] </w:t>
                    </w:r>
                  </w:p>
                </w:tc>
                <w:tc>
                  <w:tcPr>
                    <w:tcW w:w="0" w:type="auto"/>
                    <w:hideMark/>
                  </w:tcPr>
                  <w:p w14:paraId="3A970F25" w14:textId="77777777" w:rsidR="00F906FA" w:rsidRDefault="00F906FA">
                    <w:pPr>
                      <w:pStyle w:val="Literaturverzeichnis"/>
                      <w:rPr>
                        <w:noProof/>
                      </w:rPr>
                    </w:pPr>
                    <w:r>
                      <w:rPr>
                        <w:noProof/>
                      </w:rPr>
                      <w:t>M. Usoh, K. Arthur, M. C. Whitton, R. Bastos, A. Steed, M. Slater und F. P. Brooks, „Walking &gt; Walking-in-Place &gt; Flying, in Virtual Environments,“ 1999.</w:t>
                    </w:r>
                  </w:p>
                </w:tc>
              </w:tr>
              <w:tr w:rsidR="00F906FA" w14:paraId="26125F13" w14:textId="77777777">
                <w:trPr>
                  <w:divId w:val="747270544"/>
                  <w:tblCellSpacing w:w="15" w:type="dxa"/>
                </w:trPr>
                <w:tc>
                  <w:tcPr>
                    <w:tcW w:w="50" w:type="pct"/>
                    <w:hideMark/>
                  </w:tcPr>
                  <w:p w14:paraId="6075763A" w14:textId="77777777" w:rsidR="00F906FA" w:rsidRDefault="00F906FA">
                    <w:pPr>
                      <w:pStyle w:val="Literaturverzeichnis"/>
                      <w:rPr>
                        <w:noProof/>
                      </w:rPr>
                    </w:pPr>
                    <w:r>
                      <w:rPr>
                        <w:noProof/>
                      </w:rPr>
                      <w:t xml:space="preserve">[8] </w:t>
                    </w:r>
                  </w:p>
                </w:tc>
                <w:tc>
                  <w:tcPr>
                    <w:tcW w:w="0" w:type="auto"/>
                    <w:hideMark/>
                  </w:tcPr>
                  <w:p w14:paraId="15457E7E" w14:textId="77777777" w:rsidR="00F906FA" w:rsidRDefault="00F906FA">
                    <w:pPr>
                      <w:pStyle w:val="Literaturverzeichnis"/>
                      <w:rPr>
                        <w:noProof/>
                      </w:rPr>
                    </w:pPr>
                    <w:r>
                      <w:rPr>
                        <w:noProof/>
                      </w:rPr>
                      <w:t>D. A. Bowman, D. Koller und L. F. Hodges, „Travel in Immersive Virtual Environments: An Evaluation of Viewpoint,“ 1997.</w:t>
                    </w:r>
                  </w:p>
                </w:tc>
              </w:tr>
              <w:tr w:rsidR="00F906FA" w14:paraId="49C6FE31" w14:textId="77777777">
                <w:trPr>
                  <w:divId w:val="747270544"/>
                  <w:tblCellSpacing w:w="15" w:type="dxa"/>
                </w:trPr>
                <w:tc>
                  <w:tcPr>
                    <w:tcW w:w="50" w:type="pct"/>
                    <w:hideMark/>
                  </w:tcPr>
                  <w:p w14:paraId="29D61154" w14:textId="77777777" w:rsidR="00F906FA" w:rsidRDefault="00F906FA">
                    <w:pPr>
                      <w:pStyle w:val="Literaturverzeichnis"/>
                      <w:rPr>
                        <w:noProof/>
                      </w:rPr>
                    </w:pPr>
                    <w:r>
                      <w:rPr>
                        <w:noProof/>
                      </w:rPr>
                      <w:t xml:space="preserve">[9] </w:t>
                    </w:r>
                  </w:p>
                </w:tc>
                <w:tc>
                  <w:tcPr>
                    <w:tcW w:w="0" w:type="auto"/>
                    <w:hideMark/>
                  </w:tcPr>
                  <w:p w14:paraId="14638A8D" w14:textId="77777777" w:rsidR="00F906FA" w:rsidRDefault="00F906FA">
                    <w:pPr>
                      <w:pStyle w:val="Literaturverzeichnis"/>
                      <w:rPr>
                        <w:noProof/>
                      </w:rPr>
                    </w:pPr>
                    <w:r>
                      <w:rPr>
                        <w:noProof/>
                      </w:rPr>
                      <w:t>R. A. Ruddle und S. Lessels, „The Benefits of Using a Walking Interface,“ April 2009.</w:t>
                    </w:r>
                  </w:p>
                </w:tc>
              </w:tr>
              <w:tr w:rsidR="00F906FA" w14:paraId="3B243973" w14:textId="77777777">
                <w:trPr>
                  <w:divId w:val="747270544"/>
                  <w:tblCellSpacing w:w="15" w:type="dxa"/>
                </w:trPr>
                <w:tc>
                  <w:tcPr>
                    <w:tcW w:w="50" w:type="pct"/>
                    <w:hideMark/>
                  </w:tcPr>
                  <w:p w14:paraId="721275C4" w14:textId="77777777" w:rsidR="00F906FA" w:rsidRDefault="00F906FA">
                    <w:pPr>
                      <w:pStyle w:val="Literaturverzeichnis"/>
                      <w:rPr>
                        <w:noProof/>
                      </w:rPr>
                    </w:pPr>
                    <w:r>
                      <w:rPr>
                        <w:noProof/>
                      </w:rPr>
                      <w:t xml:space="preserve">[10] </w:t>
                    </w:r>
                  </w:p>
                </w:tc>
                <w:tc>
                  <w:tcPr>
                    <w:tcW w:w="0" w:type="auto"/>
                    <w:hideMark/>
                  </w:tcPr>
                  <w:p w14:paraId="493CC37C" w14:textId="77777777" w:rsidR="00F906FA" w:rsidRDefault="00F906FA">
                    <w:pPr>
                      <w:pStyle w:val="Literaturverzeichnis"/>
                      <w:rPr>
                        <w:noProof/>
                      </w:rPr>
                    </w:pPr>
                    <w:r>
                      <w:rPr>
                        <w:noProof/>
                      </w:rPr>
                      <w:t>R. A. Ruddle, E. Volkova und H. H. Bülthoff, „Learning to Walk in Virtual Reality,“ Mai 2013.</w:t>
                    </w:r>
                  </w:p>
                </w:tc>
              </w:tr>
              <w:tr w:rsidR="00F906FA" w14:paraId="6F18EF72" w14:textId="77777777">
                <w:trPr>
                  <w:divId w:val="747270544"/>
                  <w:tblCellSpacing w:w="15" w:type="dxa"/>
                </w:trPr>
                <w:tc>
                  <w:tcPr>
                    <w:tcW w:w="50" w:type="pct"/>
                    <w:hideMark/>
                  </w:tcPr>
                  <w:p w14:paraId="77BCBC9A" w14:textId="77777777" w:rsidR="00F906FA" w:rsidRDefault="00F906FA">
                    <w:pPr>
                      <w:pStyle w:val="Literaturverzeichnis"/>
                      <w:rPr>
                        <w:noProof/>
                      </w:rPr>
                    </w:pPr>
                    <w:r>
                      <w:rPr>
                        <w:noProof/>
                      </w:rPr>
                      <w:t xml:space="preserve">[11] </w:t>
                    </w:r>
                  </w:p>
                </w:tc>
                <w:tc>
                  <w:tcPr>
                    <w:tcW w:w="0" w:type="auto"/>
                    <w:hideMark/>
                  </w:tcPr>
                  <w:p w14:paraId="1E9C5942" w14:textId="77777777" w:rsidR="00F906FA" w:rsidRDefault="00F906FA">
                    <w:pPr>
                      <w:pStyle w:val="Literaturverzeichnis"/>
                      <w:rPr>
                        <w:noProof/>
                      </w:rPr>
                    </w:pPr>
                    <w:r>
                      <w:rPr>
                        <w:noProof/>
                      </w:rPr>
                      <w:t>M. C. Whitton, J. V. Cohn, J. Feasel, P. Zimmons, S. Razzaque, S. .. Poulton, B. McLeod und F. P. Brooks, Jr., „Comparing VE Locomotion Interfaces,“ März 2005.</w:t>
                    </w:r>
                  </w:p>
                </w:tc>
              </w:tr>
              <w:tr w:rsidR="00F906FA" w14:paraId="51F2C1B8" w14:textId="77777777">
                <w:trPr>
                  <w:divId w:val="747270544"/>
                  <w:tblCellSpacing w:w="15" w:type="dxa"/>
                </w:trPr>
                <w:tc>
                  <w:tcPr>
                    <w:tcW w:w="50" w:type="pct"/>
                    <w:hideMark/>
                  </w:tcPr>
                  <w:p w14:paraId="2AA6EAA4" w14:textId="77777777" w:rsidR="00F906FA" w:rsidRDefault="00F906FA">
                    <w:pPr>
                      <w:pStyle w:val="Literaturverzeichnis"/>
                      <w:rPr>
                        <w:noProof/>
                      </w:rPr>
                    </w:pPr>
                    <w:r>
                      <w:rPr>
                        <w:noProof/>
                      </w:rPr>
                      <w:t xml:space="preserve">[12] </w:t>
                    </w:r>
                  </w:p>
                </w:tc>
                <w:tc>
                  <w:tcPr>
                    <w:tcW w:w="0" w:type="auto"/>
                    <w:hideMark/>
                  </w:tcPr>
                  <w:p w14:paraId="608463BA" w14:textId="77777777" w:rsidR="00F906FA" w:rsidRDefault="00F906FA">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F906FA" w14:paraId="5624147D" w14:textId="77777777">
                <w:trPr>
                  <w:divId w:val="747270544"/>
                  <w:tblCellSpacing w:w="15" w:type="dxa"/>
                </w:trPr>
                <w:tc>
                  <w:tcPr>
                    <w:tcW w:w="50" w:type="pct"/>
                    <w:hideMark/>
                  </w:tcPr>
                  <w:p w14:paraId="68FE7FF1" w14:textId="77777777" w:rsidR="00F906FA" w:rsidRDefault="00F906FA">
                    <w:pPr>
                      <w:pStyle w:val="Literaturverzeichnis"/>
                      <w:rPr>
                        <w:noProof/>
                      </w:rPr>
                    </w:pPr>
                    <w:r>
                      <w:rPr>
                        <w:noProof/>
                      </w:rPr>
                      <w:t xml:space="preserve">[13] </w:t>
                    </w:r>
                  </w:p>
                </w:tc>
                <w:tc>
                  <w:tcPr>
                    <w:tcW w:w="0" w:type="auto"/>
                    <w:hideMark/>
                  </w:tcPr>
                  <w:p w14:paraId="067F2110" w14:textId="77777777" w:rsidR="00F906FA" w:rsidRDefault="00F906FA">
                    <w:pPr>
                      <w:pStyle w:val="Literaturverzeichnis"/>
                      <w:rPr>
                        <w:noProof/>
                      </w:rPr>
                    </w:pPr>
                    <w:r>
                      <w:rPr>
                        <w:noProof/>
                      </w:rPr>
                      <w:t>S. Razzaque, Z. Kohn und M. C. Whitton, „Redirected Walking,“ 2001.</w:t>
                    </w:r>
                  </w:p>
                </w:tc>
              </w:tr>
              <w:tr w:rsidR="00F906FA" w14:paraId="3E21F62E" w14:textId="77777777">
                <w:trPr>
                  <w:divId w:val="747270544"/>
                  <w:tblCellSpacing w:w="15" w:type="dxa"/>
                </w:trPr>
                <w:tc>
                  <w:tcPr>
                    <w:tcW w:w="50" w:type="pct"/>
                    <w:hideMark/>
                  </w:tcPr>
                  <w:p w14:paraId="4132E9A9" w14:textId="77777777" w:rsidR="00F906FA" w:rsidRDefault="00F906FA">
                    <w:pPr>
                      <w:pStyle w:val="Literaturverzeichnis"/>
                      <w:rPr>
                        <w:noProof/>
                      </w:rPr>
                    </w:pPr>
                    <w:r>
                      <w:rPr>
                        <w:noProof/>
                      </w:rPr>
                      <w:t xml:space="preserve">[14] </w:t>
                    </w:r>
                  </w:p>
                </w:tc>
                <w:tc>
                  <w:tcPr>
                    <w:tcW w:w="0" w:type="auto"/>
                    <w:hideMark/>
                  </w:tcPr>
                  <w:p w14:paraId="593AC199" w14:textId="77777777" w:rsidR="00F906FA" w:rsidRDefault="00F906FA">
                    <w:pPr>
                      <w:pStyle w:val="Literaturverzeichnis"/>
                      <w:rPr>
                        <w:noProof/>
                      </w:rPr>
                    </w:pPr>
                    <w:r>
                      <w:rPr>
                        <w:noProof/>
                      </w:rPr>
                      <w:t>E. A. Suma, G. Bruder, F. Steinicke, D. M. Krum und M. Bolas, „A Taxonomy for Deploying Redirection Techniques in Immersive Virtual Environments,“ 2012.</w:t>
                    </w:r>
                  </w:p>
                </w:tc>
              </w:tr>
              <w:tr w:rsidR="00F906FA" w14:paraId="69F551C3" w14:textId="77777777">
                <w:trPr>
                  <w:divId w:val="747270544"/>
                  <w:tblCellSpacing w:w="15" w:type="dxa"/>
                </w:trPr>
                <w:tc>
                  <w:tcPr>
                    <w:tcW w:w="50" w:type="pct"/>
                    <w:hideMark/>
                  </w:tcPr>
                  <w:p w14:paraId="37EE1642" w14:textId="77777777" w:rsidR="00F906FA" w:rsidRDefault="00F906FA">
                    <w:pPr>
                      <w:pStyle w:val="Literaturverzeichnis"/>
                      <w:rPr>
                        <w:noProof/>
                      </w:rPr>
                    </w:pPr>
                    <w:r>
                      <w:rPr>
                        <w:noProof/>
                      </w:rPr>
                      <w:t xml:space="preserve">[15] </w:t>
                    </w:r>
                  </w:p>
                </w:tc>
                <w:tc>
                  <w:tcPr>
                    <w:tcW w:w="0" w:type="auto"/>
                    <w:hideMark/>
                  </w:tcPr>
                  <w:p w14:paraId="43D8A9C2" w14:textId="77777777" w:rsidR="00F906FA" w:rsidRDefault="00F906FA">
                    <w:pPr>
                      <w:pStyle w:val="Literaturverzeichnis"/>
                      <w:rPr>
                        <w:noProof/>
                      </w:rPr>
                    </w:pPr>
                    <w:r>
                      <w:rPr>
                        <w:noProof/>
                      </w:rPr>
                      <w:t>F. Steinicke, G. Bruder, L. Kohli, J. Jerald und K. Hinrichs, „Taxonomy and Implementation of Redirection Techniques for Ubiquitous Passive Haptic Feedback,“ 2008.</w:t>
                    </w:r>
                  </w:p>
                </w:tc>
              </w:tr>
              <w:tr w:rsidR="00F906FA" w14:paraId="750BFB66" w14:textId="77777777">
                <w:trPr>
                  <w:divId w:val="747270544"/>
                  <w:tblCellSpacing w:w="15" w:type="dxa"/>
                </w:trPr>
                <w:tc>
                  <w:tcPr>
                    <w:tcW w:w="50" w:type="pct"/>
                    <w:hideMark/>
                  </w:tcPr>
                  <w:p w14:paraId="034EA153" w14:textId="77777777" w:rsidR="00F906FA" w:rsidRDefault="00F906FA">
                    <w:pPr>
                      <w:pStyle w:val="Literaturverzeichnis"/>
                      <w:rPr>
                        <w:noProof/>
                      </w:rPr>
                    </w:pPr>
                    <w:r>
                      <w:rPr>
                        <w:noProof/>
                      </w:rPr>
                      <w:lastRenderedPageBreak/>
                      <w:t xml:space="preserve">[16] </w:t>
                    </w:r>
                  </w:p>
                </w:tc>
                <w:tc>
                  <w:tcPr>
                    <w:tcW w:w="0" w:type="auto"/>
                    <w:hideMark/>
                  </w:tcPr>
                  <w:p w14:paraId="7A8FADD0" w14:textId="77777777" w:rsidR="00F906FA" w:rsidRDefault="00F906FA">
                    <w:pPr>
                      <w:pStyle w:val="Literaturverzeichnis"/>
                      <w:rPr>
                        <w:noProof/>
                      </w:rPr>
                    </w:pPr>
                    <w:r>
                      <w:rPr>
                        <w:noProof/>
                      </w:rPr>
                      <w:t>F. Steinicke, G. Bruder, J. Jerald, H. Frenz und M. Lappe, „Analyses of Human Sensitivity to Redirected Walking,“ 2008.</w:t>
                    </w:r>
                  </w:p>
                </w:tc>
              </w:tr>
              <w:tr w:rsidR="00F906FA" w14:paraId="31259047" w14:textId="77777777">
                <w:trPr>
                  <w:divId w:val="747270544"/>
                  <w:tblCellSpacing w:w="15" w:type="dxa"/>
                </w:trPr>
                <w:tc>
                  <w:tcPr>
                    <w:tcW w:w="50" w:type="pct"/>
                    <w:hideMark/>
                  </w:tcPr>
                  <w:p w14:paraId="67B86C1E" w14:textId="77777777" w:rsidR="00F906FA" w:rsidRDefault="00F906FA">
                    <w:pPr>
                      <w:pStyle w:val="Literaturverzeichnis"/>
                      <w:rPr>
                        <w:noProof/>
                      </w:rPr>
                    </w:pPr>
                    <w:r>
                      <w:rPr>
                        <w:noProof/>
                      </w:rPr>
                      <w:t xml:space="preserve">[17] </w:t>
                    </w:r>
                  </w:p>
                </w:tc>
                <w:tc>
                  <w:tcPr>
                    <w:tcW w:w="0" w:type="auto"/>
                    <w:hideMark/>
                  </w:tcPr>
                  <w:p w14:paraId="2918A2AD" w14:textId="77777777" w:rsidR="00F906FA" w:rsidRDefault="00F906FA">
                    <w:pPr>
                      <w:pStyle w:val="Literaturverzeichnis"/>
                      <w:rPr>
                        <w:noProof/>
                      </w:rPr>
                    </w:pPr>
                    <w:r>
                      <w:rPr>
                        <w:noProof/>
                      </w:rPr>
                      <w:t>F. Steinicke, G. Bruder, T. Ropinski und K. Hinrichs, „Moving Towards Generally Applicable Redirected Walking,“ 2008.</w:t>
                    </w:r>
                  </w:p>
                </w:tc>
              </w:tr>
              <w:tr w:rsidR="00F906FA" w14:paraId="103A42A3" w14:textId="77777777">
                <w:trPr>
                  <w:divId w:val="747270544"/>
                  <w:tblCellSpacing w:w="15" w:type="dxa"/>
                </w:trPr>
                <w:tc>
                  <w:tcPr>
                    <w:tcW w:w="50" w:type="pct"/>
                    <w:hideMark/>
                  </w:tcPr>
                  <w:p w14:paraId="091CCDEF" w14:textId="77777777" w:rsidR="00F906FA" w:rsidRDefault="00F906FA">
                    <w:pPr>
                      <w:pStyle w:val="Literaturverzeichnis"/>
                      <w:rPr>
                        <w:noProof/>
                      </w:rPr>
                    </w:pPr>
                    <w:r>
                      <w:rPr>
                        <w:noProof/>
                      </w:rPr>
                      <w:t xml:space="preserve">[18] </w:t>
                    </w:r>
                  </w:p>
                </w:tc>
                <w:tc>
                  <w:tcPr>
                    <w:tcW w:w="0" w:type="auto"/>
                    <w:hideMark/>
                  </w:tcPr>
                  <w:p w14:paraId="31151102" w14:textId="77777777" w:rsidR="00F906FA" w:rsidRDefault="00F906FA">
                    <w:pPr>
                      <w:pStyle w:val="Literaturverzeichnis"/>
                      <w:rPr>
                        <w:noProof/>
                      </w:rPr>
                    </w:pPr>
                    <w:r>
                      <w:rPr>
                        <w:noProof/>
                      </w:rPr>
                      <w:t>G. Bruder, F. Steinicke und K. H. Hinrichs, „Arch-Explore: A natural user interface for immersive architectural,“ 2009.</w:t>
                    </w:r>
                  </w:p>
                </w:tc>
              </w:tr>
              <w:tr w:rsidR="00F906FA" w14:paraId="7BBE579B" w14:textId="77777777">
                <w:trPr>
                  <w:divId w:val="747270544"/>
                  <w:tblCellSpacing w:w="15" w:type="dxa"/>
                </w:trPr>
                <w:tc>
                  <w:tcPr>
                    <w:tcW w:w="50" w:type="pct"/>
                    <w:hideMark/>
                  </w:tcPr>
                  <w:p w14:paraId="261B1094" w14:textId="77777777" w:rsidR="00F906FA" w:rsidRDefault="00F906FA">
                    <w:pPr>
                      <w:pStyle w:val="Literaturverzeichnis"/>
                      <w:rPr>
                        <w:noProof/>
                      </w:rPr>
                    </w:pPr>
                    <w:r>
                      <w:rPr>
                        <w:noProof/>
                      </w:rPr>
                      <w:t xml:space="preserve">[19] </w:t>
                    </w:r>
                  </w:p>
                </w:tc>
                <w:tc>
                  <w:tcPr>
                    <w:tcW w:w="0" w:type="auto"/>
                    <w:hideMark/>
                  </w:tcPr>
                  <w:p w14:paraId="7757BB6E" w14:textId="77777777" w:rsidR="00F906FA" w:rsidRDefault="00F906FA">
                    <w:pPr>
                      <w:pStyle w:val="Literaturverzeichnis"/>
                      <w:rPr>
                        <w:noProof/>
                      </w:rPr>
                    </w:pPr>
                    <w:r>
                      <w:rPr>
                        <w:noProof/>
                      </w:rPr>
                      <w:t>B. Williams, G. Narasimham, T. P. McNamara, T. H. Carr, J. J. Rieser und B. Bodenheimer, „Updating orientation in large virtual environments using scaled translational gain,“ 2006.</w:t>
                    </w:r>
                  </w:p>
                </w:tc>
              </w:tr>
              <w:tr w:rsidR="00F906FA" w14:paraId="4FFE1226" w14:textId="77777777">
                <w:trPr>
                  <w:divId w:val="747270544"/>
                  <w:tblCellSpacing w:w="15" w:type="dxa"/>
                </w:trPr>
                <w:tc>
                  <w:tcPr>
                    <w:tcW w:w="50" w:type="pct"/>
                    <w:hideMark/>
                  </w:tcPr>
                  <w:p w14:paraId="5033BDD5" w14:textId="77777777" w:rsidR="00F906FA" w:rsidRDefault="00F906FA">
                    <w:pPr>
                      <w:pStyle w:val="Literaturverzeichnis"/>
                      <w:rPr>
                        <w:noProof/>
                      </w:rPr>
                    </w:pPr>
                    <w:r>
                      <w:rPr>
                        <w:noProof/>
                      </w:rPr>
                      <w:t xml:space="preserve">[20] </w:t>
                    </w:r>
                  </w:p>
                </w:tc>
                <w:tc>
                  <w:tcPr>
                    <w:tcW w:w="0" w:type="auto"/>
                    <w:hideMark/>
                  </w:tcPr>
                  <w:p w14:paraId="6C067D34" w14:textId="77777777" w:rsidR="00F906FA" w:rsidRDefault="00F906FA">
                    <w:pPr>
                      <w:pStyle w:val="Literaturverzeichnis"/>
                      <w:rPr>
                        <w:noProof/>
                      </w:rPr>
                    </w:pPr>
                    <w:r>
                      <w:rPr>
                        <w:noProof/>
                      </w:rPr>
                      <w:t>V. Interrante, B. Ries und L. Anderson, „Seven League Boots: A New Metaphor for Augmented Locomotion through Moderately Large Scale Immersive Virtual Environments,“ 2007.</w:t>
                    </w:r>
                  </w:p>
                </w:tc>
              </w:tr>
              <w:tr w:rsidR="00F906FA" w14:paraId="1521E800" w14:textId="77777777">
                <w:trPr>
                  <w:divId w:val="747270544"/>
                  <w:tblCellSpacing w:w="15" w:type="dxa"/>
                </w:trPr>
                <w:tc>
                  <w:tcPr>
                    <w:tcW w:w="50" w:type="pct"/>
                    <w:hideMark/>
                  </w:tcPr>
                  <w:p w14:paraId="610B2920" w14:textId="77777777" w:rsidR="00F906FA" w:rsidRDefault="00F906FA">
                    <w:pPr>
                      <w:pStyle w:val="Literaturverzeichnis"/>
                      <w:rPr>
                        <w:noProof/>
                      </w:rPr>
                    </w:pPr>
                    <w:r>
                      <w:rPr>
                        <w:noProof/>
                      </w:rPr>
                      <w:t xml:space="preserve">[21] </w:t>
                    </w:r>
                  </w:p>
                </w:tc>
                <w:tc>
                  <w:tcPr>
                    <w:tcW w:w="0" w:type="auto"/>
                    <w:hideMark/>
                  </w:tcPr>
                  <w:p w14:paraId="04358AFE" w14:textId="77777777" w:rsidR="00F906FA" w:rsidRDefault="00F906FA">
                    <w:pPr>
                      <w:pStyle w:val="Literaturverzeichnis"/>
                      <w:rPr>
                        <w:noProof/>
                      </w:rPr>
                    </w:pPr>
                    <w:r>
                      <w:rPr>
                        <w:noProof/>
                      </w:rPr>
                      <w:t>F. Steinicke, G. Bruder, J. Jerald, H. Frenz und M. Lappe, „Estimation of Detection Thresholds for Redirected Walking Techniques,“ 2009.</w:t>
                    </w:r>
                  </w:p>
                </w:tc>
              </w:tr>
              <w:tr w:rsidR="00F906FA" w14:paraId="7B861E6E" w14:textId="77777777">
                <w:trPr>
                  <w:divId w:val="747270544"/>
                  <w:tblCellSpacing w:w="15" w:type="dxa"/>
                </w:trPr>
                <w:tc>
                  <w:tcPr>
                    <w:tcW w:w="50" w:type="pct"/>
                    <w:hideMark/>
                  </w:tcPr>
                  <w:p w14:paraId="50CE048B" w14:textId="77777777" w:rsidR="00F906FA" w:rsidRDefault="00F906FA">
                    <w:pPr>
                      <w:pStyle w:val="Literaturverzeichnis"/>
                      <w:rPr>
                        <w:noProof/>
                      </w:rPr>
                    </w:pPr>
                    <w:r>
                      <w:rPr>
                        <w:noProof/>
                      </w:rPr>
                      <w:t xml:space="preserve">[22] </w:t>
                    </w:r>
                  </w:p>
                </w:tc>
                <w:tc>
                  <w:tcPr>
                    <w:tcW w:w="0" w:type="auto"/>
                    <w:hideMark/>
                  </w:tcPr>
                  <w:p w14:paraId="0A911959" w14:textId="77777777" w:rsidR="00F906FA" w:rsidRDefault="00F906FA">
                    <w:pPr>
                      <w:pStyle w:val="Literaturverzeichnis"/>
                      <w:rPr>
                        <w:noProof/>
                      </w:rPr>
                    </w:pPr>
                    <w:r>
                      <w:rPr>
                        <w:noProof/>
                      </w:rPr>
                      <w:t>G. Bruder, F. Steinicke und P. Wieland, „Self-Motion Illusions in Immersive Virtual Reality Environments,“ 2011.</w:t>
                    </w:r>
                  </w:p>
                </w:tc>
              </w:tr>
              <w:tr w:rsidR="00F906FA" w14:paraId="0FFFDC81" w14:textId="77777777">
                <w:trPr>
                  <w:divId w:val="747270544"/>
                  <w:tblCellSpacing w:w="15" w:type="dxa"/>
                </w:trPr>
                <w:tc>
                  <w:tcPr>
                    <w:tcW w:w="50" w:type="pct"/>
                    <w:hideMark/>
                  </w:tcPr>
                  <w:p w14:paraId="634A5D84" w14:textId="77777777" w:rsidR="00F906FA" w:rsidRDefault="00F906FA">
                    <w:pPr>
                      <w:pStyle w:val="Literaturverzeichnis"/>
                      <w:rPr>
                        <w:noProof/>
                      </w:rPr>
                    </w:pPr>
                    <w:r>
                      <w:rPr>
                        <w:noProof/>
                      </w:rPr>
                      <w:t xml:space="preserve">[23] </w:t>
                    </w:r>
                  </w:p>
                </w:tc>
                <w:tc>
                  <w:tcPr>
                    <w:tcW w:w="0" w:type="auto"/>
                    <w:hideMark/>
                  </w:tcPr>
                  <w:p w14:paraId="36F27F06" w14:textId="77777777" w:rsidR="00F906FA" w:rsidRDefault="00F906FA">
                    <w:pPr>
                      <w:pStyle w:val="Literaturverzeichnis"/>
                      <w:rPr>
                        <w:noProof/>
                      </w:rPr>
                    </w:pPr>
                    <w:r>
                      <w:rPr>
                        <w:noProof/>
                      </w:rPr>
                      <w:t>F. Steinicke, G. Bruder, K. Hinrichs und A. Steed, „Gradual transitions and their effects on presence and distance estimation,“ 2009.</w:t>
                    </w:r>
                  </w:p>
                </w:tc>
              </w:tr>
              <w:tr w:rsidR="00F906FA" w14:paraId="49B8510F" w14:textId="77777777">
                <w:trPr>
                  <w:divId w:val="747270544"/>
                  <w:tblCellSpacing w:w="15" w:type="dxa"/>
                </w:trPr>
                <w:tc>
                  <w:tcPr>
                    <w:tcW w:w="50" w:type="pct"/>
                    <w:hideMark/>
                  </w:tcPr>
                  <w:p w14:paraId="65BAF3BD" w14:textId="77777777" w:rsidR="00F906FA" w:rsidRDefault="00F906FA">
                    <w:pPr>
                      <w:pStyle w:val="Literaturverzeichnis"/>
                      <w:rPr>
                        <w:noProof/>
                      </w:rPr>
                    </w:pPr>
                    <w:r>
                      <w:rPr>
                        <w:noProof/>
                      </w:rPr>
                      <w:t xml:space="preserve">[24] </w:t>
                    </w:r>
                  </w:p>
                </w:tc>
                <w:tc>
                  <w:tcPr>
                    <w:tcW w:w="0" w:type="auto"/>
                    <w:hideMark/>
                  </w:tcPr>
                  <w:p w14:paraId="50258050" w14:textId="77777777" w:rsidR="00F906FA" w:rsidRDefault="00F906FA">
                    <w:pPr>
                      <w:pStyle w:val="Literaturverzeichnis"/>
                      <w:rPr>
                        <w:noProof/>
                      </w:rPr>
                    </w:pPr>
                    <w:r>
                      <w:rPr>
                        <w:noProof/>
                      </w:rPr>
                      <w:t>B. Williams, G. Narasimham, B. Rump und T. McNamara, „Exploring Large Virtual Environments with an HMD when Physical Space is Limited,“ 2007.</w:t>
                    </w:r>
                  </w:p>
                </w:tc>
              </w:tr>
              <w:tr w:rsidR="00F906FA" w14:paraId="3DCFF64C" w14:textId="77777777">
                <w:trPr>
                  <w:divId w:val="747270544"/>
                  <w:tblCellSpacing w:w="15" w:type="dxa"/>
                </w:trPr>
                <w:tc>
                  <w:tcPr>
                    <w:tcW w:w="50" w:type="pct"/>
                    <w:hideMark/>
                  </w:tcPr>
                  <w:p w14:paraId="3F0A77AD" w14:textId="77777777" w:rsidR="00F906FA" w:rsidRDefault="00F906FA">
                    <w:pPr>
                      <w:pStyle w:val="Literaturverzeichnis"/>
                      <w:rPr>
                        <w:noProof/>
                      </w:rPr>
                    </w:pPr>
                    <w:r>
                      <w:rPr>
                        <w:noProof/>
                      </w:rPr>
                      <w:t xml:space="preserve">[25] </w:t>
                    </w:r>
                  </w:p>
                </w:tc>
                <w:tc>
                  <w:tcPr>
                    <w:tcW w:w="0" w:type="auto"/>
                    <w:hideMark/>
                  </w:tcPr>
                  <w:p w14:paraId="0F9E0FC7" w14:textId="77777777" w:rsidR="00F906FA" w:rsidRDefault="00F906FA">
                    <w:pPr>
                      <w:pStyle w:val="Literaturverzeichnis"/>
                      <w:rPr>
                        <w:noProof/>
                      </w:rPr>
                    </w:pPr>
                    <w:r>
                      <w:rPr>
                        <w:noProof/>
                      </w:rPr>
                      <w:t>T. Peck, H. Fuchs und M. Whitton, „Evaluation of Reorientation Techniques and Distractors for Walking in Large Virtual Environments,“ 2008.</w:t>
                    </w:r>
                  </w:p>
                </w:tc>
              </w:tr>
              <w:tr w:rsidR="00F906FA" w14:paraId="5F1FA8C1" w14:textId="77777777">
                <w:trPr>
                  <w:divId w:val="747270544"/>
                  <w:tblCellSpacing w:w="15" w:type="dxa"/>
                </w:trPr>
                <w:tc>
                  <w:tcPr>
                    <w:tcW w:w="50" w:type="pct"/>
                    <w:hideMark/>
                  </w:tcPr>
                  <w:p w14:paraId="6E289381" w14:textId="77777777" w:rsidR="00F906FA" w:rsidRDefault="00F906FA">
                    <w:pPr>
                      <w:pStyle w:val="Literaturverzeichnis"/>
                      <w:rPr>
                        <w:noProof/>
                      </w:rPr>
                    </w:pPr>
                    <w:r>
                      <w:rPr>
                        <w:noProof/>
                      </w:rPr>
                      <w:t xml:space="preserve">[26] </w:t>
                    </w:r>
                  </w:p>
                </w:tc>
                <w:tc>
                  <w:tcPr>
                    <w:tcW w:w="0" w:type="auto"/>
                    <w:hideMark/>
                  </w:tcPr>
                  <w:p w14:paraId="25AFAA29" w14:textId="77777777" w:rsidR="00F906FA" w:rsidRDefault="00F906FA">
                    <w:pPr>
                      <w:pStyle w:val="Literaturverzeichnis"/>
                      <w:rPr>
                        <w:noProof/>
                      </w:rPr>
                    </w:pPr>
                    <w:r>
                      <w:rPr>
                        <w:noProof/>
                      </w:rPr>
                      <w:t>E. Suma, S. Clark, S. Finkelstein und Z. Wartell, „Leveraging Change Blindness for Redirection in Virtual Environments,“ 2011.</w:t>
                    </w:r>
                  </w:p>
                </w:tc>
              </w:tr>
              <w:tr w:rsidR="00F906FA" w14:paraId="0BEE9E64" w14:textId="77777777">
                <w:trPr>
                  <w:divId w:val="747270544"/>
                  <w:tblCellSpacing w:w="15" w:type="dxa"/>
                </w:trPr>
                <w:tc>
                  <w:tcPr>
                    <w:tcW w:w="50" w:type="pct"/>
                    <w:hideMark/>
                  </w:tcPr>
                  <w:p w14:paraId="5C99E75A" w14:textId="77777777" w:rsidR="00F906FA" w:rsidRDefault="00F906FA">
                    <w:pPr>
                      <w:pStyle w:val="Literaturverzeichnis"/>
                      <w:rPr>
                        <w:noProof/>
                      </w:rPr>
                    </w:pPr>
                    <w:r>
                      <w:rPr>
                        <w:noProof/>
                      </w:rPr>
                      <w:t xml:space="preserve">[27] </w:t>
                    </w:r>
                  </w:p>
                </w:tc>
                <w:tc>
                  <w:tcPr>
                    <w:tcW w:w="0" w:type="auto"/>
                    <w:hideMark/>
                  </w:tcPr>
                  <w:p w14:paraId="174D4F79" w14:textId="77777777" w:rsidR="00F906FA" w:rsidRDefault="00F906FA">
                    <w:pPr>
                      <w:pStyle w:val="Literaturverzeichnis"/>
                      <w:rPr>
                        <w:noProof/>
                      </w:rPr>
                    </w:pPr>
                    <w:r>
                      <w:rPr>
                        <w:noProof/>
                      </w:rPr>
                      <w:t>D. Simons, „Current Approaches to Change Blindness,“ 2000.</w:t>
                    </w:r>
                  </w:p>
                </w:tc>
              </w:tr>
              <w:tr w:rsidR="00F906FA" w14:paraId="5A41692D" w14:textId="77777777">
                <w:trPr>
                  <w:divId w:val="747270544"/>
                  <w:tblCellSpacing w:w="15" w:type="dxa"/>
                </w:trPr>
                <w:tc>
                  <w:tcPr>
                    <w:tcW w:w="50" w:type="pct"/>
                    <w:hideMark/>
                  </w:tcPr>
                  <w:p w14:paraId="5C3F161A" w14:textId="77777777" w:rsidR="00F906FA" w:rsidRDefault="00F906FA">
                    <w:pPr>
                      <w:pStyle w:val="Literaturverzeichnis"/>
                      <w:rPr>
                        <w:noProof/>
                      </w:rPr>
                    </w:pPr>
                    <w:r>
                      <w:rPr>
                        <w:noProof/>
                      </w:rPr>
                      <w:t xml:space="preserve">[28] </w:t>
                    </w:r>
                  </w:p>
                </w:tc>
                <w:tc>
                  <w:tcPr>
                    <w:tcW w:w="0" w:type="auto"/>
                    <w:hideMark/>
                  </w:tcPr>
                  <w:p w14:paraId="7B3FD0FD" w14:textId="77777777" w:rsidR="00F906FA" w:rsidRDefault="00F906FA">
                    <w:pPr>
                      <w:pStyle w:val="Literaturverzeichnis"/>
                      <w:rPr>
                        <w:noProof/>
                      </w:rPr>
                    </w:pPr>
                    <w:r>
                      <w:rPr>
                        <w:noProof/>
                      </w:rPr>
                      <w:t>Z. Wang, H. Wei, K. Zhang und L. Xie, „Real Walking in Place: HEX-CORE-PROTOTYPE Omnidirectional Treadmill,“ 2020.</w:t>
                    </w:r>
                  </w:p>
                </w:tc>
              </w:tr>
              <w:tr w:rsidR="00F906FA" w14:paraId="47A9E23B" w14:textId="77777777">
                <w:trPr>
                  <w:divId w:val="747270544"/>
                  <w:tblCellSpacing w:w="15" w:type="dxa"/>
                </w:trPr>
                <w:tc>
                  <w:tcPr>
                    <w:tcW w:w="50" w:type="pct"/>
                    <w:hideMark/>
                  </w:tcPr>
                  <w:p w14:paraId="1A6CD983" w14:textId="77777777" w:rsidR="00F906FA" w:rsidRDefault="00F906FA">
                    <w:pPr>
                      <w:pStyle w:val="Literaturverzeichnis"/>
                      <w:rPr>
                        <w:noProof/>
                      </w:rPr>
                    </w:pPr>
                    <w:r>
                      <w:rPr>
                        <w:noProof/>
                      </w:rPr>
                      <w:t xml:space="preserve">[29] </w:t>
                    </w:r>
                  </w:p>
                </w:tc>
                <w:tc>
                  <w:tcPr>
                    <w:tcW w:w="0" w:type="auto"/>
                    <w:hideMark/>
                  </w:tcPr>
                  <w:p w14:paraId="5CE13B39" w14:textId="77777777" w:rsidR="00F906FA" w:rsidRDefault="00F906FA">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F906FA" w14:paraId="5C952513" w14:textId="77777777">
                <w:trPr>
                  <w:divId w:val="747270544"/>
                  <w:tblCellSpacing w:w="15" w:type="dxa"/>
                </w:trPr>
                <w:tc>
                  <w:tcPr>
                    <w:tcW w:w="50" w:type="pct"/>
                    <w:hideMark/>
                  </w:tcPr>
                  <w:p w14:paraId="5B58DA2F" w14:textId="77777777" w:rsidR="00F906FA" w:rsidRDefault="00F906FA">
                    <w:pPr>
                      <w:pStyle w:val="Literaturverzeichnis"/>
                      <w:rPr>
                        <w:noProof/>
                      </w:rPr>
                    </w:pPr>
                    <w:r>
                      <w:rPr>
                        <w:noProof/>
                      </w:rPr>
                      <w:t xml:space="preserve">[30] </w:t>
                    </w:r>
                  </w:p>
                </w:tc>
                <w:tc>
                  <w:tcPr>
                    <w:tcW w:w="0" w:type="auto"/>
                    <w:hideMark/>
                  </w:tcPr>
                  <w:p w14:paraId="7AB7145D" w14:textId="77777777" w:rsidR="00F906FA" w:rsidRDefault="00F906FA">
                    <w:pPr>
                      <w:pStyle w:val="Literaturverzeichnis"/>
                      <w:rPr>
                        <w:noProof/>
                      </w:rPr>
                    </w:pPr>
                    <w:r>
                      <w:rPr>
                        <w:noProof/>
                      </w:rPr>
                      <w:t>B. Williams, S. Bailey, G. Narasimham, M. Li und B. Bodenheimer, „Evaluation of Walking in Place on a Wii Balance Board to Explore a Virtual Environment,“ 2011.</w:t>
                    </w:r>
                  </w:p>
                </w:tc>
              </w:tr>
              <w:tr w:rsidR="00F906FA" w14:paraId="5AE98F31" w14:textId="77777777">
                <w:trPr>
                  <w:divId w:val="747270544"/>
                  <w:tblCellSpacing w:w="15" w:type="dxa"/>
                </w:trPr>
                <w:tc>
                  <w:tcPr>
                    <w:tcW w:w="50" w:type="pct"/>
                    <w:hideMark/>
                  </w:tcPr>
                  <w:p w14:paraId="60BC3C51" w14:textId="77777777" w:rsidR="00F906FA" w:rsidRDefault="00F906FA">
                    <w:pPr>
                      <w:pStyle w:val="Literaturverzeichnis"/>
                      <w:rPr>
                        <w:noProof/>
                      </w:rPr>
                    </w:pPr>
                    <w:r>
                      <w:rPr>
                        <w:noProof/>
                      </w:rPr>
                      <w:lastRenderedPageBreak/>
                      <w:t xml:space="preserve">[31] </w:t>
                    </w:r>
                  </w:p>
                </w:tc>
                <w:tc>
                  <w:tcPr>
                    <w:tcW w:w="0" w:type="auto"/>
                    <w:hideMark/>
                  </w:tcPr>
                  <w:p w14:paraId="3062D747" w14:textId="77777777" w:rsidR="00F906FA" w:rsidRDefault="00F906FA">
                    <w:pPr>
                      <w:pStyle w:val="Literaturverzeichnis"/>
                      <w:rPr>
                        <w:noProof/>
                      </w:rPr>
                    </w:pPr>
                    <w:r>
                      <w:rPr>
                        <w:noProof/>
                      </w:rPr>
                      <w:t>D. Zielinski, R. McMahan und R. Brady, „Shadow Walking: an Unencumbered Locomotion Technique for Systems with Under-floor Projection,“ 2011.</w:t>
                    </w:r>
                  </w:p>
                </w:tc>
              </w:tr>
              <w:tr w:rsidR="00F906FA" w14:paraId="61F24D37" w14:textId="77777777">
                <w:trPr>
                  <w:divId w:val="747270544"/>
                  <w:tblCellSpacing w:w="15" w:type="dxa"/>
                </w:trPr>
                <w:tc>
                  <w:tcPr>
                    <w:tcW w:w="50" w:type="pct"/>
                    <w:hideMark/>
                  </w:tcPr>
                  <w:p w14:paraId="4D2720D1" w14:textId="77777777" w:rsidR="00F906FA" w:rsidRDefault="00F906FA">
                    <w:pPr>
                      <w:pStyle w:val="Literaturverzeichnis"/>
                      <w:rPr>
                        <w:noProof/>
                      </w:rPr>
                    </w:pPr>
                    <w:r>
                      <w:rPr>
                        <w:noProof/>
                      </w:rPr>
                      <w:t xml:space="preserve">[32] </w:t>
                    </w:r>
                  </w:p>
                </w:tc>
                <w:tc>
                  <w:tcPr>
                    <w:tcW w:w="0" w:type="auto"/>
                    <w:hideMark/>
                  </w:tcPr>
                  <w:p w14:paraId="7122DFD8" w14:textId="77777777" w:rsidR="00F906FA" w:rsidRDefault="00F906FA">
                    <w:pPr>
                      <w:pStyle w:val="Literaturverzeichnis"/>
                      <w:rPr>
                        <w:noProof/>
                      </w:rPr>
                    </w:pPr>
                    <w:r>
                      <w:rPr>
                        <w:noProof/>
                      </w:rPr>
                      <w:t>J. Lee, S. C. Ahn und J. Hwang, „A Walking-in-Place Method for Virtual Reality Using Position and Orientation Tracking,“ 2018.</w:t>
                    </w:r>
                  </w:p>
                </w:tc>
              </w:tr>
              <w:tr w:rsidR="00F906FA" w14:paraId="0526D064" w14:textId="77777777">
                <w:trPr>
                  <w:divId w:val="747270544"/>
                  <w:tblCellSpacing w:w="15" w:type="dxa"/>
                </w:trPr>
                <w:tc>
                  <w:tcPr>
                    <w:tcW w:w="50" w:type="pct"/>
                    <w:hideMark/>
                  </w:tcPr>
                  <w:p w14:paraId="2789189D" w14:textId="77777777" w:rsidR="00F906FA" w:rsidRDefault="00F906FA">
                    <w:pPr>
                      <w:pStyle w:val="Literaturverzeichnis"/>
                      <w:rPr>
                        <w:noProof/>
                      </w:rPr>
                    </w:pPr>
                    <w:r>
                      <w:rPr>
                        <w:noProof/>
                      </w:rPr>
                      <w:t xml:space="preserve">[33] </w:t>
                    </w:r>
                  </w:p>
                </w:tc>
                <w:tc>
                  <w:tcPr>
                    <w:tcW w:w="0" w:type="auto"/>
                    <w:hideMark/>
                  </w:tcPr>
                  <w:p w14:paraId="51820C83" w14:textId="77777777" w:rsidR="00F906FA" w:rsidRDefault="00F906FA">
                    <w:pPr>
                      <w:pStyle w:val="Literaturverzeichnis"/>
                      <w:rPr>
                        <w:noProof/>
                      </w:rPr>
                    </w:pPr>
                    <w:r>
                      <w:rPr>
                        <w:noProof/>
                      </w:rPr>
                      <w:t>D. Zielasko, S. Horn, S. Freitag, B. Weyers und T. Kuhlen, „Evaluation of Hands-Free HMD-Based Navigation Techniques for Immersive Data Analysis,“ 2016.</w:t>
                    </w:r>
                  </w:p>
                </w:tc>
              </w:tr>
              <w:tr w:rsidR="00F906FA" w14:paraId="49E1EDB0" w14:textId="77777777">
                <w:trPr>
                  <w:divId w:val="747270544"/>
                  <w:tblCellSpacing w:w="15" w:type="dxa"/>
                </w:trPr>
                <w:tc>
                  <w:tcPr>
                    <w:tcW w:w="50" w:type="pct"/>
                    <w:hideMark/>
                  </w:tcPr>
                  <w:p w14:paraId="3D1534CA" w14:textId="77777777" w:rsidR="00F906FA" w:rsidRDefault="00F906FA">
                    <w:pPr>
                      <w:pStyle w:val="Literaturverzeichnis"/>
                      <w:rPr>
                        <w:noProof/>
                      </w:rPr>
                    </w:pPr>
                    <w:r>
                      <w:rPr>
                        <w:noProof/>
                      </w:rPr>
                      <w:t xml:space="preserve">[34] </w:t>
                    </w:r>
                  </w:p>
                </w:tc>
                <w:tc>
                  <w:tcPr>
                    <w:tcW w:w="0" w:type="auto"/>
                    <w:hideMark/>
                  </w:tcPr>
                  <w:p w14:paraId="71970684" w14:textId="77777777" w:rsidR="00F906FA" w:rsidRDefault="00F906FA">
                    <w:pPr>
                      <w:pStyle w:val="Literaturverzeichnis"/>
                      <w:rPr>
                        <w:noProof/>
                      </w:rPr>
                    </w:pPr>
                    <w:r>
                      <w:rPr>
                        <w:noProof/>
                      </w:rPr>
                      <w:t>[Online]. Available: https://unity.com/de. [Zugriff am 23 02 2021].</w:t>
                    </w:r>
                  </w:p>
                </w:tc>
              </w:tr>
              <w:tr w:rsidR="00F906FA" w14:paraId="7ABBB766" w14:textId="77777777">
                <w:trPr>
                  <w:divId w:val="747270544"/>
                  <w:tblCellSpacing w:w="15" w:type="dxa"/>
                </w:trPr>
                <w:tc>
                  <w:tcPr>
                    <w:tcW w:w="50" w:type="pct"/>
                    <w:hideMark/>
                  </w:tcPr>
                  <w:p w14:paraId="7B685CF7" w14:textId="77777777" w:rsidR="00F906FA" w:rsidRDefault="00F906FA">
                    <w:pPr>
                      <w:pStyle w:val="Literaturverzeichnis"/>
                      <w:rPr>
                        <w:noProof/>
                      </w:rPr>
                    </w:pPr>
                    <w:r>
                      <w:rPr>
                        <w:noProof/>
                      </w:rPr>
                      <w:t xml:space="preserve">[35] </w:t>
                    </w:r>
                  </w:p>
                </w:tc>
                <w:tc>
                  <w:tcPr>
                    <w:tcW w:w="0" w:type="auto"/>
                    <w:hideMark/>
                  </w:tcPr>
                  <w:p w14:paraId="6DC35C60" w14:textId="77777777" w:rsidR="00F906FA" w:rsidRDefault="00F906FA">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F906FA" w14:paraId="6F3230AD" w14:textId="77777777">
                <w:trPr>
                  <w:divId w:val="747270544"/>
                  <w:tblCellSpacing w:w="15" w:type="dxa"/>
                </w:trPr>
                <w:tc>
                  <w:tcPr>
                    <w:tcW w:w="50" w:type="pct"/>
                    <w:hideMark/>
                  </w:tcPr>
                  <w:p w14:paraId="0E77ACE2" w14:textId="77777777" w:rsidR="00F906FA" w:rsidRDefault="00F906FA">
                    <w:pPr>
                      <w:pStyle w:val="Literaturverzeichnis"/>
                      <w:rPr>
                        <w:noProof/>
                      </w:rPr>
                    </w:pPr>
                    <w:r>
                      <w:rPr>
                        <w:noProof/>
                      </w:rPr>
                      <w:t xml:space="preserve">[36] </w:t>
                    </w:r>
                  </w:p>
                </w:tc>
                <w:tc>
                  <w:tcPr>
                    <w:tcW w:w="0" w:type="auto"/>
                    <w:hideMark/>
                  </w:tcPr>
                  <w:p w14:paraId="20301213" w14:textId="77777777" w:rsidR="00F906FA" w:rsidRDefault="00F906FA">
                    <w:pPr>
                      <w:pStyle w:val="Literaturverzeichnis"/>
                      <w:rPr>
                        <w:noProof/>
                      </w:rPr>
                    </w:pPr>
                    <w:r>
                      <w:rPr>
                        <w:noProof/>
                      </w:rPr>
                      <w:t>TerryGLee, „Neues in Visual Studio 2019,“ 10 11 2020. [Online]. Available: https://docs.microsoft.com/de-de/visualstudio/ide/whats-new-visual-studio-2019?view=vs-2019. [Zugriff am 22 02 2021].</w:t>
                    </w:r>
                  </w:p>
                </w:tc>
              </w:tr>
              <w:tr w:rsidR="00F906FA" w14:paraId="273B4A9D" w14:textId="77777777">
                <w:trPr>
                  <w:divId w:val="747270544"/>
                  <w:tblCellSpacing w:w="15" w:type="dxa"/>
                </w:trPr>
                <w:tc>
                  <w:tcPr>
                    <w:tcW w:w="50" w:type="pct"/>
                    <w:hideMark/>
                  </w:tcPr>
                  <w:p w14:paraId="73824B84" w14:textId="77777777" w:rsidR="00F906FA" w:rsidRDefault="00F906FA">
                    <w:pPr>
                      <w:pStyle w:val="Literaturverzeichnis"/>
                      <w:rPr>
                        <w:noProof/>
                      </w:rPr>
                    </w:pPr>
                    <w:r>
                      <w:rPr>
                        <w:noProof/>
                      </w:rPr>
                      <w:t xml:space="preserve">[37] </w:t>
                    </w:r>
                  </w:p>
                </w:tc>
                <w:tc>
                  <w:tcPr>
                    <w:tcW w:w="0" w:type="auto"/>
                    <w:hideMark/>
                  </w:tcPr>
                  <w:p w14:paraId="6897EBBB" w14:textId="77777777" w:rsidR="00F906FA" w:rsidRDefault="00F906FA">
                    <w:pPr>
                      <w:pStyle w:val="Literaturverzeichnis"/>
                      <w:rPr>
                        <w:noProof/>
                      </w:rPr>
                    </w:pPr>
                    <w:r>
                      <w:rPr>
                        <w:noProof/>
                      </w:rPr>
                      <w:t>B. Wagner, „Überblick über C#,“ 28 01 2021. [Online]. Available: https://docs.microsoft.com/de-de/dotnet/csharp/tour-of-csharp/. [Zugriff am 23 02 2021].</w:t>
                    </w:r>
                  </w:p>
                </w:tc>
              </w:tr>
              <w:tr w:rsidR="00F906FA" w14:paraId="71ABA580" w14:textId="77777777">
                <w:trPr>
                  <w:divId w:val="747270544"/>
                  <w:tblCellSpacing w:w="15" w:type="dxa"/>
                </w:trPr>
                <w:tc>
                  <w:tcPr>
                    <w:tcW w:w="50" w:type="pct"/>
                    <w:hideMark/>
                  </w:tcPr>
                  <w:p w14:paraId="28AA2F2B" w14:textId="77777777" w:rsidR="00F906FA" w:rsidRDefault="00F906FA">
                    <w:pPr>
                      <w:pStyle w:val="Literaturverzeichnis"/>
                      <w:rPr>
                        <w:noProof/>
                      </w:rPr>
                    </w:pPr>
                    <w:r>
                      <w:rPr>
                        <w:noProof/>
                      </w:rPr>
                      <w:t xml:space="preserve">[38] </w:t>
                    </w:r>
                  </w:p>
                </w:tc>
                <w:tc>
                  <w:tcPr>
                    <w:tcW w:w="0" w:type="auto"/>
                    <w:hideMark/>
                  </w:tcPr>
                  <w:p w14:paraId="23E05F10" w14:textId="77777777" w:rsidR="00F906FA" w:rsidRDefault="00F906FA">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F906FA" w14:paraId="7F4C81DA" w14:textId="77777777">
                <w:trPr>
                  <w:divId w:val="747270544"/>
                  <w:tblCellSpacing w:w="15" w:type="dxa"/>
                </w:trPr>
                <w:tc>
                  <w:tcPr>
                    <w:tcW w:w="50" w:type="pct"/>
                    <w:hideMark/>
                  </w:tcPr>
                  <w:p w14:paraId="60F924A5" w14:textId="77777777" w:rsidR="00F906FA" w:rsidRDefault="00F906FA">
                    <w:pPr>
                      <w:pStyle w:val="Literaturverzeichnis"/>
                      <w:rPr>
                        <w:noProof/>
                      </w:rPr>
                    </w:pPr>
                    <w:r>
                      <w:rPr>
                        <w:noProof/>
                      </w:rPr>
                      <w:t xml:space="preserve">[39] </w:t>
                    </w:r>
                  </w:p>
                </w:tc>
                <w:tc>
                  <w:tcPr>
                    <w:tcW w:w="0" w:type="auto"/>
                    <w:hideMark/>
                  </w:tcPr>
                  <w:p w14:paraId="50FFC59A" w14:textId="77777777" w:rsidR="00F906FA" w:rsidRDefault="00F906FA">
                    <w:pPr>
                      <w:pStyle w:val="Literaturverzeichnis"/>
                      <w:rPr>
                        <w:noProof/>
                      </w:rPr>
                    </w:pPr>
                    <w:r>
                      <w:rPr>
                        <w:noProof/>
                      </w:rPr>
                      <w:t>S. Augsten, „Definition „Git SCM“ - Was ist Git?,“ 27 08 2019. [Online]. Available: https://www.dev-insider.de/was-ist-git-a-850847/. [Zugriff am 24 03 2021].</w:t>
                    </w:r>
                  </w:p>
                </w:tc>
              </w:tr>
              <w:tr w:rsidR="00F906FA" w14:paraId="089F75B7" w14:textId="77777777">
                <w:trPr>
                  <w:divId w:val="747270544"/>
                  <w:tblCellSpacing w:w="15" w:type="dxa"/>
                </w:trPr>
                <w:tc>
                  <w:tcPr>
                    <w:tcW w:w="50" w:type="pct"/>
                    <w:hideMark/>
                  </w:tcPr>
                  <w:p w14:paraId="351E9164" w14:textId="77777777" w:rsidR="00F906FA" w:rsidRDefault="00F906FA">
                    <w:pPr>
                      <w:pStyle w:val="Literaturverzeichnis"/>
                      <w:rPr>
                        <w:noProof/>
                      </w:rPr>
                    </w:pPr>
                    <w:r>
                      <w:rPr>
                        <w:noProof/>
                      </w:rPr>
                      <w:t xml:space="preserve">[40] </w:t>
                    </w:r>
                  </w:p>
                </w:tc>
                <w:tc>
                  <w:tcPr>
                    <w:tcW w:w="0" w:type="auto"/>
                    <w:hideMark/>
                  </w:tcPr>
                  <w:p w14:paraId="70BC7348" w14:textId="77777777" w:rsidR="00F906FA" w:rsidRDefault="00F906FA">
                    <w:pPr>
                      <w:pStyle w:val="Literaturverzeichnis"/>
                      <w:rPr>
                        <w:noProof/>
                      </w:rPr>
                    </w:pPr>
                    <w:r>
                      <w:rPr>
                        <w:noProof/>
                      </w:rPr>
                      <w:t>[Online]. Available: https://evasys.de/evasys/. [Zugriff am 28 02 2021].</w:t>
                    </w:r>
                  </w:p>
                </w:tc>
              </w:tr>
              <w:tr w:rsidR="00F906FA" w14:paraId="653C2B5B" w14:textId="77777777">
                <w:trPr>
                  <w:divId w:val="747270544"/>
                  <w:tblCellSpacing w:w="15" w:type="dxa"/>
                </w:trPr>
                <w:tc>
                  <w:tcPr>
                    <w:tcW w:w="50" w:type="pct"/>
                    <w:hideMark/>
                  </w:tcPr>
                  <w:p w14:paraId="687397F6" w14:textId="77777777" w:rsidR="00F906FA" w:rsidRDefault="00F906FA">
                    <w:pPr>
                      <w:pStyle w:val="Literaturverzeichnis"/>
                      <w:rPr>
                        <w:noProof/>
                      </w:rPr>
                    </w:pPr>
                    <w:r>
                      <w:rPr>
                        <w:noProof/>
                      </w:rPr>
                      <w:t xml:space="preserve">[41] </w:t>
                    </w:r>
                  </w:p>
                </w:tc>
                <w:tc>
                  <w:tcPr>
                    <w:tcW w:w="0" w:type="auto"/>
                    <w:hideMark/>
                  </w:tcPr>
                  <w:p w14:paraId="3599B832" w14:textId="77777777" w:rsidR="00F906FA" w:rsidRDefault="00F906FA">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F906FA" w14:paraId="2632870D" w14:textId="77777777">
                <w:trPr>
                  <w:divId w:val="747270544"/>
                  <w:tblCellSpacing w:w="15" w:type="dxa"/>
                </w:trPr>
                <w:tc>
                  <w:tcPr>
                    <w:tcW w:w="50" w:type="pct"/>
                    <w:hideMark/>
                  </w:tcPr>
                  <w:p w14:paraId="5058300D" w14:textId="77777777" w:rsidR="00F906FA" w:rsidRDefault="00F906FA">
                    <w:pPr>
                      <w:pStyle w:val="Literaturverzeichnis"/>
                      <w:rPr>
                        <w:noProof/>
                      </w:rPr>
                    </w:pPr>
                    <w:r>
                      <w:rPr>
                        <w:noProof/>
                      </w:rPr>
                      <w:t xml:space="preserve">[42] </w:t>
                    </w:r>
                  </w:p>
                </w:tc>
                <w:tc>
                  <w:tcPr>
                    <w:tcW w:w="0" w:type="auto"/>
                    <w:hideMark/>
                  </w:tcPr>
                  <w:p w14:paraId="62385570" w14:textId="77777777" w:rsidR="00F906FA" w:rsidRDefault="00F906FA">
                    <w:pPr>
                      <w:pStyle w:val="Literaturverzeichnis"/>
                      <w:rPr>
                        <w:noProof/>
                      </w:rPr>
                    </w:pPr>
                    <w:r>
                      <w:rPr>
                        <w:noProof/>
                      </w:rPr>
                      <w:t>A. L. Simeone, E. Velloso und H. Gellersen, „Substitutional Reality: Using the physical environment to design virtual reality experiences,“ Januar 2015.</w:t>
                    </w:r>
                  </w:p>
                </w:tc>
              </w:tr>
              <w:tr w:rsidR="00F906FA" w14:paraId="6332FEC4" w14:textId="77777777">
                <w:trPr>
                  <w:divId w:val="747270544"/>
                  <w:tblCellSpacing w:w="15" w:type="dxa"/>
                </w:trPr>
                <w:tc>
                  <w:tcPr>
                    <w:tcW w:w="50" w:type="pct"/>
                    <w:hideMark/>
                  </w:tcPr>
                  <w:p w14:paraId="7B73BDA2" w14:textId="77777777" w:rsidR="00F906FA" w:rsidRDefault="00F906FA">
                    <w:pPr>
                      <w:pStyle w:val="Literaturverzeichnis"/>
                      <w:rPr>
                        <w:noProof/>
                      </w:rPr>
                    </w:pPr>
                    <w:r>
                      <w:rPr>
                        <w:noProof/>
                      </w:rPr>
                      <w:t xml:space="preserve">[43] </w:t>
                    </w:r>
                  </w:p>
                </w:tc>
                <w:tc>
                  <w:tcPr>
                    <w:tcW w:w="0" w:type="auto"/>
                    <w:hideMark/>
                  </w:tcPr>
                  <w:p w14:paraId="223EEDBC" w14:textId="77777777" w:rsidR="00F906FA" w:rsidRDefault="00F906FA">
                    <w:pPr>
                      <w:pStyle w:val="Literaturverzeichnis"/>
                      <w:rPr>
                        <w:noProof/>
                      </w:rPr>
                    </w:pPr>
                    <w:r>
                      <w:rPr>
                        <w:noProof/>
                      </w:rPr>
                      <w:t>J. N. Templeman, P. S. Denbrook und L. E. Sibert, „Virtual locomotion: Walking in place through virtual environments,“ Dezember 1999.</w:t>
                    </w:r>
                  </w:p>
                </w:tc>
              </w:tr>
              <w:tr w:rsidR="00F906FA" w14:paraId="7391D7B0" w14:textId="77777777">
                <w:trPr>
                  <w:divId w:val="747270544"/>
                  <w:tblCellSpacing w:w="15" w:type="dxa"/>
                </w:trPr>
                <w:tc>
                  <w:tcPr>
                    <w:tcW w:w="50" w:type="pct"/>
                    <w:hideMark/>
                  </w:tcPr>
                  <w:p w14:paraId="36648B42" w14:textId="77777777" w:rsidR="00F906FA" w:rsidRDefault="00F906FA">
                    <w:pPr>
                      <w:pStyle w:val="Literaturverzeichnis"/>
                      <w:rPr>
                        <w:noProof/>
                      </w:rPr>
                    </w:pPr>
                    <w:r>
                      <w:rPr>
                        <w:noProof/>
                      </w:rPr>
                      <w:t xml:space="preserve">[44] </w:t>
                    </w:r>
                  </w:p>
                </w:tc>
                <w:tc>
                  <w:tcPr>
                    <w:tcW w:w="0" w:type="auto"/>
                    <w:hideMark/>
                  </w:tcPr>
                  <w:p w14:paraId="4A3F2596" w14:textId="77777777" w:rsidR="00F906FA" w:rsidRDefault="00F906FA">
                    <w:pPr>
                      <w:pStyle w:val="Literaturverzeichnis"/>
                      <w:rPr>
                        <w:noProof/>
                      </w:rPr>
                    </w:pPr>
                    <w:r>
                      <w:rPr>
                        <w:noProof/>
                      </w:rPr>
                      <w:t>L. F. Hodges, R. Kooper, T. C. Meyer, B. O. Rothbaum, D. Opdyke, J. J. Graaff, J. S. Williford und M. M. North, „Virtual Environments for Treating the Fear of Heights,“ 1995.</w:t>
                    </w:r>
                  </w:p>
                </w:tc>
              </w:tr>
            </w:tbl>
            <w:p w14:paraId="3D0C5FDE" w14:textId="77777777" w:rsidR="00F906FA" w:rsidRDefault="00F906FA">
              <w:pPr>
                <w:divId w:val="747270544"/>
                <w:rPr>
                  <w:noProof/>
                </w:rPr>
              </w:pPr>
            </w:p>
            <w:p w14:paraId="14CA80D3" w14:textId="75420EA2" w:rsidR="00727D9A" w:rsidRDefault="00BB3D4C" w:rsidP="00513893">
              <w:r>
                <w:lastRenderedPageBreak/>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616A0" w14:textId="77777777" w:rsidR="00C35173" w:rsidRDefault="00C35173">
      <w:r>
        <w:separator/>
      </w:r>
    </w:p>
  </w:endnote>
  <w:endnote w:type="continuationSeparator" w:id="0">
    <w:p w14:paraId="0D2BBE53" w14:textId="77777777" w:rsidR="00C35173" w:rsidRDefault="00C3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C35173"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B42F1" w14:textId="77777777" w:rsidR="00C35173" w:rsidRDefault="00C35173">
      <w:r>
        <w:separator/>
      </w:r>
    </w:p>
  </w:footnote>
  <w:footnote w:type="continuationSeparator" w:id="0">
    <w:p w14:paraId="26CCEE33" w14:textId="77777777" w:rsidR="00C35173" w:rsidRDefault="00C35173">
      <w:r>
        <w:continuationSeparator/>
      </w:r>
    </w:p>
  </w:footnote>
  <w:footnote w:id="1">
    <w:p w14:paraId="563F3788" w14:textId="173C28A7"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F906FA">
            <w:rPr>
              <w:noProof/>
            </w:rPr>
            <w:t xml:space="preserve"> [41]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F5B8DE4"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014DE">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F5B8DE4"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014DE">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2B58EA1"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014DE">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2B58EA1"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014DE">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5953A745"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0214A">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5953A745"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0214A">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0F04"/>
    <w:rsid w:val="00001020"/>
    <w:rsid w:val="000029E8"/>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E1E"/>
    <w:rsid w:val="00037E25"/>
    <w:rsid w:val="00040A4F"/>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5D10"/>
    <w:rsid w:val="00077C8B"/>
    <w:rsid w:val="00077F4A"/>
    <w:rsid w:val="000800F3"/>
    <w:rsid w:val="0008308E"/>
    <w:rsid w:val="000868A0"/>
    <w:rsid w:val="00086E72"/>
    <w:rsid w:val="00087398"/>
    <w:rsid w:val="00090358"/>
    <w:rsid w:val="000908B3"/>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870"/>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E01"/>
    <w:rsid w:val="001E69BE"/>
    <w:rsid w:val="001E7C17"/>
    <w:rsid w:val="001F0A55"/>
    <w:rsid w:val="001F1F16"/>
    <w:rsid w:val="001F716D"/>
    <w:rsid w:val="001F7307"/>
    <w:rsid w:val="00200F4D"/>
    <w:rsid w:val="00201404"/>
    <w:rsid w:val="0020214A"/>
    <w:rsid w:val="00203881"/>
    <w:rsid w:val="0020401F"/>
    <w:rsid w:val="002044CB"/>
    <w:rsid w:val="00204989"/>
    <w:rsid w:val="0021068D"/>
    <w:rsid w:val="00210865"/>
    <w:rsid w:val="0021389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2FE8"/>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35FC"/>
    <w:rsid w:val="002E4017"/>
    <w:rsid w:val="002E4758"/>
    <w:rsid w:val="002E6402"/>
    <w:rsid w:val="002E64D9"/>
    <w:rsid w:val="002E73CA"/>
    <w:rsid w:val="002E7CFC"/>
    <w:rsid w:val="002F183C"/>
    <w:rsid w:val="002F3B4F"/>
    <w:rsid w:val="002F49A0"/>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66B83"/>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072A9"/>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5487"/>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202E"/>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3E27"/>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2E8"/>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089"/>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0BC9"/>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42BE"/>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076C"/>
    <w:rsid w:val="008E2E56"/>
    <w:rsid w:val="008E3D80"/>
    <w:rsid w:val="008E5BA3"/>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5B93"/>
    <w:rsid w:val="00926697"/>
    <w:rsid w:val="00930D8D"/>
    <w:rsid w:val="009314BE"/>
    <w:rsid w:val="009322D5"/>
    <w:rsid w:val="00940A0D"/>
    <w:rsid w:val="00941B2C"/>
    <w:rsid w:val="009424B3"/>
    <w:rsid w:val="0094375A"/>
    <w:rsid w:val="0094565E"/>
    <w:rsid w:val="00951E2F"/>
    <w:rsid w:val="00953BCE"/>
    <w:rsid w:val="009555C2"/>
    <w:rsid w:val="00955E9B"/>
    <w:rsid w:val="00957924"/>
    <w:rsid w:val="009617B3"/>
    <w:rsid w:val="009619CC"/>
    <w:rsid w:val="009626AF"/>
    <w:rsid w:val="00962989"/>
    <w:rsid w:val="00963405"/>
    <w:rsid w:val="009636DD"/>
    <w:rsid w:val="00963CBE"/>
    <w:rsid w:val="00963FAC"/>
    <w:rsid w:val="00966BD3"/>
    <w:rsid w:val="009678D8"/>
    <w:rsid w:val="00971634"/>
    <w:rsid w:val="00980F7B"/>
    <w:rsid w:val="009842DC"/>
    <w:rsid w:val="009859BE"/>
    <w:rsid w:val="009861A2"/>
    <w:rsid w:val="0098686F"/>
    <w:rsid w:val="009907D0"/>
    <w:rsid w:val="00990926"/>
    <w:rsid w:val="00991E24"/>
    <w:rsid w:val="00996C89"/>
    <w:rsid w:val="009A29F0"/>
    <w:rsid w:val="009A307D"/>
    <w:rsid w:val="009A315E"/>
    <w:rsid w:val="009A5323"/>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14DE"/>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AC7"/>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C07"/>
    <w:rsid w:val="00AB7A7F"/>
    <w:rsid w:val="00AB7A8D"/>
    <w:rsid w:val="00AB7E44"/>
    <w:rsid w:val="00AB7F2A"/>
    <w:rsid w:val="00AC03C8"/>
    <w:rsid w:val="00AC0F7D"/>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5DB"/>
    <w:rsid w:val="00B56F37"/>
    <w:rsid w:val="00B5783E"/>
    <w:rsid w:val="00B57ADE"/>
    <w:rsid w:val="00B63226"/>
    <w:rsid w:val="00B64334"/>
    <w:rsid w:val="00B6563D"/>
    <w:rsid w:val="00B71D9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21B"/>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0486"/>
    <w:rsid w:val="00C11BEE"/>
    <w:rsid w:val="00C13847"/>
    <w:rsid w:val="00C14D6B"/>
    <w:rsid w:val="00C15895"/>
    <w:rsid w:val="00C15AB3"/>
    <w:rsid w:val="00C15BBB"/>
    <w:rsid w:val="00C15D0E"/>
    <w:rsid w:val="00C15DE0"/>
    <w:rsid w:val="00C20366"/>
    <w:rsid w:val="00C21658"/>
    <w:rsid w:val="00C21801"/>
    <w:rsid w:val="00C2184A"/>
    <w:rsid w:val="00C21EAD"/>
    <w:rsid w:val="00C21F28"/>
    <w:rsid w:val="00C25375"/>
    <w:rsid w:val="00C2571E"/>
    <w:rsid w:val="00C25BBC"/>
    <w:rsid w:val="00C3283E"/>
    <w:rsid w:val="00C34563"/>
    <w:rsid w:val="00C3517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083B"/>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2DE2"/>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0D75"/>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682"/>
    <w:rsid w:val="00E739C0"/>
    <w:rsid w:val="00E74A4C"/>
    <w:rsid w:val="00E75F10"/>
    <w:rsid w:val="00E7627A"/>
    <w:rsid w:val="00E765F5"/>
    <w:rsid w:val="00E767C5"/>
    <w:rsid w:val="00E80D75"/>
    <w:rsid w:val="00E8159D"/>
    <w:rsid w:val="00E824D0"/>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B496A"/>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06FA"/>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2512247">
      <w:bodyDiv w:val="1"/>
      <w:marLeft w:val="0"/>
      <w:marRight w:val="0"/>
      <w:marTop w:val="0"/>
      <w:marBottom w:val="0"/>
      <w:divBdr>
        <w:top w:val="none" w:sz="0" w:space="0" w:color="auto"/>
        <w:left w:val="none" w:sz="0" w:space="0" w:color="auto"/>
        <w:bottom w:val="none" w:sz="0" w:space="0" w:color="auto"/>
        <w:right w:val="none" w:sz="0" w:space="0" w:color="auto"/>
      </w:divBdr>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489831">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43180">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518659">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6842594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77681919">
      <w:bodyDiv w:val="1"/>
      <w:marLeft w:val="0"/>
      <w:marRight w:val="0"/>
      <w:marTop w:val="0"/>
      <w:marBottom w:val="0"/>
      <w:divBdr>
        <w:top w:val="none" w:sz="0" w:space="0" w:color="auto"/>
        <w:left w:val="none" w:sz="0" w:space="0" w:color="auto"/>
        <w:bottom w:val="none" w:sz="0" w:space="0" w:color="auto"/>
        <w:right w:val="none" w:sz="0" w:space="0" w:color="auto"/>
      </w:divBdr>
    </w:div>
    <w:div w:id="80683918">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582643">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89199226">
      <w:bodyDiv w:val="1"/>
      <w:marLeft w:val="0"/>
      <w:marRight w:val="0"/>
      <w:marTop w:val="0"/>
      <w:marBottom w:val="0"/>
      <w:divBdr>
        <w:top w:val="none" w:sz="0" w:space="0" w:color="auto"/>
        <w:left w:val="none" w:sz="0" w:space="0" w:color="auto"/>
        <w:bottom w:val="none" w:sz="0" w:space="0" w:color="auto"/>
        <w:right w:val="none" w:sz="0" w:space="0" w:color="auto"/>
      </w:divBdr>
    </w:div>
    <w:div w:id="93521285">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4636951">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0532381">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402733">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1678907">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8570159">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729022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032384">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224707">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7039321">
      <w:bodyDiv w:val="1"/>
      <w:marLeft w:val="0"/>
      <w:marRight w:val="0"/>
      <w:marTop w:val="0"/>
      <w:marBottom w:val="0"/>
      <w:divBdr>
        <w:top w:val="none" w:sz="0" w:space="0" w:color="auto"/>
        <w:left w:val="none" w:sz="0" w:space="0" w:color="auto"/>
        <w:bottom w:val="none" w:sz="0" w:space="0" w:color="auto"/>
        <w:right w:val="none" w:sz="0" w:space="0" w:color="auto"/>
      </w:divBdr>
    </w:div>
    <w:div w:id="178275704">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3567936">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0727267">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23505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29118716">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46040862">
      <w:bodyDiv w:val="1"/>
      <w:marLeft w:val="0"/>
      <w:marRight w:val="0"/>
      <w:marTop w:val="0"/>
      <w:marBottom w:val="0"/>
      <w:divBdr>
        <w:top w:val="none" w:sz="0" w:space="0" w:color="auto"/>
        <w:left w:val="none" w:sz="0" w:space="0" w:color="auto"/>
        <w:bottom w:val="none" w:sz="0" w:space="0" w:color="auto"/>
        <w:right w:val="none" w:sz="0" w:space="0" w:color="auto"/>
      </w:divBdr>
    </w:div>
    <w:div w:id="246958503">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6211196">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210168">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399269">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1497712">
      <w:bodyDiv w:val="1"/>
      <w:marLeft w:val="0"/>
      <w:marRight w:val="0"/>
      <w:marTop w:val="0"/>
      <w:marBottom w:val="0"/>
      <w:divBdr>
        <w:top w:val="none" w:sz="0" w:space="0" w:color="auto"/>
        <w:left w:val="none" w:sz="0" w:space="0" w:color="auto"/>
        <w:bottom w:val="none" w:sz="0" w:space="0" w:color="auto"/>
        <w:right w:val="none" w:sz="0" w:space="0" w:color="auto"/>
      </w:divBdr>
    </w:div>
    <w:div w:id="28346666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2910797">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3319472">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27951941">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7870715">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8139249">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0480174">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624166">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008430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560475">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339567">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08233148">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031083">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6993161">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21807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287824">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7164856">
      <w:bodyDiv w:val="1"/>
      <w:marLeft w:val="0"/>
      <w:marRight w:val="0"/>
      <w:marTop w:val="0"/>
      <w:marBottom w:val="0"/>
      <w:divBdr>
        <w:top w:val="none" w:sz="0" w:space="0" w:color="auto"/>
        <w:left w:val="none" w:sz="0" w:space="0" w:color="auto"/>
        <w:bottom w:val="none" w:sz="0" w:space="0" w:color="auto"/>
        <w:right w:val="none" w:sz="0" w:space="0" w:color="auto"/>
      </w:divBdr>
    </w:div>
    <w:div w:id="538395872">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1677655">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1061698">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3898200">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2224976">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8973078">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0041655">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11288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3239872">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48899082">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3485452">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2977302">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7124469">
      <w:bodyDiv w:val="1"/>
      <w:marLeft w:val="0"/>
      <w:marRight w:val="0"/>
      <w:marTop w:val="0"/>
      <w:marBottom w:val="0"/>
      <w:divBdr>
        <w:top w:val="none" w:sz="0" w:space="0" w:color="auto"/>
        <w:left w:val="none" w:sz="0" w:space="0" w:color="auto"/>
        <w:bottom w:val="none" w:sz="0" w:space="0" w:color="auto"/>
        <w:right w:val="none" w:sz="0" w:space="0" w:color="auto"/>
      </w:divBdr>
    </w:div>
    <w:div w:id="697238944">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701053010">
      <w:bodyDiv w:val="1"/>
      <w:marLeft w:val="0"/>
      <w:marRight w:val="0"/>
      <w:marTop w:val="0"/>
      <w:marBottom w:val="0"/>
      <w:divBdr>
        <w:top w:val="none" w:sz="0" w:space="0" w:color="auto"/>
        <w:left w:val="none" w:sz="0" w:space="0" w:color="auto"/>
        <w:bottom w:val="none" w:sz="0" w:space="0" w:color="auto"/>
        <w:right w:val="none" w:sz="0" w:space="0" w:color="auto"/>
      </w:divBdr>
    </w:div>
    <w:div w:id="70117401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581011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0832960">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7270544">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48887182">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377537">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530290">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068593">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38508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89863308">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262098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31876">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841119708">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5705555">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05957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699970">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0980226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23605655">
      <w:bodyDiv w:val="1"/>
      <w:marLeft w:val="0"/>
      <w:marRight w:val="0"/>
      <w:marTop w:val="0"/>
      <w:marBottom w:val="0"/>
      <w:divBdr>
        <w:top w:val="none" w:sz="0" w:space="0" w:color="auto"/>
        <w:left w:val="none" w:sz="0" w:space="0" w:color="auto"/>
        <w:bottom w:val="none" w:sz="0" w:space="0" w:color="auto"/>
        <w:right w:val="none" w:sz="0" w:space="0" w:color="auto"/>
      </w:divBdr>
    </w:div>
    <w:div w:id="927078569">
      <w:bodyDiv w:val="1"/>
      <w:marLeft w:val="0"/>
      <w:marRight w:val="0"/>
      <w:marTop w:val="0"/>
      <w:marBottom w:val="0"/>
      <w:divBdr>
        <w:top w:val="none" w:sz="0" w:space="0" w:color="auto"/>
        <w:left w:val="none" w:sz="0" w:space="0" w:color="auto"/>
        <w:bottom w:val="none" w:sz="0" w:space="0" w:color="auto"/>
        <w:right w:val="none" w:sz="0" w:space="0" w:color="auto"/>
      </w:divBdr>
    </w:div>
    <w:div w:id="92904909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575081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468910">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57101014">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1881442">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732972">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799288">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744492">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7263522">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3522390">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39539">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256813">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299158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144631">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1392169">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3374847">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013602">
      <w:bodyDiv w:val="1"/>
      <w:marLeft w:val="0"/>
      <w:marRight w:val="0"/>
      <w:marTop w:val="0"/>
      <w:marBottom w:val="0"/>
      <w:divBdr>
        <w:top w:val="none" w:sz="0" w:space="0" w:color="auto"/>
        <w:left w:val="none" w:sz="0" w:space="0" w:color="auto"/>
        <w:bottom w:val="none" w:sz="0" w:space="0" w:color="auto"/>
        <w:right w:val="none" w:sz="0" w:space="0" w:color="auto"/>
      </w:divBdr>
    </w:div>
    <w:div w:id="1182739030">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6941305">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8831009">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199587182">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0806417">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3467162">
      <w:bodyDiv w:val="1"/>
      <w:marLeft w:val="0"/>
      <w:marRight w:val="0"/>
      <w:marTop w:val="0"/>
      <w:marBottom w:val="0"/>
      <w:divBdr>
        <w:top w:val="none" w:sz="0" w:space="0" w:color="auto"/>
        <w:left w:val="none" w:sz="0" w:space="0" w:color="auto"/>
        <w:bottom w:val="none" w:sz="0" w:space="0" w:color="auto"/>
        <w:right w:val="none" w:sz="0" w:space="0" w:color="auto"/>
      </w:divBdr>
    </w:div>
    <w:div w:id="1214148866">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078617">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3660348">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011141">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3127865">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4902564">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3095262">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7245063">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680131">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181056">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4183996">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1950874">
      <w:bodyDiv w:val="1"/>
      <w:marLeft w:val="0"/>
      <w:marRight w:val="0"/>
      <w:marTop w:val="0"/>
      <w:marBottom w:val="0"/>
      <w:divBdr>
        <w:top w:val="none" w:sz="0" w:space="0" w:color="auto"/>
        <w:left w:val="none" w:sz="0" w:space="0" w:color="auto"/>
        <w:bottom w:val="none" w:sz="0" w:space="0" w:color="auto"/>
        <w:right w:val="none" w:sz="0" w:space="0" w:color="auto"/>
      </w:divBdr>
    </w:div>
    <w:div w:id="1443919601">
      <w:bodyDiv w:val="1"/>
      <w:marLeft w:val="0"/>
      <w:marRight w:val="0"/>
      <w:marTop w:val="0"/>
      <w:marBottom w:val="0"/>
      <w:divBdr>
        <w:top w:val="none" w:sz="0" w:space="0" w:color="auto"/>
        <w:left w:val="none" w:sz="0" w:space="0" w:color="auto"/>
        <w:bottom w:val="none" w:sz="0" w:space="0" w:color="auto"/>
        <w:right w:val="none" w:sz="0" w:space="0" w:color="auto"/>
      </w:divBdr>
    </w:div>
    <w:div w:id="1444298711">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0535777">
      <w:bodyDiv w:val="1"/>
      <w:marLeft w:val="0"/>
      <w:marRight w:val="0"/>
      <w:marTop w:val="0"/>
      <w:marBottom w:val="0"/>
      <w:divBdr>
        <w:top w:val="none" w:sz="0" w:space="0" w:color="auto"/>
        <w:left w:val="none" w:sz="0" w:space="0" w:color="auto"/>
        <w:bottom w:val="none" w:sz="0" w:space="0" w:color="auto"/>
        <w:right w:val="none" w:sz="0" w:space="0" w:color="auto"/>
      </w:divBdr>
    </w:div>
    <w:div w:id="1460536190">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4155653">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89244367">
      <w:bodyDiv w:val="1"/>
      <w:marLeft w:val="0"/>
      <w:marRight w:val="0"/>
      <w:marTop w:val="0"/>
      <w:marBottom w:val="0"/>
      <w:divBdr>
        <w:top w:val="none" w:sz="0" w:space="0" w:color="auto"/>
        <w:left w:val="none" w:sz="0" w:space="0" w:color="auto"/>
        <w:bottom w:val="none" w:sz="0" w:space="0" w:color="auto"/>
        <w:right w:val="none" w:sz="0" w:space="0" w:color="auto"/>
      </w:divBdr>
    </w:div>
    <w:div w:id="1492256012">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7576043">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18737026">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11512">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4632580">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822811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69653184">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084109">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2617">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6576864">
      <w:bodyDiv w:val="1"/>
      <w:marLeft w:val="0"/>
      <w:marRight w:val="0"/>
      <w:marTop w:val="0"/>
      <w:marBottom w:val="0"/>
      <w:divBdr>
        <w:top w:val="none" w:sz="0" w:space="0" w:color="auto"/>
        <w:left w:val="none" w:sz="0" w:space="0" w:color="auto"/>
        <w:bottom w:val="none" w:sz="0" w:space="0" w:color="auto"/>
        <w:right w:val="none" w:sz="0" w:space="0" w:color="auto"/>
      </w:divBdr>
    </w:div>
    <w:div w:id="1586693262">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6816521">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7366020">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4825357">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3676910">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8651273">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6789490">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019331">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2920949">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597878">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2410886">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330060">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0499229">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173405">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7334034">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4563290">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1779466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284798">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1322">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79851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0149869">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889724">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8830861">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381244">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132623">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13415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7998210">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437247">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625598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267829">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477103">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19653108">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2565973">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2560599">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388826">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090085">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0489032">
      <w:bodyDiv w:val="1"/>
      <w:marLeft w:val="0"/>
      <w:marRight w:val="0"/>
      <w:marTop w:val="0"/>
      <w:marBottom w:val="0"/>
      <w:divBdr>
        <w:top w:val="none" w:sz="0" w:space="0" w:color="auto"/>
        <w:left w:val="none" w:sz="0" w:space="0" w:color="auto"/>
        <w:bottom w:val="none" w:sz="0" w:space="0" w:color="auto"/>
        <w:right w:val="none" w:sz="0" w:space="0" w:color="auto"/>
      </w:divBdr>
    </w:div>
    <w:div w:id="212213899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3747621">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39</b:RefOrder>
  </b:Source>
  <b:Source>
    <b:Tag>2102</b:Tag>
    <b:SourceType>InternetSite</b:SourceType>
    <b:Guid>{DD5B28C1-818E-4AA0-89B9-7E07CFD95F03}</b:Guid>
    <b:YearAccessed>2021</b:YearAccessed>
    <b:MonthAccessed>02</b:MonthAccessed>
    <b:DayAccessed>23</b:DayAccessed>
    <b:URL>https://unity.com/de</b:URL>
    <b:RefOrder>34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38</b:RefOrder>
  </b:Source>
  <b:Source>
    <b:Tag>21021</b:Tag>
    <b:SourceType>InternetSite</b:SourceType>
    <b:Guid>{A1A34DF4-7B9C-45D1-9D36-58A80BCB2C7C}</b:Guid>
    <b:YearAccessed>2021</b:YearAccessed>
    <b:MonthAccessed>02</b:MonthAccessed>
    <b:DayAccessed>28</b:DayAccessed>
    <b:URL>https://evasys.de/evasys/</b:URL>
    <b:RefOrder>40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44</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33</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30</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31</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32</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29</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28</b:RefOrder>
  </b:Source>
</b:Sources>
</file>

<file path=customXml/itemProps1.xml><?xml version="1.0" encoding="utf-8"?>
<ds:datastoreItem xmlns:ds="http://schemas.openxmlformats.org/officeDocument/2006/customXml" ds:itemID="{9B993675-3820-49CB-992E-2B3ED873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12515</Words>
  <Characters>78847</Characters>
  <Application>Microsoft Office Word</Application>
  <DocSecurity>0</DocSecurity>
  <Lines>657</Lines>
  <Paragraphs>182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91180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711</cp:revision>
  <cp:lastPrinted>2010-09-26T22:14:00Z</cp:lastPrinted>
  <dcterms:created xsi:type="dcterms:W3CDTF">2021-02-24T17:17:00Z</dcterms:created>
  <dcterms:modified xsi:type="dcterms:W3CDTF">2021-03-23T16:34:00Z</dcterms:modified>
  <cp:category>Abschlussarbeit</cp:category>
  <cp:version>0</cp:version>
</cp:coreProperties>
</file>