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577829">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5778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577829">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72772B">
      <w:pPr>
        <w:keepNext/>
        <w:jc w:val="left"/>
      </w:pPr>
      <w:r>
        <w:rPr>
          <w:noProof/>
        </w:rPr>
        <w:drawing>
          <wp:inline distT="0" distB="0" distL="0" distR="0" wp14:anchorId="720A1653" wp14:editId="41A65EE4">
            <wp:extent cx="4188314" cy="2356094"/>
            <wp:effectExtent l="0" t="0" r="317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2970" cy="2358713"/>
                    </a:xfrm>
                    <a:prstGeom prst="rect">
                      <a:avLst/>
                    </a:prstGeom>
                    <a:noFill/>
                    <a:ln>
                      <a:noFill/>
                    </a:ln>
                  </pic:spPr>
                </pic:pic>
              </a:graphicData>
            </a:graphic>
          </wp:inline>
        </w:drawing>
      </w:r>
    </w:p>
    <w:p w14:paraId="5E421F63" w14:textId="08040690" w:rsidR="0036086F" w:rsidRDefault="004A6E13" w:rsidP="0072772B">
      <w:pPr>
        <w:pStyle w:val="Beschriftung"/>
        <w:jc w:val="left"/>
      </w:pPr>
      <w:bookmarkStart w:id="26" w:name="_Ref65339215"/>
      <w:bookmarkStart w:id="27" w:name="_Toc65407026"/>
      <w:r>
        <w:t xml:space="preserve">Abb. </w:t>
      </w:r>
      <w:r w:rsidR="00577829">
        <w:fldChar w:fldCharType="begin"/>
      </w:r>
      <w:r w:rsidR="00577829">
        <w:instrText xml:space="preserve"> SEQ Abb. \* ARABIC </w:instrText>
      </w:r>
      <w:r w:rsidR="00577829">
        <w:fldChar w:fldCharType="separate"/>
      </w:r>
      <w:r w:rsidR="00D321B9">
        <w:rPr>
          <w:noProof/>
        </w:rPr>
        <w:t>1</w:t>
      </w:r>
      <w:r w:rsidR="00577829">
        <w:rPr>
          <w:noProof/>
        </w:rPr>
        <w:fldChar w:fldCharType="end"/>
      </w:r>
      <w:r>
        <w:t>: Oculus Quest mit Controller</w:t>
      </w:r>
      <w:r w:rsidR="0030434D">
        <w:rPr>
          <w:rStyle w:val="Funotenzeichen"/>
        </w:rPr>
        <w:footnoteReference w:id="1"/>
      </w:r>
      <w:bookmarkEnd w:id="26"/>
      <w:bookmarkEnd w:id="27"/>
    </w:p>
    <w:p w14:paraId="34794988" w14:textId="77777777" w:rsidR="002E02A7" w:rsidRPr="002E02A7" w:rsidRDefault="002E02A7" w:rsidP="002E02A7">
      <w:pPr>
        <w:pStyle w:val="Textkrper"/>
      </w:pPr>
    </w:p>
    <w:p w14:paraId="08A7FE5F" w14:textId="29A10785" w:rsidR="00FB3190" w:rsidRDefault="00FB3190" w:rsidP="00FB3190">
      <w:pPr>
        <w:pStyle w:val="berschrift4"/>
      </w:pPr>
      <w:r>
        <w:t>Visual Studio</w:t>
      </w:r>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proofErr w:type="spellStart"/>
      <w:r>
        <w:lastRenderedPageBreak/>
        <w:t>Git</w:t>
      </w:r>
      <w:proofErr w:type="spellEnd"/>
      <w:r>
        <w:t xml:space="preserve"> Versionskontrolle</w:t>
      </w:r>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r>
        <w:t>Entwicklung der Szenarien</w:t>
      </w:r>
    </w:p>
    <w:p w14:paraId="45A6BD96" w14:textId="2314F71A" w:rsidR="009D6474" w:rsidRPr="009D6474" w:rsidRDefault="009D6474" w:rsidP="009D6474">
      <w:r>
        <w:t xml:space="preserve">Der zentralste Bestandteil des Projekts ist </w:t>
      </w:r>
      <w:r w:rsidR="00AA1523">
        <w:t>das Entwickeln</w:t>
      </w:r>
      <w:r>
        <w:t xml:space="preserve"> der Szenarien. </w:t>
      </w:r>
    </w:p>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lastRenderedPageBreak/>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4952D6">
      <w:pPr>
        <w:keepNext/>
        <w:spacing w:line="240" w:lineRule="auto"/>
        <w:jc w:val="left"/>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546A9690" w:rsidR="0009701D" w:rsidRDefault="00F46E4E" w:rsidP="004952D6">
      <w:pPr>
        <w:pStyle w:val="Beschriftung"/>
        <w:jc w:val="left"/>
      </w:pPr>
      <w:bookmarkStart w:id="28" w:name="_Ref65339286"/>
      <w:bookmarkStart w:id="29" w:name="_Toc65407027"/>
      <w:r>
        <w:t xml:space="preserve">Abb. </w:t>
      </w:r>
      <w:r w:rsidR="00577829">
        <w:fldChar w:fldCharType="begin"/>
      </w:r>
      <w:r w:rsidR="00577829">
        <w:instrText xml:space="preserve"> SEQ Abb. \* ARABIC </w:instrText>
      </w:r>
      <w:r w:rsidR="00577829">
        <w:fldChar w:fldCharType="separate"/>
      </w:r>
      <w:r w:rsidR="00D321B9">
        <w:rPr>
          <w:noProof/>
        </w:rPr>
        <w:t>2</w:t>
      </w:r>
      <w:r w:rsidR="00577829">
        <w:rPr>
          <w:noProof/>
        </w:rPr>
        <w:fldChar w:fldCharType="end"/>
      </w:r>
      <w:r>
        <w:t xml:space="preserve">: </w:t>
      </w:r>
      <w:r w:rsidRPr="000577ED">
        <w:t>CSV Datei mit Beispieldaten</w:t>
      </w:r>
      <w:bookmarkEnd w:id="28"/>
      <w:bookmarkEnd w:id="29"/>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Geschlecht und das Alter als </w:t>
      </w:r>
      <w:r w:rsidR="00186F62">
        <w:lastRenderedPageBreak/>
        <w:t>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A13B6E">
      <w:pPr>
        <w:pStyle w:val="Textkrper"/>
        <w:keepNext/>
        <w:jc w:val="left"/>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768CE34" w:rsidR="00162AE7" w:rsidRDefault="00162AE7" w:rsidP="00A13B6E">
      <w:pPr>
        <w:pStyle w:val="Beschriftung"/>
        <w:jc w:val="left"/>
      </w:pPr>
      <w:bookmarkStart w:id="30" w:name="_Toc65407028"/>
      <w:bookmarkStart w:id="31" w:name="_Ref65407210"/>
      <w:r>
        <w:t xml:space="preserve">Abb. </w:t>
      </w:r>
      <w:r w:rsidR="00577829">
        <w:fldChar w:fldCharType="begin"/>
      </w:r>
      <w:r w:rsidR="00577829">
        <w:instrText xml:space="preserve"> SEQ Abb. \* ARABIC </w:instrText>
      </w:r>
      <w:r w:rsidR="00577829">
        <w:fldChar w:fldCharType="separate"/>
      </w:r>
      <w:r w:rsidR="00D321B9">
        <w:rPr>
          <w:noProof/>
        </w:rPr>
        <w:t>3</w:t>
      </w:r>
      <w:r w:rsidR="00577829">
        <w:rPr>
          <w:noProof/>
        </w:rPr>
        <w:fldChar w:fldCharType="end"/>
      </w:r>
      <w:r>
        <w:t xml:space="preserve">: </w:t>
      </w:r>
      <w:r w:rsidR="009322D5">
        <w:t xml:space="preserve">Fragebogen - </w:t>
      </w:r>
      <w:r>
        <w:t>Persönliche Daten</w:t>
      </w:r>
      <w:bookmarkEnd w:id="30"/>
      <w:bookmarkEnd w:id="3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D321B9">
      <w:pPr>
        <w:pStyle w:val="Textkrper"/>
        <w:keepNext/>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6235C8D" w:rsidR="00D321B9" w:rsidRDefault="00D321B9" w:rsidP="00D321B9">
      <w:pPr>
        <w:pStyle w:val="Beschriftung"/>
        <w:jc w:val="both"/>
      </w:pPr>
      <w:bookmarkStart w:id="32" w:name="_Ref65413088"/>
      <w:r>
        <w:t xml:space="preserve">Abb. </w:t>
      </w:r>
      <w:r w:rsidR="00577829">
        <w:fldChar w:fldCharType="begin"/>
      </w:r>
      <w:r w:rsidR="00577829">
        <w:instrText xml:space="preserve"> SEQ Abb. \* ARABIC </w:instrText>
      </w:r>
      <w:r w:rsidR="00577829">
        <w:fldChar w:fldCharType="separate"/>
      </w:r>
      <w:r>
        <w:rPr>
          <w:noProof/>
        </w:rPr>
        <w:t>4</w:t>
      </w:r>
      <w:r w:rsidR="00577829">
        <w:rPr>
          <w:noProof/>
        </w:rPr>
        <w:fldChar w:fldCharType="end"/>
      </w:r>
      <w:r>
        <w:t xml:space="preserve">: </w:t>
      </w:r>
      <w:r w:rsidRPr="004F237B">
        <w:t>Fragebogen - Allgemeine Angaben</w:t>
      </w:r>
      <w:bookmarkEnd w:id="3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9322D5">
      <w:pPr>
        <w:pStyle w:val="Textkrper"/>
        <w:keepNext/>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55DB22E" w:rsidR="006E35F8" w:rsidRDefault="009322D5" w:rsidP="009322D5">
      <w:pPr>
        <w:pStyle w:val="Beschriftung"/>
        <w:jc w:val="both"/>
      </w:pPr>
      <w:bookmarkStart w:id="33" w:name="_Toc65407030"/>
      <w:bookmarkStart w:id="34" w:name="_Ref65418546"/>
      <w:r>
        <w:t xml:space="preserve">Abb. </w:t>
      </w:r>
      <w:r w:rsidR="00577829">
        <w:fldChar w:fldCharType="begin"/>
      </w:r>
      <w:r w:rsidR="00577829">
        <w:instrText xml:space="preserve"> SEQ Abb. \* ARABIC </w:instrText>
      </w:r>
      <w:r w:rsidR="00577829">
        <w:fldChar w:fldCharType="separate"/>
      </w:r>
      <w:r w:rsidR="00D321B9">
        <w:rPr>
          <w:noProof/>
        </w:rPr>
        <w:t>5</w:t>
      </w:r>
      <w:r w:rsidR="00577829">
        <w:rPr>
          <w:noProof/>
        </w:rPr>
        <w:fldChar w:fldCharType="end"/>
      </w:r>
      <w:r>
        <w:t xml:space="preserve">: </w:t>
      </w:r>
      <w:r w:rsidR="006C5978">
        <w:t xml:space="preserve">Fragebogen - </w:t>
      </w:r>
      <w:r>
        <w:t>Beurteilung Szenario</w:t>
      </w:r>
      <w:bookmarkEnd w:id="33"/>
      <w:bookmarkEnd w:id="34"/>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w:t>
      </w:r>
      <w:r w:rsidR="00500622">
        <w:lastRenderedPageBreak/>
        <w:t>Zum Abschluss können konkrete Verbesserungsvorschläge gebracht werden, was besonders Relevant für die Weiterentwicklung des Projektes ist.</w:t>
      </w:r>
    </w:p>
    <w:p w14:paraId="7FAB917A" w14:textId="77777777" w:rsidR="009322D5" w:rsidRDefault="006E35F8" w:rsidP="009322D5">
      <w:pPr>
        <w:pStyle w:val="Textkrper"/>
        <w:keepNext/>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48C54817" w:rsidR="006E35F8" w:rsidRDefault="009322D5" w:rsidP="009322D5">
      <w:pPr>
        <w:pStyle w:val="Beschriftung"/>
        <w:jc w:val="both"/>
      </w:pPr>
      <w:bookmarkStart w:id="35" w:name="_Toc65407031"/>
      <w:bookmarkStart w:id="36" w:name="_Ref65421100"/>
      <w:r>
        <w:t xml:space="preserve">Abb. </w:t>
      </w:r>
      <w:r w:rsidR="00577829">
        <w:fldChar w:fldCharType="begin"/>
      </w:r>
      <w:r w:rsidR="00577829">
        <w:instrText xml:space="preserve"> SEQ Abb. \* </w:instrText>
      </w:r>
      <w:r w:rsidR="00577829">
        <w:instrText xml:space="preserve">ARABIC </w:instrText>
      </w:r>
      <w:r w:rsidR="00577829">
        <w:fldChar w:fldCharType="separate"/>
      </w:r>
      <w:r w:rsidR="00D321B9">
        <w:rPr>
          <w:noProof/>
        </w:rPr>
        <w:t>6</w:t>
      </w:r>
      <w:r w:rsidR="00577829">
        <w:rPr>
          <w:noProof/>
        </w:rPr>
        <w:fldChar w:fldCharType="end"/>
      </w:r>
      <w:r>
        <w:t xml:space="preserve">: </w:t>
      </w:r>
      <w:r w:rsidR="00506C6C">
        <w:t xml:space="preserve">Fragebogen - </w:t>
      </w:r>
      <w:r>
        <w:t>Persönliches Feedback</w:t>
      </w:r>
      <w:bookmarkEnd w:id="35"/>
      <w:bookmarkEnd w:id="36"/>
    </w:p>
    <w:p w14:paraId="6F6D3B1C" w14:textId="3991043C" w:rsidR="00B81E09" w:rsidRP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6FFEB483" w14:textId="02F267CA" w:rsidR="00B16E27" w:rsidRDefault="00403B61" w:rsidP="00314BFD">
      <w:pPr>
        <w:pStyle w:val="berschrift2"/>
      </w:pPr>
      <w:bookmarkStart w:id="37" w:name="_Toc462041551"/>
      <w:commentRangeStart w:id="38"/>
      <w:r>
        <w:lastRenderedPageBreak/>
        <w:t xml:space="preserve">Zusammenfassung, </w:t>
      </w:r>
      <w:r w:rsidR="000F0ADF">
        <w:t>Bewertung</w:t>
      </w:r>
      <w:r>
        <w:t xml:space="preserve"> und</w:t>
      </w:r>
      <w:r w:rsidR="000F0ADF">
        <w:t xml:space="preserve"> </w:t>
      </w:r>
      <w:r w:rsidR="00C814B4">
        <w:t>Ausblick</w:t>
      </w:r>
      <w:commentRangeEnd w:id="38"/>
      <w:r>
        <w:rPr>
          <w:rStyle w:val="Kommentarzeichen"/>
          <w:rFonts w:cs="Times New Roman"/>
          <w:b w:val="0"/>
          <w:bCs w:val="0"/>
          <w:iCs w:val="0"/>
        </w:rPr>
        <w:commentReference w:id="38"/>
      </w:r>
      <w:bookmarkEnd w:id="37"/>
    </w:p>
    <w:p w14:paraId="195FEBB8" w14:textId="77777777" w:rsidR="00401E1E" w:rsidRDefault="00401E1E" w:rsidP="00DE1959"/>
    <w:p w14:paraId="0FE2BB80" w14:textId="77777777" w:rsidR="00AE6168" w:rsidRDefault="00AE6168" w:rsidP="00AE6168">
      <w:pPr>
        <w:pStyle w:val="berschrift2"/>
        <w:ind w:left="0" w:firstLine="0"/>
      </w:pPr>
      <w:bookmarkStart w:id="39" w:name="_Abbildungsverzeichnis"/>
      <w:bookmarkStart w:id="40" w:name="_Toc462041552"/>
      <w:bookmarkEnd w:id="39"/>
      <w:r>
        <w:lastRenderedPageBreak/>
        <w:t>Anhang</w:t>
      </w:r>
      <w:bookmarkEnd w:id="40"/>
    </w:p>
    <w:p w14:paraId="083FE62F" w14:textId="77777777" w:rsidR="0030307A" w:rsidRDefault="0030307A" w:rsidP="0030307A">
      <w:pPr>
        <w:pStyle w:val="berschrift3"/>
      </w:pPr>
      <w:bookmarkStart w:id="41" w:name="_Toc462041553"/>
      <w:r>
        <w:t>Abkürzungsverzeichnis</w:t>
      </w:r>
      <w:bookmarkEnd w:id="41"/>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42" w:name="_Toc462041554"/>
      <w:r>
        <w:lastRenderedPageBreak/>
        <w:t>Abbildungsverzeichnis</w:t>
      </w:r>
      <w:bookmarkEnd w:id="42"/>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577829">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577829">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577829">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577829">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577829">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43"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44" w:displacedByCustomXml="prev"/>
        <w:p w14:paraId="07C1118A" w14:textId="77777777" w:rsidR="00727D9A" w:rsidRDefault="00727D9A" w:rsidP="00727D9A">
          <w:pPr>
            <w:pStyle w:val="berschrift3"/>
          </w:pPr>
          <w:r>
            <w:t>Literaturverzeichnis</w:t>
          </w:r>
          <w:commentRangeEnd w:id="44"/>
          <w:r w:rsidR="00B71F28">
            <w:rPr>
              <w:rStyle w:val="Kommentarzeichen"/>
              <w:rFonts w:cs="Times New Roman"/>
              <w:b w:val="0"/>
              <w:bCs w:val="0"/>
            </w:rPr>
            <w:commentReference w:id="44"/>
          </w:r>
          <w:bookmarkEnd w:id="43"/>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45" w:name="_Toc462041556"/>
      <w:r w:rsidRPr="005F4571">
        <w:lastRenderedPageBreak/>
        <w:t>Eidesstattliche Erklärung</w:t>
      </w:r>
      <w:bookmarkEnd w:id="45"/>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FD44F7" w:rsidRDefault="00FD44F7">
      <w:pPr>
        <w:pStyle w:val="Kommentartext"/>
      </w:pPr>
      <w:r>
        <w:rPr>
          <w:rStyle w:val="Kommentarzeichen"/>
        </w:rPr>
        <w:annotationRef/>
      </w:r>
      <w:r>
        <w:t>1-2 Seiten</w:t>
      </w:r>
    </w:p>
  </w:comment>
  <w:comment w:id="17" w:author="Meixner" w:date="2013-09-02T10:54:00Z" w:initials="M">
    <w:p w14:paraId="735957AF" w14:textId="77777777" w:rsidR="00FD44F7" w:rsidRDefault="00FD44F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FD44F7" w:rsidRDefault="00FD44F7">
      <w:pPr>
        <w:pStyle w:val="Kommentartext"/>
      </w:pPr>
      <w:r>
        <w:rPr>
          <w:rStyle w:val="Kommentarzeichen"/>
        </w:rPr>
        <w:annotationRef/>
      </w:r>
      <w:r>
        <w:t>3-5 Seiten</w:t>
      </w:r>
    </w:p>
  </w:comment>
  <w:comment w:id="38" w:author="Meixner" w:date="2013-10-02T09:59:00Z" w:initials="M">
    <w:p w14:paraId="7DD46468" w14:textId="22DA1098" w:rsidR="00FD44F7" w:rsidRDefault="00FD44F7">
      <w:pPr>
        <w:pStyle w:val="Kommentartext"/>
      </w:pPr>
      <w:r>
        <w:rPr>
          <w:rStyle w:val="Kommentarzeichen"/>
        </w:rPr>
        <w:annotationRef/>
      </w:r>
      <w:r>
        <w:rPr>
          <w:rStyle w:val="Kommentarzeichen"/>
        </w:rPr>
        <w:annotationRef/>
      </w:r>
      <w:r>
        <w:t>3-4 Seiten</w:t>
      </w:r>
    </w:p>
  </w:comment>
  <w:comment w:id="44" w:author="Meixner" w:date="2013-12-03T22:01:00Z" w:initials="M">
    <w:p w14:paraId="23502D20" w14:textId="177E1BE7" w:rsidR="00FD44F7" w:rsidRDefault="00FD44F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990DC" w14:textId="77777777" w:rsidR="00577829" w:rsidRDefault="00577829">
      <w:r>
        <w:separator/>
      </w:r>
    </w:p>
  </w:endnote>
  <w:endnote w:type="continuationSeparator" w:id="0">
    <w:p w14:paraId="787ED9DF" w14:textId="77777777" w:rsidR="00577829" w:rsidRDefault="00577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FD44F7" w:rsidRPr="00862308" w:rsidRDefault="00577829"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FD44F7" w:rsidRPr="00862308">
          <w:rPr>
            <w:sz w:val="20"/>
            <w:szCs w:val="20"/>
          </w:rPr>
          <w:fldChar w:fldCharType="begin"/>
        </w:r>
        <w:r w:rsidR="00FD44F7" w:rsidRPr="00862308">
          <w:rPr>
            <w:sz w:val="20"/>
            <w:szCs w:val="20"/>
          </w:rPr>
          <w:instrText xml:space="preserve"> PAGE   \* MERGEFORMAT </w:instrText>
        </w:r>
        <w:r w:rsidR="00FD44F7" w:rsidRPr="00862308">
          <w:rPr>
            <w:sz w:val="20"/>
            <w:szCs w:val="20"/>
          </w:rPr>
          <w:fldChar w:fldCharType="separate"/>
        </w:r>
        <w:r w:rsidR="00FD44F7">
          <w:rPr>
            <w:noProof/>
            <w:sz w:val="20"/>
            <w:szCs w:val="20"/>
          </w:rPr>
          <w:t>1</w:t>
        </w:r>
        <w:r w:rsidR="00FD44F7"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FD44F7" w:rsidRDefault="00FD44F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16A2B" w14:textId="77777777" w:rsidR="00577829" w:rsidRDefault="00577829">
      <w:r>
        <w:separator/>
      </w:r>
    </w:p>
  </w:footnote>
  <w:footnote w:type="continuationSeparator" w:id="0">
    <w:p w14:paraId="1BD1611E" w14:textId="77777777" w:rsidR="00577829" w:rsidRDefault="00577829">
      <w:r>
        <w:continuationSeparator/>
      </w:r>
    </w:p>
  </w:footnote>
  <w:footnote w:id="1">
    <w:p w14:paraId="563F3788" w14:textId="054019E4" w:rsidR="00FD44F7" w:rsidRDefault="00FD44F7">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FD44F7" w:rsidRDefault="00FD44F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FD44F7" w:rsidRDefault="00FD44F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FD44F7" w:rsidRPr="00862308" w:rsidRDefault="00FD44F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FD44F7" w:rsidRPr="00862308" w:rsidRDefault="00FD44F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FD44F7" w:rsidRDefault="00FD44F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6420D87F"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A1523">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6420D87F"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A1523">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FD44F7" w:rsidRDefault="00FD44F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37577305"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A1523">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37577305"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A1523">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FD44F7" w:rsidRDefault="00FD44F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061E9FD6"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D6474">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061E9FD6"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D6474">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01D"/>
    <w:rsid w:val="0009757A"/>
    <w:rsid w:val="00097FE5"/>
    <w:rsid w:val="00097FFA"/>
    <w:rsid w:val="000A13EC"/>
    <w:rsid w:val="000A34C3"/>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AE7"/>
    <w:rsid w:val="00162F37"/>
    <w:rsid w:val="00164C3B"/>
    <w:rsid w:val="001651C7"/>
    <w:rsid w:val="0016659E"/>
    <w:rsid w:val="00170625"/>
    <w:rsid w:val="00170898"/>
    <w:rsid w:val="00172C61"/>
    <w:rsid w:val="001745F4"/>
    <w:rsid w:val="00174A9E"/>
    <w:rsid w:val="0017537F"/>
    <w:rsid w:val="00176728"/>
    <w:rsid w:val="00177F9B"/>
    <w:rsid w:val="00181113"/>
    <w:rsid w:val="001820E5"/>
    <w:rsid w:val="00183315"/>
    <w:rsid w:val="0018405E"/>
    <w:rsid w:val="00186D98"/>
    <w:rsid w:val="00186F62"/>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FD9"/>
    <w:rsid w:val="0036007F"/>
    <w:rsid w:val="0036086F"/>
    <w:rsid w:val="00360AEC"/>
    <w:rsid w:val="003612DF"/>
    <w:rsid w:val="00364947"/>
    <w:rsid w:val="00364C4F"/>
    <w:rsid w:val="003736E5"/>
    <w:rsid w:val="003741C4"/>
    <w:rsid w:val="00380648"/>
    <w:rsid w:val="00380BB0"/>
    <w:rsid w:val="00382F06"/>
    <w:rsid w:val="0038513B"/>
    <w:rsid w:val="0038674B"/>
    <w:rsid w:val="00387E0F"/>
    <w:rsid w:val="00390B46"/>
    <w:rsid w:val="00394571"/>
    <w:rsid w:val="00395471"/>
    <w:rsid w:val="00397655"/>
    <w:rsid w:val="00397C5E"/>
    <w:rsid w:val="003B2A95"/>
    <w:rsid w:val="003B3CB7"/>
    <w:rsid w:val="003C38EA"/>
    <w:rsid w:val="003C4B4B"/>
    <w:rsid w:val="003C5D11"/>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63C81"/>
    <w:rsid w:val="00470A39"/>
    <w:rsid w:val="00473582"/>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622"/>
    <w:rsid w:val="005009A8"/>
    <w:rsid w:val="00501941"/>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5DA4"/>
    <w:rsid w:val="007073BC"/>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803877"/>
    <w:rsid w:val="00805423"/>
    <w:rsid w:val="00805825"/>
    <w:rsid w:val="00806D68"/>
    <w:rsid w:val="008074A8"/>
    <w:rsid w:val="00810BA3"/>
    <w:rsid w:val="00810D09"/>
    <w:rsid w:val="008119C0"/>
    <w:rsid w:val="0081340D"/>
    <w:rsid w:val="0081403B"/>
    <w:rsid w:val="00820336"/>
    <w:rsid w:val="0082767C"/>
    <w:rsid w:val="0083287A"/>
    <w:rsid w:val="00844507"/>
    <w:rsid w:val="0085015C"/>
    <w:rsid w:val="00850F20"/>
    <w:rsid w:val="008579A3"/>
    <w:rsid w:val="00857D7B"/>
    <w:rsid w:val="00862308"/>
    <w:rsid w:val="008638B3"/>
    <w:rsid w:val="00864573"/>
    <w:rsid w:val="0087055F"/>
    <w:rsid w:val="00872174"/>
    <w:rsid w:val="00872197"/>
    <w:rsid w:val="00872AFC"/>
    <w:rsid w:val="0087369F"/>
    <w:rsid w:val="0087667E"/>
    <w:rsid w:val="0087741B"/>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322D5"/>
    <w:rsid w:val="00940A0D"/>
    <w:rsid w:val="0094565E"/>
    <w:rsid w:val="00951E2F"/>
    <w:rsid w:val="00953BCE"/>
    <w:rsid w:val="009555C2"/>
    <w:rsid w:val="009617B3"/>
    <w:rsid w:val="009626AF"/>
    <w:rsid w:val="00963405"/>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3B6E"/>
    <w:rsid w:val="00A15150"/>
    <w:rsid w:val="00A15B2F"/>
    <w:rsid w:val="00A16427"/>
    <w:rsid w:val="00A178F1"/>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6FA"/>
    <w:rsid w:val="00A54BDA"/>
    <w:rsid w:val="00A604BE"/>
    <w:rsid w:val="00A62961"/>
    <w:rsid w:val="00A64B8F"/>
    <w:rsid w:val="00A655CC"/>
    <w:rsid w:val="00A71099"/>
    <w:rsid w:val="00A71733"/>
    <w:rsid w:val="00A72177"/>
    <w:rsid w:val="00A726EA"/>
    <w:rsid w:val="00A7660C"/>
    <w:rsid w:val="00A76A9F"/>
    <w:rsid w:val="00A80EDF"/>
    <w:rsid w:val="00A80F6F"/>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4608"/>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D0C4C"/>
    <w:rsid w:val="00BE13CE"/>
    <w:rsid w:val="00BE78CE"/>
    <w:rsid w:val="00BF0568"/>
    <w:rsid w:val="00BF3AEB"/>
    <w:rsid w:val="00BF750A"/>
    <w:rsid w:val="00C01237"/>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6CA"/>
    <w:rsid w:val="00D128FE"/>
    <w:rsid w:val="00D14C5E"/>
    <w:rsid w:val="00D16422"/>
    <w:rsid w:val="00D17EDF"/>
    <w:rsid w:val="00D20358"/>
    <w:rsid w:val="00D233AD"/>
    <w:rsid w:val="00D26CB1"/>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2BD"/>
    <w:rsid w:val="00D718F3"/>
    <w:rsid w:val="00D726CF"/>
    <w:rsid w:val="00D743C6"/>
    <w:rsid w:val="00D7596F"/>
    <w:rsid w:val="00D81241"/>
    <w:rsid w:val="00D83A18"/>
    <w:rsid w:val="00D860C8"/>
    <w:rsid w:val="00D90B44"/>
    <w:rsid w:val="00D9420C"/>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280"/>
    <w:rsid w:val="00E45A62"/>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6C0B"/>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72772B"/>
    <w:pPr>
      <w:keepLines/>
      <w:spacing w:after="240" w:line="240" w:lineRule="auto"/>
      <w:jc w:val="center"/>
    </w:pPr>
    <w:rPr>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
    <b:Tag>21021</b:Tag>
    <b:SourceType>InternetSite</b:SourceType>
    <b:Guid>{A1A34DF4-7B9C-45D1-9D36-58A80BCB2C7C}</b:Guid>
    <b:YearAccessed>2021</b:YearAccessed>
    <b:MonthAccessed>02</b:MonthAccessed>
    <b:DayAccessed>28</b:DayAccessed>
    <b:URL>https://evasys.de/evasys/</b:URL>
    <b:RefOrder>7</b:RefOrder>
  </b:Source>
</b:Sources>
</file>

<file path=customXml/itemProps1.xml><?xml version="1.0" encoding="utf-8"?>
<ds:datastoreItem xmlns:ds="http://schemas.openxmlformats.org/officeDocument/2006/customXml" ds:itemID="{980C65DC-3C57-4EF3-B038-C263F06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2838</Words>
  <Characters>17882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153</cp:revision>
  <cp:lastPrinted>2010-09-26T22:14:00Z</cp:lastPrinted>
  <dcterms:created xsi:type="dcterms:W3CDTF">2021-02-24T17:17:00Z</dcterms:created>
  <dcterms:modified xsi:type="dcterms:W3CDTF">2021-02-28T16:37:00Z</dcterms:modified>
  <cp:category>Abschlussarbeit</cp:category>
  <cp:version>0</cp:version>
</cp:coreProperties>
</file>