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36"/>
          <w:lang/>
        </w:rPr>
      </w:pPr>
      <w:r>
        <w:rPr>
          <w:rFonts w:hint="default"/>
          <w:sz w:val="28"/>
          <w:szCs w:val="36"/>
          <w:lang/>
        </w:rPr>
        <w:t>Bioinformatic Methods</w:t>
      </w:r>
    </w:p>
    <w:p>
      <w:pPr>
        <w:rPr>
          <w:rFonts w:hint="default"/>
          <w:lang/>
        </w:rPr>
      </w:pPr>
      <w:r>
        <w:rPr>
          <w:rFonts w:hint="default"/>
          <w:lang/>
        </w:rPr>
        <w:t>All tools employed in this study a</w:t>
      </w:r>
    </w:p>
    <w:p>
      <w:pPr>
        <w:rPr>
          <w:rFonts w:hint="default"/>
          <w:lang/>
        </w:rPr>
      </w:pPr>
    </w:p>
    <w:p>
      <w:pPr>
        <w:rPr>
          <w:rFonts w:hint="default"/>
          <w:b/>
          <w:bCs/>
          <w:lang/>
        </w:rPr>
      </w:pPr>
      <w:r>
        <w:rPr>
          <w:rFonts w:hint="default"/>
          <w:b/>
          <w:bCs/>
          <w:lang/>
        </w:rPr>
        <w:t>RNAseq raw data processing</w:t>
      </w:r>
    </w:p>
    <w:p>
      <w:pPr>
        <w:rPr>
          <w:rFonts w:hint="default"/>
          <w:b/>
          <w:bCs/>
          <w:lang/>
        </w:rPr>
      </w:pPr>
    </w:p>
    <w:p>
      <w:pPr>
        <w:rPr>
          <w:rFonts w:hint="default"/>
          <w:b/>
          <w:bCs/>
          <w:lang/>
        </w:rPr>
      </w:pPr>
      <w:r>
        <w:rPr>
          <w:rFonts w:hint="default"/>
          <w:b/>
          <w:bCs/>
          <w:lang/>
        </w:rPr>
        <w:t>Sequence alignment and read counting</w:t>
      </w:r>
    </w:p>
    <w:p>
      <w:pPr>
        <w:rPr>
          <w:rFonts w:hint="default"/>
          <w:lang/>
        </w:rPr>
      </w:pPr>
    </w:p>
    <w:p>
      <w:pPr>
        <w:rPr>
          <w:rFonts w:hint="default"/>
          <w:lang/>
        </w:rPr>
      </w:pPr>
    </w:p>
    <w:p>
      <w:pPr>
        <w:rPr>
          <w:rFonts w:hint="default"/>
          <w:lang/>
        </w:rPr>
      </w:pPr>
      <w:r>
        <w:rPr>
          <w:rFonts w:hint="default"/>
          <w:lang w:eastAsia="zh-CN"/>
        </w:rPr>
        <w:t xml:space="preserve">Then pair-end reads were mapped to the Prochlorococcus MED4 genome </w:t>
      </w:r>
      <w:bookmarkStart w:id="0" w:name="_GoBack"/>
      <w:bookmarkEnd w:id="0"/>
      <w:r>
        <w:rPr>
          <w:rFonts w:hint="default"/>
          <w:lang w:eastAsia="zh-CN"/>
        </w:rPr>
        <w:t xml:space="preserve">(accession number: </w:t>
      </w:r>
      <w:r>
        <w:rPr>
          <w:rFonts w:hint="default"/>
          <w:lang w:eastAsia="zh-CN"/>
        </w:rPr>
        <w:fldChar w:fldCharType="begin"/>
      </w:r>
      <w:r>
        <w:rPr>
          <w:rFonts w:hint="default"/>
          <w:lang w:eastAsia="zh-CN"/>
        </w:rPr>
        <w:instrText xml:space="preserve"> HYPERLINK "https://www.ncbi.nlm.nih.gov/nuccore/NC_005072" </w:instrText>
      </w:r>
      <w:r>
        <w:rPr>
          <w:rFonts w:hint="default"/>
          <w:lang w:eastAsia="zh-CN"/>
        </w:rPr>
        <w:fldChar w:fldCharType="separate"/>
      </w:r>
      <w:r>
        <w:rPr>
          <w:rFonts w:hint="default"/>
          <w:lang/>
        </w:rPr>
        <w:t>NC_005072</w:t>
      </w:r>
      <w:r>
        <w:rPr>
          <w:rFonts w:hint="default"/>
          <w:lang w:eastAsia="zh-CN"/>
        </w:rPr>
        <w:fldChar w:fldCharType="end"/>
      </w:r>
      <w:r>
        <w:rPr>
          <w:rFonts w:hint="default"/>
          <w:lang w:eastAsia="zh-CN"/>
        </w:rPr>
        <w:t>) using Bowtie2 [</w:t>
      </w:r>
      <w:r>
        <w:rPr>
          <w:rFonts w:hint="default"/>
          <w:lang w:eastAsia="zh-CN"/>
        </w:rPr>
        <w:fldChar w:fldCharType="begin"/>
      </w:r>
      <w:r>
        <w:rPr>
          <w:rFonts w:hint="default"/>
          <w:lang w:eastAsia="zh-CN"/>
        </w:rPr>
        <w:instrText xml:space="preserve"> HYPERLINK "https://www.ncbi.nlm.nih.gov/pmc/articles/PMC3898218/" \l "B60" </w:instrText>
      </w:r>
      <w:r>
        <w:rPr>
          <w:rFonts w:hint="default"/>
          <w:lang w:eastAsia="zh-CN"/>
        </w:rPr>
        <w:fldChar w:fldCharType="separate"/>
      </w:r>
      <w:r>
        <w:rPr>
          <w:rFonts w:hint="default"/>
          <w:lang/>
        </w:rPr>
        <w:t>60</w:t>
      </w:r>
      <w:r>
        <w:rPr>
          <w:rFonts w:hint="default"/>
          <w:lang w:eastAsia="zh-CN"/>
        </w:rPr>
        <w:fldChar w:fldCharType="end"/>
      </w:r>
      <w:r>
        <w:rPr>
          <w:rFonts w:hint="default"/>
          <w:lang w:eastAsia="zh-CN"/>
        </w:rPr>
        <w:t>] with at most one mismatch. The coverage of each nucleotide was calculated by counting the number of reads mapped at corresponding nucleotide positions in the genome. The number of reads that were perfectly mapped to a gene region was calculated using BEDTools [</w:t>
      </w:r>
      <w:r>
        <w:rPr>
          <w:rFonts w:hint="default"/>
          <w:lang w:eastAsia="zh-CN"/>
        </w:rPr>
        <w:fldChar w:fldCharType="begin"/>
      </w:r>
      <w:r>
        <w:rPr>
          <w:rFonts w:hint="default"/>
          <w:lang w:eastAsia="zh-CN"/>
        </w:rPr>
        <w:instrText xml:space="preserve"> HYPERLINK "https://www.ncbi.nlm.nih.gov/pmc/articles/PMC3898218/" \l "B61" </w:instrText>
      </w:r>
      <w:r>
        <w:rPr>
          <w:rFonts w:hint="default"/>
          <w:lang w:eastAsia="zh-CN"/>
        </w:rPr>
        <w:fldChar w:fldCharType="separate"/>
      </w:r>
      <w:r>
        <w:rPr>
          <w:rFonts w:hint="default"/>
          <w:lang/>
        </w:rPr>
        <w:t>61</w:t>
      </w:r>
      <w:r>
        <w:rPr>
          <w:rFonts w:hint="default"/>
          <w:lang w:eastAsia="zh-CN"/>
        </w:rPr>
        <w:fldChar w:fldCharType="end"/>
      </w:r>
      <w:r>
        <w:rPr>
          <w:rFonts w:hint="default"/>
          <w:lang w:eastAsia="zh-CN"/>
        </w:rPr>
        <w:t>], and then it was normalized by gene length and total mapped reads, namely RPKM as the gene expression value [</w:t>
      </w:r>
      <w:r>
        <w:rPr>
          <w:rFonts w:hint="default"/>
          <w:lang w:eastAsia="zh-CN"/>
        </w:rPr>
        <w:fldChar w:fldCharType="begin"/>
      </w:r>
      <w:r>
        <w:rPr>
          <w:rFonts w:hint="default"/>
          <w:lang w:eastAsia="zh-CN"/>
        </w:rPr>
        <w:instrText xml:space="preserve"> HYPERLINK "https://www.ncbi.nlm.nih.gov/pmc/articles/PMC3898218/" \l "B26" </w:instrText>
      </w:r>
      <w:r>
        <w:rPr>
          <w:rFonts w:hint="default"/>
          <w:lang w:eastAsia="zh-CN"/>
        </w:rPr>
        <w:fldChar w:fldCharType="separate"/>
      </w:r>
      <w:r>
        <w:rPr>
          <w:rFonts w:hint="default"/>
          <w:lang/>
        </w:rPr>
        <w:t>26</w:t>
      </w:r>
      <w:r>
        <w:rPr>
          <w:rFonts w:hint="default"/>
          <w:lang w:eastAsia="zh-CN"/>
        </w:rPr>
        <w:fldChar w:fldCharType="end"/>
      </w:r>
      <w:r>
        <w:rPr>
          <w:rFonts w:hint="default"/>
          <w:lang w:eastAsia="zh-CN"/>
        </w:rPr>
        <w:t>]. The gene annotations for Prochlorococcus MED4 were downloaded from MicrobesOnline [</w:t>
      </w:r>
      <w:r>
        <w:rPr>
          <w:rFonts w:hint="default"/>
          <w:lang w:eastAsia="zh-CN"/>
        </w:rPr>
        <w:fldChar w:fldCharType="begin"/>
      </w:r>
      <w:r>
        <w:rPr>
          <w:rFonts w:hint="default"/>
          <w:lang w:eastAsia="zh-CN"/>
        </w:rPr>
        <w:instrText xml:space="preserve"> HYPERLINK "https://www.ncbi.nlm.nih.gov/pmc/articles/PMC3898218/" \l "B62" </w:instrText>
      </w:r>
      <w:r>
        <w:rPr>
          <w:rFonts w:hint="default"/>
          <w:lang w:eastAsia="zh-CN"/>
        </w:rPr>
        <w:fldChar w:fldCharType="separate"/>
      </w:r>
      <w:r>
        <w:rPr>
          <w:rFonts w:hint="default"/>
          <w:lang/>
        </w:rPr>
        <w:t>62</w:t>
      </w:r>
      <w:r>
        <w:rPr>
          <w:rFonts w:hint="default"/>
          <w:lang w:eastAsia="zh-CN"/>
        </w:rPr>
        <w:fldChar w:fldCharType="end"/>
      </w:r>
      <w:r>
        <w:rPr>
          <w:rFonts w:hint="default"/>
          <w:lang w:eastAsia="zh-CN"/>
        </w:rPr>
        <w:t xml:space="preserve">] with modifications for non-annotated genes that were designated “HyPMM#”. New ORFs identified in this study were annotated with “TibPMM#” (Sheet 2 of Additional file </w:t>
      </w:r>
      <w:r>
        <w:rPr>
          <w:rFonts w:hint="default"/>
          <w:lang w:eastAsia="zh-CN"/>
        </w:rPr>
        <w:fldChar w:fldCharType="begin"/>
      </w:r>
      <w:r>
        <w:rPr>
          <w:rFonts w:hint="default"/>
          <w:lang w:eastAsia="zh-CN"/>
        </w:rPr>
        <w:instrText xml:space="preserve"> HYPERLINK "https://www.ncbi.nlm.nih.gov/pmc/articles/PMC3898218/" \l "S3" </w:instrText>
      </w:r>
      <w:r>
        <w:rPr>
          <w:rFonts w:hint="default"/>
          <w:lang w:eastAsia="zh-CN"/>
        </w:rPr>
        <w:fldChar w:fldCharType="separate"/>
      </w:r>
      <w:r>
        <w:rPr>
          <w:rFonts w:hint="default"/>
          <w:lang/>
        </w:rPr>
        <w:t>3</w:t>
      </w:r>
      <w:r>
        <w:rPr>
          <w:rFonts w:hint="default"/>
          <w:lang w:eastAsia="zh-CN"/>
        </w:rPr>
        <w:fldChar w:fldCharType="end"/>
      </w:r>
      <w:r>
        <w:rPr>
          <w:rFonts w:hint="default"/>
          <w:lang w:eastAsia="zh-CN"/>
        </w:rPr>
        <w:t xml:space="preserve">). Sequences generated by this study are available in the Gene Expression Omnibus (GEO) under accession number </w:t>
      </w:r>
      <w:r>
        <w:rPr>
          <w:rFonts w:hint="default"/>
          <w:lang w:eastAsia="zh-CN"/>
        </w:rPr>
        <w:fldChar w:fldCharType="begin"/>
      </w:r>
      <w:r>
        <w:rPr>
          <w:rFonts w:hint="default"/>
          <w:lang w:eastAsia="zh-CN"/>
        </w:rPr>
        <w:instrText xml:space="preserve"> HYPERLINK "https://www.ncbi.nlm.nih.gov/geo/query/acc.cgi?acc=GSE49517" </w:instrText>
      </w:r>
      <w:r>
        <w:rPr>
          <w:rFonts w:hint="default"/>
          <w:lang w:eastAsia="zh-CN"/>
        </w:rPr>
        <w:fldChar w:fldCharType="separate"/>
      </w:r>
      <w:r>
        <w:rPr>
          <w:rFonts w:hint="default"/>
          <w:lang/>
        </w:rPr>
        <w:t>GSE49517</w:t>
      </w:r>
      <w:r>
        <w:rPr>
          <w:rFonts w:hint="default"/>
          <w:lang w:eastAsia="zh-CN"/>
        </w:rPr>
        <w:fldChar w:fldCharType="end"/>
      </w:r>
      <w:r>
        <w:rPr>
          <w:rFonts w:hint="default"/>
          <w:lang w:eastAsia="zh-CN"/>
        </w:rPr>
        <w:t>.</w:t>
      </w:r>
    </w:p>
    <w:p>
      <w:pPr>
        <w:rPr>
          <w:rFonts w:hint="default"/>
          <w:lang/>
        </w:rPr>
      </w:pPr>
    </w:p>
    <w:p>
      <w:pPr>
        <w:rPr>
          <w:rFonts w:hint="default"/>
          <w:lang/>
        </w:rPr>
      </w:pPr>
    </w:p>
    <w:p>
      <w:pPr>
        <w:rPr>
          <w:rFonts w:hint="default"/>
          <w:b/>
          <w:bCs/>
          <w:lang/>
        </w:rPr>
      </w:pPr>
    </w:p>
    <w:p>
      <w:pPr>
        <w:rPr>
          <w:rFonts w:hint="default"/>
          <w:b/>
          <w:bCs/>
          <w:lang/>
        </w:rPr>
      </w:pPr>
      <w:r>
        <w:rPr>
          <w:rFonts w:hint="default"/>
          <w:b/>
          <w:bCs/>
          <w:lang/>
        </w:rPr>
        <w:t>Differential expression analysis</w:t>
      </w:r>
    </w:p>
    <w:p>
      <w:pPr>
        <w:rPr>
          <w:rFonts w:hint="default"/>
          <w:b/>
          <w:bCs/>
          <w:lang/>
        </w:rPr>
      </w:pPr>
    </w:p>
    <w:p>
      <w:pPr>
        <w:rPr>
          <w:rFonts w:hint="default"/>
          <w:b/>
          <w:bCs/>
          <w:lang/>
        </w:rPr>
      </w:pPr>
      <w:r>
        <w:rPr>
          <w:rFonts w:hint="default"/>
          <w:b/>
          <w:bCs/>
          <w:lang/>
        </w:rPr>
        <w:t>Gene clustering</w:t>
      </w:r>
    </w:p>
    <w:p>
      <w:pPr>
        <w:rPr>
          <w:rFonts w:hint="default"/>
          <w:b/>
          <w:bCs/>
          <w:lang/>
        </w:rPr>
      </w:pPr>
    </w:p>
    <w:p>
      <w:pPr>
        <w:rPr>
          <w:rFonts w:hint="default"/>
          <w:b/>
          <w:bCs/>
          <w:lang/>
        </w:rPr>
      </w:pPr>
      <w:r>
        <w:rPr>
          <w:rFonts w:hint="default"/>
          <w:b/>
          <w:bCs/>
          <w:lang/>
        </w:rPr>
        <w:t>Gene function annotation</w:t>
      </w:r>
    </w:p>
    <w:p>
      <w:pPr>
        <w:rPr>
          <w:rFonts w:hint="default"/>
          <w:lang/>
        </w:rPr>
      </w:pPr>
    </w:p>
    <w:p>
      <w:pPr>
        <w:rPr>
          <w:rFonts w:hint="default"/>
          <w:lang/>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BC307D"/>
    <w:rsid w:val="FFBA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cp:lastModifiedBy>robaina</cp:lastModifiedBy>
  <dcterms:modified xsi:type="dcterms:W3CDTF">2021-05-25T11:54:50Z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