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line="240" w:lineRule="auto"/>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02">
      <w:pPr>
        <w:keepNext w:val="1"/>
        <w:keepLines w:val="1"/>
        <w:spacing w:line="240" w:lineRule="auto"/>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03">
      <w:pPr>
        <w:keepNext w:val="1"/>
        <w:keepLines w:val="1"/>
        <w:spacing w:line="240" w:lineRule="auto"/>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Pr>
        <w:drawing>
          <wp:anchor allowOverlap="1" behindDoc="0" distB="0" distT="0" distL="114300" distR="114300" hidden="0" layoutInCell="1" locked="0" relativeHeight="0" simplePos="0">
            <wp:simplePos x="0" y="0"/>
            <wp:positionH relativeFrom="margin">
              <wp:posOffset>-158006</wp:posOffset>
            </wp:positionH>
            <wp:positionV relativeFrom="margin">
              <wp:posOffset>609600</wp:posOffset>
            </wp:positionV>
            <wp:extent cx="1633538" cy="1633538"/>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33538" cy="1633538"/>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keepNext w:val="1"/>
        <w:keepLines w:val="1"/>
        <w:spacing w:line="240" w:lineRule="auto"/>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FAST NATIONAL UNIVERSITY OF COMPUTER AND EMERGING SCIENCES</w:t>
      </w:r>
    </w:p>
    <w:p w:rsidR="00000000" w:rsidDel="00000000" w:rsidP="00000000" w:rsidRDefault="00000000" w:rsidRPr="00000000" w14:paraId="00000005">
      <w:pPr>
        <w:spacing w:after="240" w:before="240" w:line="276" w:lineRule="auto"/>
        <w:ind w:left="72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40"/>
          <w:szCs w:val="40"/>
          <w:highlight w:val="white"/>
          <w:rtl w:val="0"/>
        </w:rPr>
        <w:t xml:space="preserve">(KARACHI CAMPUS)</w:t>
      </w:r>
      <w:r w:rsidDel="00000000" w:rsidR="00000000" w:rsidRPr="00000000">
        <w:rPr>
          <w:rtl w:val="0"/>
        </w:rPr>
      </w:r>
    </w:p>
    <w:p w:rsidR="00000000" w:rsidDel="00000000" w:rsidP="00000000" w:rsidRDefault="00000000" w:rsidRPr="00000000" w14:paraId="00000006">
      <w:pPr>
        <w:spacing w:after="240" w:before="240" w:line="276"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07">
      <w:pPr>
        <w:spacing w:after="240" w:before="240" w:line="276"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08">
      <w:pPr>
        <w:spacing w:after="240" w:before="240" w:line="276" w:lineRule="auto"/>
        <w:rPr>
          <w:rFonts w:ascii="Times New Roman" w:cs="Times New Roman" w:eastAsia="Times New Roman" w:hAnsi="Times New Roman"/>
          <w:b w:val="1"/>
          <w:sz w:val="42"/>
          <w:szCs w:val="42"/>
          <w:highlight w:val="whit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42"/>
          <w:szCs w:val="42"/>
          <w:highlight w:val="white"/>
          <w:rtl w:val="0"/>
        </w:rPr>
        <w:t xml:space="preserve">Department of Computer Science</w:t>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Spring 2024</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CS4091 Final Year Project </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rtl w:val="0"/>
        </w:rPr>
        <w:t xml:space="preserve">Batch 2020</w:t>
      </w:r>
      <w:r w:rsidDel="00000000" w:rsidR="00000000" w:rsidRPr="00000000">
        <w:rPr>
          <w:rtl w:val="0"/>
        </w:rPr>
      </w:r>
    </w:p>
    <w:p w:rsidR="00000000" w:rsidDel="00000000" w:rsidP="00000000" w:rsidRDefault="00000000" w:rsidRPr="00000000" w14:paraId="0000000C">
      <w:pPr>
        <w:spacing w:after="160" w:line="25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D">
      <w:pPr>
        <w:spacing w:after="160" w:line="25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sz w:val="34"/>
          <w:szCs w:val="34"/>
          <w:rtl w:val="0"/>
        </w:rPr>
        <w:t xml:space="preserve">Identification Of Risk Genes For Neurodegenerative Disease</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Progress Report</w:t>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F23-335 B</w:t>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Members:</w:t>
      </w:r>
    </w:p>
    <w:p w:rsidR="00000000" w:rsidDel="00000000" w:rsidP="00000000" w:rsidRDefault="00000000" w:rsidRPr="00000000" w14:paraId="00000013">
      <w:pPr>
        <w:spacing w:lin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numPr>
          <w:ilvl w:val="0"/>
          <w:numId w:val="4"/>
        </w:numPr>
        <w:spacing w:line="24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Robaisha Masood 20K-0390</w:t>
      </w:r>
      <w:r w:rsidDel="00000000" w:rsidR="00000000" w:rsidRPr="00000000">
        <w:rPr>
          <w:rFonts w:ascii="Times New Roman" w:cs="Times New Roman" w:eastAsia="Times New Roman" w:hAnsi="Times New Roman"/>
          <w:sz w:val="32"/>
          <w:szCs w:val="32"/>
          <w:u w:val="single"/>
          <w:rtl w:val="0"/>
        </w:rPr>
        <w:t xml:space="preserve">    </w:t>
      </w:r>
    </w:p>
    <w:p w:rsidR="00000000" w:rsidDel="00000000" w:rsidP="00000000" w:rsidRDefault="00000000" w:rsidRPr="00000000" w14:paraId="00000015">
      <w:pPr>
        <w:numPr>
          <w:ilvl w:val="0"/>
          <w:numId w:val="4"/>
        </w:numPr>
        <w:spacing w:line="24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Noor Afshan 20K-0266</w:t>
      </w:r>
    </w:p>
    <w:p w:rsidR="00000000" w:rsidDel="00000000" w:rsidP="00000000" w:rsidRDefault="00000000" w:rsidRPr="00000000" w14:paraId="00000016">
      <w:pPr>
        <w:numPr>
          <w:ilvl w:val="0"/>
          <w:numId w:val="4"/>
        </w:numPr>
        <w:spacing w:line="24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Hira Tahir 20K-0374</w:t>
      </w:r>
      <w:r w:rsidDel="00000000" w:rsidR="00000000" w:rsidRPr="00000000">
        <w:rPr>
          <w:rFonts w:ascii="Times New Roman" w:cs="Times New Roman" w:eastAsia="Times New Roman" w:hAnsi="Times New Roman"/>
          <w:sz w:val="32"/>
          <w:szCs w:val="32"/>
          <w:u w:val="single"/>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228.1719970703125"/>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Internal Supervisor:</w:t>
      </w:r>
    </w:p>
    <w:p w:rsidR="00000000" w:rsidDel="00000000" w:rsidP="00000000" w:rsidRDefault="00000000" w:rsidRPr="00000000" w14:paraId="00000019">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numPr>
          <w:ilvl w:val="0"/>
          <w:numId w:val="4"/>
        </w:numPr>
        <w:spacing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Mr Shoaib Rauf</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59002685546875"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59002685546875"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3"/>
        <w:widowControl w:val="0"/>
        <w:spacing w:line="240" w:lineRule="auto"/>
        <w:ind w:left="-450" w:firstLine="0"/>
        <w:jc w:val="both"/>
        <w:rPr>
          <w:vertAlign w:val="baseline"/>
        </w:rPr>
      </w:pPr>
      <w:bookmarkStart w:colFirst="0" w:colLast="0" w:name="_pkaratyn9au6" w:id="0"/>
      <w:bookmarkEnd w:id="0"/>
      <w:r w:rsidDel="00000000" w:rsidR="00000000" w:rsidRPr="00000000">
        <w:rPr>
          <w:vertAlign w:val="baseline"/>
          <w:rtl w:val="0"/>
        </w:rPr>
        <w:t xml:space="preserve"> </w:t>
      </w:r>
    </w:p>
    <w:p w:rsidR="00000000" w:rsidDel="00000000" w:rsidP="00000000" w:rsidRDefault="00000000" w:rsidRPr="00000000" w14:paraId="0000001F">
      <w:pPr>
        <w:pStyle w:val="Heading3"/>
        <w:widowControl w:val="0"/>
        <w:spacing w:line="240" w:lineRule="auto"/>
        <w:ind w:left="-450" w:firstLine="0"/>
        <w:jc w:val="both"/>
        <w:rPr/>
      </w:pPr>
      <w:bookmarkStart w:colFirst="0" w:colLast="0" w:name="_msunz0kjwx4" w:id="1"/>
      <w:bookmarkEnd w:id="1"/>
      <w:r w:rsidDel="00000000" w:rsidR="00000000" w:rsidRPr="00000000">
        <w:rPr>
          <w:rtl w:val="0"/>
        </w:rPr>
      </w:r>
    </w:p>
    <w:p w:rsidR="00000000" w:rsidDel="00000000" w:rsidP="00000000" w:rsidRDefault="00000000" w:rsidRPr="00000000" w14:paraId="00000020">
      <w:pPr>
        <w:pStyle w:val="Heading3"/>
        <w:widowControl w:val="0"/>
        <w:spacing w:line="240" w:lineRule="auto"/>
        <w:ind w:left="-450" w:firstLine="0"/>
        <w:jc w:val="both"/>
        <w:rPr/>
      </w:pPr>
      <w:bookmarkStart w:colFirst="0" w:colLast="0" w:name="_fpd0kbfi72f3" w:id="2"/>
      <w:bookmarkEnd w:id="2"/>
      <w:r w:rsidDel="00000000" w:rsidR="00000000" w:rsidRPr="00000000">
        <w:rPr>
          <w:rtl w:val="0"/>
        </w:rPr>
      </w:r>
    </w:p>
    <w:p w:rsidR="00000000" w:rsidDel="00000000" w:rsidP="00000000" w:rsidRDefault="00000000" w:rsidRPr="00000000" w14:paraId="00000021">
      <w:pPr>
        <w:pStyle w:val="Heading3"/>
        <w:widowControl w:val="0"/>
        <w:spacing w:line="240" w:lineRule="auto"/>
        <w:ind w:left="-450" w:firstLine="0"/>
        <w:jc w:val="both"/>
        <w:rPr>
          <w:vertAlign w:val="baseline"/>
        </w:rPr>
      </w:pPr>
      <w:bookmarkStart w:colFirst="0" w:colLast="0" w:name="_l6lz9o4cl3j6" w:id="3"/>
      <w:bookmarkEnd w:id="3"/>
      <w:r w:rsidDel="00000000" w:rsidR="00000000" w:rsidRPr="00000000">
        <w:rPr>
          <w:vertAlign w:val="baseline"/>
          <w:rtl w:val="0"/>
        </w:rPr>
        <w:t xml:space="preserve">INTRODUCTION </w:t>
      </w:r>
    </w:p>
    <w:p w:rsidR="00000000" w:rsidDel="00000000" w:rsidP="00000000" w:rsidRDefault="00000000" w:rsidRPr="00000000" w14:paraId="00000022">
      <w:pPr>
        <w:widowControl w:val="0"/>
        <w:spacing w:before="332.425537109375" w:line="240" w:lineRule="auto"/>
        <w:ind w:left="-450" w:right="-15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Neurodegenerative diseases are chronic brain conditions when the neurons start to degenerate gradually due to abnormal accumulation and misfolding of specific proteins. Neurodegenerative diseases cause memory loss and behavioral abnormalities. The degeneration of neurons leads to neuronal damage and causes memory loss in the patient at different stages. Neurodegenerative disease syndrome includes Alzheimer's disease, Parkinson's disease, Huntington's disease, and Amyotrophic Lateral Sclerosis.</w:t>
      </w:r>
    </w:p>
    <w:p w:rsidR="00000000" w:rsidDel="00000000" w:rsidP="00000000" w:rsidRDefault="00000000" w:rsidRPr="00000000" w14:paraId="00000023">
      <w:pPr>
        <w:widowControl w:val="0"/>
        <w:spacing w:before="332.425537109375" w:line="240" w:lineRule="auto"/>
        <w:ind w:left="-450" w:right="-15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estimated six million in the United States are afflicted with Alzheimer's Disease. This number is projected to double by 2050. Therefore our research will reveal the protein-to-protein interaction that will help in early diagnosis and drug development.</w:t>
      </w:r>
    </w:p>
    <w:p w:rsidR="00000000" w:rsidDel="00000000" w:rsidP="00000000" w:rsidRDefault="00000000" w:rsidRPr="00000000" w14:paraId="00000024">
      <w:pPr>
        <w:widowControl w:val="0"/>
        <w:spacing w:before="332.425537109375" w:line="240" w:lineRule="auto"/>
        <w:ind w:left="-450" w:right="-15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research in the domain of neuroscience has discovered some factors that potentially cause the pathogenesis of neurodegenerative disease, especially Alzheimer's. One of the research hypothesis suggests that the metal levels deregulation in the brain may play a very vital role in the development of neurodegenerative disorders. This hypothesis is supported by the observation of amyloid aggregation and oxidative stress, both of which are pathological factors associated with the disease. To further investigate the matter, our study will focus on identifying the potential hub genes that govern the pathogenesis of the disease.  However, the main objective of our study is to identify the cancer-causing genes or the key genes. Identifying the key hub gene that plays a vital role in the pathogenesis of neurodegenerative disorders.  </w:t>
      </w:r>
    </w:p>
    <w:p w:rsidR="00000000" w:rsidDel="00000000" w:rsidP="00000000" w:rsidRDefault="00000000" w:rsidRPr="00000000" w14:paraId="00000025">
      <w:pPr>
        <w:widowControl w:val="0"/>
        <w:spacing w:before="332.425537109375" w:line="240" w:lineRule="auto"/>
        <w:ind w:left="-450" w:right="-15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will use computational biology for analyzing datasets from the NCBI GEO Database and DisGeNet. We will construct networks of control vs. disease conditions for each dataset. These networks will be further used to identify the hub genes significantly influencing the disease. These hub genes will further be evaluated using different algorithms, for instance, Weighted Gene Co-expression Network Analysis (WGCNA) and different community algorithms.</w:t>
      </w:r>
    </w:p>
    <w:p w:rsidR="00000000" w:rsidDel="00000000" w:rsidP="00000000" w:rsidRDefault="00000000" w:rsidRPr="00000000" w14:paraId="00000026">
      <w:pPr>
        <w:pStyle w:val="Heading3"/>
        <w:widowControl w:val="0"/>
        <w:spacing w:before="449.54345703125" w:line="240" w:lineRule="auto"/>
        <w:ind w:left="-450" w:firstLine="0"/>
        <w:rPr>
          <w:vertAlign w:val="baseline"/>
        </w:rPr>
      </w:pPr>
      <w:bookmarkStart w:colFirst="0" w:colLast="0" w:name="_qxlobifqnek5" w:id="4"/>
      <w:bookmarkEnd w:id="4"/>
      <w:r w:rsidDel="00000000" w:rsidR="00000000" w:rsidRPr="00000000">
        <w:rPr>
          <w:vertAlign w:val="baseline"/>
          <w:rtl w:val="0"/>
        </w:rPr>
        <w:t xml:space="preserve"> </w:t>
      </w:r>
    </w:p>
    <w:p w:rsidR="00000000" w:rsidDel="00000000" w:rsidP="00000000" w:rsidRDefault="00000000" w:rsidRPr="00000000" w14:paraId="00000027">
      <w:pPr>
        <w:pStyle w:val="Heading3"/>
        <w:widowControl w:val="0"/>
        <w:spacing w:before="449.54345703125" w:line="240" w:lineRule="auto"/>
        <w:ind w:left="-450" w:firstLine="0"/>
        <w:rPr/>
      </w:pPr>
      <w:bookmarkStart w:colFirst="0" w:colLast="0" w:name="_7ccvffivok7u" w:id="5"/>
      <w:bookmarkEnd w:id="5"/>
      <w:r w:rsidDel="00000000" w:rsidR="00000000" w:rsidRPr="00000000">
        <w:rPr>
          <w:rtl w:val="0"/>
        </w:rPr>
      </w:r>
    </w:p>
    <w:p w:rsidR="00000000" w:rsidDel="00000000" w:rsidP="00000000" w:rsidRDefault="00000000" w:rsidRPr="00000000" w14:paraId="00000028">
      <w:pPr>
        <w:pStyle w:val="Heading3"/>
        <w:widowControl w:val="0"/>
        <w:spacing w:before="449.54345703125" w:line="240" w:lineRule="auto"/>
        <w:ind w:left="-450" w:firstLine="0"/>
        <w:rPr/>
      </w:pPr>
      <w:bookmarkStart w:colFirst="0" w:colLast="0" w:name="_kk7yzk6nbdtp" w:id="6"/>
      <w:bookmarkEnd w:id="6"/>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widowControl w:val="0"/>
        <w:spacing w:before="449.54345703125" w:line="240" w:lineRule="auto"/>
        <w:ind w:left="-450" w:firstLine="0"/>
        <w:rPr>
          <w:vertAlign w:val="baseline"/>
        </w:rPr>
      </w:pPr>
      <w:bookmarkStart w:colFirst="0" w:colLast="0" w:name="_3c9uwdfi7w91" w:id="7"/>
      <w:bookmarkEnd w:id="7"/>
      <w:r w:rsidDel="00000000" w:rsidR="00000000" w:rsidRPr="00000000">
        <w:rPr>
          <w:vertAlign w:val="baseline"/>
          <w:rtl w:val="0"/>
        </w:rPr>
        <w:t xml:space="preserve">TIMELINE </w:t>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383.1396484375" w:line="240" w:lineRule="auto"/>
        <w:ind w:left="36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done until task 4, Jan 2024.</w:t>
      </w:r>
      <w:r w:rsidDel="00000000" w:rsidR="00000000" w:rsidRPr="00000000">
        <w:rPr>
          <w:rtl w:val="0"/>
        </w:rPr>
      </w:r>
    </w:p>
    <w:p w:rsidR="00000000" w:rsidDel="00000000" w:rsidP="00000000" w:rsidRDefault="00000000" w:rsidRPr="00000000" w14:paraId="00000035">
      <w:pPr>
        <w:widowControl w:val="0"/>
        <w:spacing w:before="39.120025634765625" w:line="266.2268543243408" w:lineRule="auto"/>
        <w:ind w:left="360" w:right="1002.40234375" w:firstLine="0"/>
        <w:jc w:val="both"/>
        <w:rPr>
          <w:rFonts w:ascii="Quattrocento Sans" w:cs="Quattrocento Sans" w:eastAsia="Quattrocento Sans" w:hAnsi="Quattrocento Sans"/>
          <w:b w:val="1"/>
          <w:sz w:val="24"/>
          <w:szCs w:val="24"/>
        </w:rPr>
      </w:pPr>
      <w:r w:rsidDel="00000000" w:rsidR="00000000" w:rsidRPr="00000000">
        <w:rPr>
          <w:rtl w:val="0"/>
        </w:rPr>
      </w:r>
    </w:p>
    <w:tbl>
      <w:tblPr>
        <w:tblStyle w:val="Table1"/>
        <w:tblpPr w:leftFromText="180" w:rightFromText="180" w:topFromText="180" w:bottomFromText="180" w:vertAnchor="text" w:horzAnchor="text" w:tblpX="-375" w:tblpY="0"/>
        <w:tblW w:w="9814.079999999998" w:type="dxa"/>
        <w:jc w:val="left"/>
        <w:tblInd w:w="3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897.12"/>
        <w:gridCol w:w="897.12"/>
        <w:gridCol w:w="897.12"/>
        <w:gridCol w:w="897.12"/>
        <w:gridCol w:w="897.12"/>
        <w:gridCol w:w="897.12"/>
        <w:gridCol w:w="897.12"/>
        <w:gridCol w:w="897.12"/>
        <w:gridCol w:w="897.12"/>
        <w:tblGridChange w:id="0">
          <w:tblGrid>
            <w:gridCol w:w="1740"/>
            <w:gridCol w:w="897.12"/>
            <w:gridCol w:w="897.12"/>
            <w:gridCol w:w="897.12"/>
            <w:gridCol w:w="897.12"/>
            <w:gridCol w:w="897.12"/>
            <w:gridCol w:w="897.12"/>
            <w:gridCol w:w="897.12"/>
            <w:gridCol w:w="897.12"/>
            <w:gridCol w:w="897.12"/>
          </w:tblGrid>
        </w:tblGridChange>
      </w:tblGrid>
      <w:tr>
        <w:trPr>
          <w:cantSplit w:val="0"/>
          <w:trHeight w:val="1580" w:hRule="atLeast"/>
          <w:tblHeader w:val="0"/>
        </w:trPr>
        <w:tc>
          <w:tcPr>
            <w:tcBorders>
              <w:top w:color="333333" w:space="0" w:sz="6" w:val="single"/>
              <w:left w:color="333333" w:space="0" w:sz="6" w:val="single"/>
              <w:bottom w:color="333333" w:space="0" w:sz="6" w:val="single"/>
              <w:right w:color="333333" w:space="0" w:sz="6" w:val="single"/>
            </w:tcBorders>
            <w:shd w:fill="6e757d" w:val="clear"/>
          </w:tcPr>
          <w:p w:rsidR="00000000" w:rsidDel="00000000" w:rsidP="00000000" w:rsidRDefault="00000000" w:rsidRPr="00000000" w14:paraId="00000036">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6e757d" w:val="clear"/>
          </w:tcPr>
          <w:p w:rsidR="00000000" w:rsidDel="00000000" w:rsidP="00000000" w:rsidRDefault="00000000" w:rsidRPr="00000000" w14:paraId="00000037">
            <w:pPr>
              <w:widowControl w:val="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ffffff"/>
                <w:sz w:val="25"/>
                <w:szCs w:val="25"/>
                <w:rtl w:val="0"/>
              </w:rPr>
              <w:t xml:space="preserve">Sep</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6e757d" w:val="clear"/>
          </w:tcPr>
          <w:p w:rsidR="00000000" w:rsidDel="00000000" w:rsidP="00000000" w:rsidRDefault="00000000" w:rsidRPr="00000000" w14:paraId="00000038">
            <w:pPr>
              <w:widowControl w:val="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ffffff"/>
                <w:sz w:val="25"/>
                <w:szCs w:val="25"/>
                <w:rtl w:val="0"/>
              </w:rPr>
              <w:t xml:space="preserve">Oct</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6e757d" w:val="clear"/>
          </w:tcPr>
          <w:p w:rsidR="00000000" w:rsidDel="00000000" w:rsidP="00000000" w:rsidRDefault="00000000" w:rsidRPr="00000000" w14:paraId="00000039">
            <w:pPr>
              <w:widowControl w:val="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ffffff"/>
                <w:sz w:val="25"/>
                <w:szCs w:val="25"/>
                <w:rtl w:val="0"/>
              </w:rPr>
              <w:t xml:space="preserve">Nov</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6e757d" w:val="clear"/>
          </w:tcPr>
          <w:p w:rsidR="00000000" w:rsidDel="00000000" w:rsidP="00000000" w:rsidRDefault="00000000" w:rsidRPr="00000000" w14:paraId="0000003A">
            <w:pPr>
              <w:widowControl w:val="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ffffff"/>
                <w:sz w:val="25"/>
                <w:szCs w:val="25"/>
                <w:rtl w:val="0"/>
              </w:rPr>
              <w:t xml:space="preserve">Dec</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6e757d" w:val="clear"/>
          </w:tcPr>
          <w:p w:rsidR="00000000" w:rsidDel="00000000" w:rsidP="00000000" w:rsidRDefault="00000000" w:rsidRPr="00000000" w14:paraId="0000003B">
            <w:pPr>
              <w:widowControl w:val="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ffffff"/>
                <w:sz w:val="25"/>
                <w:szCs w:val="25"/>
                <w:rtl w:val="0"/>
              </w:rPr>
              <w:t xml:space="preserve">Jan</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6e757d" w:val="clear"/>
          </w:tcPr>
          <w:p w:rsidR="00000000" w:rsidDel="00000000" w:rsidP="00000000" w:rsidRDefault="00000000" w:rsidRPr="00000000" w14:paraId="0000003C">
            <w:pPr>
              <w:widowControl w:val="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ffffff"/>
                <w:sz w:val="25"/>
                <w:szCs w:val="25"/>
                <w:rtl w:val="0"/>
              </w:rPr>
              <w:t xml:space="preserve">Feb</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6e757d" w:val="clear"/>
          </w:tcPr>
          <w:p w:rsidR="00000000" w:rsidDel="00000000" w:rsidP="00000000" w:rsidRDefault="00000000" w:rsidRPr="00000000" w14:paraId="0000003D">
            <w:pPr>
              <w:widowControl w:val="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ffffff"/>
                <w:sz w:val="25"/>
                <w:szCs w:val="25"/>
                <w:rtl w:val="0"/>
              </w:rPr>
              <w:t xml:space="preserve">Mar</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6e757d" w:val="clear"/>
          </w:tcPr>
          <w:p w:rsidR="00000000" w:rsidDel="00000000" w:rsidP="00000000" w:rsidRDefault="00000000" w:rsidRPr="00000000" w14:paraId="0000003E">
            <w:pPr>
              <w:widowControl w:val="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ffffff"/>
                <w:sz w:val="25"/>
                <w:szCs w:val="25"/>
                <w:rtl w:val="0"/>
              </w:rPr>
              <w:t xml:space="preserve">Apr</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6f7681" w:val="clear"/>
          </w:tcPr>
          <w:p w:rsidR="00000000" w:rsidDel="00000000" w:rsidP="00000000" w:rsidRDefault="00000000" w:rsidRPr="00000000" w14:paraId="0000003F">
            <w:pPr>
              <w:widowControl w:val="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ffffff"/>
                <w:sz w:val="25"/>
                <w:szCs w:val="25"/>
                <w:rtl w:val="0"/>
              </w:rPr>
              <w:t xml:space="preserve">May</w:t>
            </w:r>
            <w:r w:rsidDel="00000000" w:rsidR="00000000" w:rsidRPr="00000000">
              <w:rPr>
                <w:rtl w:val="0"/>
              </w:rPr>
            </w:r>
          </w:p>
        </w:tc>
      </w:tr>
      <w:tr>
        <w:trPr>
          <w:cantSplit w:val="0"/>
          <w:trHeight w:val="870" w:hRule="atLeast"/>
          <w:tblHeader w:val="0"/>
        </w:trPr>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40">
            <w:pPr>
              <w:widowControl w:val="0"/>
              <w:spacing w:line="240" w:lineRule="auto"/>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i w:val="1"/>
                <w:color w:val="333333"/>
                <w:sz w:val="25"/>
                <w:szCs w:val="25"/>
                <w:rtl w:val="0"/>
              </w:rPr>
              <w:t xml:space="preserve">1.Study and Research</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6db1ff" w:val="clear"/>
          </w:tcPr>
          <w:p w:rsidR="00000000" w:rsidDel="00000000" w:rsidP="00000000" w:rsidRDefault="00000000" w:rsidRPr="00000000" w14:paraId="00000041">
            <w:pPr>
              <w:widowControl w:val="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333333"/>
                <w:sz w:val="25"/>
                <w:szCs w:val="25"/>
                <w:rtl w:val="0"/>
              </w:rPr>
              <w:t xml:space="preserve">Task 1</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6db1ff" w:val="clear"/>
          </w:tcPr>
          <w:p w:rsidR="00000000" w:rsidDel="00000000" w:rsidP="00000000" w:rsidRDefault="00000000" w:rsidRPr="00000000" w14:paraId="00000042">
            <w:pPr>
              <w:widowControl w:val="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333333"/>
                <w:sz w:val="25"/>
                <w:szCs w:val="25"/>
                <w:rtl w:val="0"/>
              </w:rPr>
              <w:t xml:space="preserve">Task 1</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43">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44">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45">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46">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47">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48">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49">
            <w:pPr>
              <w:widowControl w:val="0"/>
              <w:jc w:val="both"/>
              <w:rPr>
                <w:rFonts w:ascii="Quattrocento Sans" w:cs="Quattrocento Sans" w:eastAsia="Quattrocento Sans" w:hAnsi="Quattrocento Sans"/>
                <w:b w:val="1"/>
                <w:sz w:val="24"/>
                <w:szCs w:val="24"/>
              </w:rPr>
            </w:pPr>
            <w:r w:rsidDel="00000000" w:rsidR="00000000" w:rsidRPr="00000000">
              <w:rPr>
                <w:rtl w:val="0"/>
              </w:rPr>
            </w:r>
          </w:p>
        </w:tc>
      </w:tr>
      <w:tr>
        <w:trPr>
          <w:cantSplit w:val="0"/>
          <w:trHeight w:val="1185" w:hRule="atLeast"/>
          <w:tblHeader w:val="0"/>
        </w:trPr>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4A">
            <w:pPr>
              <w:widowControl w:val="0"/>
              <w:spacing w:line="240" w:lineRule="auto"/>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i w:val="1"/>
                <w:color w:val="333333"/>
                <w:sz w:val="25"/>
                <w:szCs w:val="25"/>
                <w:rtl w:val="0"/>
              </w:rPr>
              <w:t xml:space="preserve">2. Data Collection and Data Preprocessing</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4B">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dfe3e8" w:val="clear"/>
          </w:tcPr>
          <w:p w:rsidR="00000000" w:rsidDel="00000000" w:rsidP="00000000" w:rsidRDefault="00000000" w:rsidRPr="00000000" w14:paraId="0000004C">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58d6d7" w:val="clear"/>
          </w:tcPr>
          <w:p w:rsidR="00000000" w:rsidDel="00000000" w:rsidP="00000000" w:rsidRDefault="00000000" w:rsidRPr="00000000" w14:paraId="0000004D">
            <w:pPr>
              <w:widowControl w:val="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333333"/>
                <w:sz w:val="25"/>
                <w:szCs w:val="25"/>
                <w:rtl w:val="0"/>
              </w:rPr>
              <w:t xml:space="preserve">Task 2</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dfe3e8" w:val="clear"/>
          </w:tcPr>
          <w:p w:rsidR="00000000" w:rsidDel="00000000" w:rsidP="00000000" w:rsidRDefault="00000000" w:rsidRPr="00000000" w14:paraId="0000004E">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4F">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50">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51">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52">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53">
            <w:pPr>
              <w:widowControl w:val="0"/>
              <w:jc w:val="both"/>
              <w:rPr>
                <w:rFonts w:ascii="Quattrocento Sans" w:cs="Quattrocento Sans" w:eastAsia="Quattrocento Sans" w:hAnsi="Quattrocento Sans"/>
                <w:b w:val="1"/>
                <w:sz w:val="24"/>
                <w:szCs w:val="24"/>
              </w:rPr>
            </w:pPr>
            <w:r w:rsidDel="00000000" w:rsidR="00000000" w:rsidRPr="00000000">
              <w:rPr>
                <w:rtl w:val="0"/>
              </w:rPr>
            </w:r>
          </w:p>
        </w:tc>
      </w:tr>
      <w:tr>
        <w:trPr>
          <w:cantSplit w:val="0"/>
          <w:trHeight w:val="1050" w:hRule="atLeast"/>
          <w:tblHeader w:val="0"/>
        </w:trPr>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54">
            <w:pPr>
              <w:widowControl w:val="0"/>
              <w:spacing w:line="240" w:lineRule="auto"/>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i w:val="1"/>
                <w:color w:val="333333"/>
                <w:sz w:val="25"/>
                <w:szCs w:val="25"/>
                <w:rtl w:val="0"/>
              </w:rPr>
              <w:t xml:space="preserve">3. Construction Of GRN</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55">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56">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57">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7a1" w:val="clear"/>
          </w:tcPr>
          <w:p w:rsidR="00000000" w:rsidDel="00000000" w:rsidP="00000000" w:rsidRDefault="00000000" w:rsidRPr="00000000" w14:paraId="00000058">
            <w:pPr>
              <w:widowControl w:val="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333333"/>
                <w:sz w:val="25"/>
                <w:szCs w:val="25"/>
                <w:rtl w:val="0"/>
              </w:rPr>
              <w:t xml:space="preserve">Task 3</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59">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5A">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5B">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5C">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5D">
            <w:pPr>
              <w:widowControl w:val="0"/>
              <w:jc w:val="both"/>
              <w:rPr>
                <w:rFonts w:ascii="Quattrocento Sans" w:cs="Quattrocento Sans" w:eastAsia="Quattrocento Sans" w:hAnsi="Quattrocento Sans"/>
                <w:b w:val="1"/>
                <w:sz w:val="24"/>
                <w:szCs w:val="24"/>
              </w:rPr>
            </w:pPr>
            <w:r w:rsidDel="00000000" w:rsidR="00000000" w:rsidRPr="00000000">
              <w:rPr>
                <w:rtl w:val="0"/>
              </w:rPr>
            </w:r>
          </w:p>
        </w:tc>
      </w:tr>
      <w:tr>
        <w:trPr>
          <w:cantSplit w:val="0"/>
          <w:trHeight w:val="1200" w:hRule="atLeast"/>
          <w:tblHeader w:val="0"/>
        </w:trPr>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5E">
            <w:pPr>
              <w:widowControl w:val="0"/>
              <w:spacing w:line="240" w:lineRule="auto"/>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i w:val="1"/>
                <w:color w:val="333333"/>
                <w:sz w:val="25"/>
                <w:szCs w:val="25"/>
                <w:rtl w:val="0"/>
              </w:rPr>
              <w:t xml:space="preserve">4. ML Algorithm Research</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5F">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60">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61">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dfe3e8" w:val="clear"/>
          </w:tcPr>
          <w:p w:rsidR="00000000" w:rsidDel="00000000" w:rsidP="00000000" w:rsidRDefault="00000000" w:rsidRPr="00000000" w14:paraId="00000062">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d7faf5" w:val="clear"/>
          </w:tcPr>
          <w:p w:rsidR="00000000" w:rsidDel="00000000" w:rsidP="00000000" w:rsidRDefault="00000000" w:rsidRPr="00000000" w14:paraId="00000063">
            <w:pPr>
              <w:widowControl w:val="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333333"/>
                <w:sz w:val="25"/>
                <w:szCs w:val="25"/>
                <w:rtl w:val="0"/>
              </w:rPr>
              <w:t xml:space="preserve">Task 4</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dfe3e8" w:val="clear"/>
          </w:tcPr>
          <w:p w:rsidR="00000000" w:rsidDel="00000000" w:rsidP="00000000" w:rsidRDefault="00000000" w:rsidRPr="00000000" w14:paraId="00000064">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65">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66">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67">
            <w:pPr>
              <w:widowControl w:val="0"/>
              <w:jc w:val="both"/>
              <w:rPr>
                <w:rFonts w:ascii="Quattrocento Sans" w:cs="Quattrocento Sans" w:eastAsia="Quattrocento Sans" w:hAnsi="Quattrocento Sans"/>
                <w:b w:val="1"/>
                <w:sz w:val="24"/>
                <w:szCs w:val="24"/>
              </w:rPr>
            </w:pPr>
            <w:r w:rsidDel="00000000" w:rsidR="00000000" w:rsidRPr="00000000">
              <w:rPr>
                <w:rtl w:val="0"/>
              </w:rPr>
            </w:r>
          </w:p>
        </w:tc>
      </w:tr>
      <w:tr>
        <w:trPr>
          <w:cantSplit w:val="0"/>
          <w:trHeight w:val="1155" w:hRule="atLeast"/>
          <w:tblHeader w:val="0"/>
        </w:trPr>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68">
            <w:pPr>
              <w:widowControl w:val="0"/>
              <w:spacing w:line="240" w:lineRule="auto"/>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i w:val="1"/>
                <w:color w:val="333333"/>
                <w:sz w:val="25"/>
                <w:szCs w:val="25"/>
                <w:rtl w:val="0"/>
              </w:rPr>
              <w:t xml:space="preserve">5. Construction Of WCGNA</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69">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6A">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6B">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6C">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6D">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7f4e4" w:val="clear"/>
          </w:tcPr>
          <w:p w:rsidR="00000000" w:rsidDel="00000000" w:rsidP="00000000" w:rsidRDefault="00000000" w:rsidRPr="00000000" w14:paraId="0000006E">
            <w:pPr>
              <w:widowControl w:val="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333333"/>
                <w:sz w:val="25"/>
                <w:szCs w:val="25"/>
                <w:rtl w:val="0"/>
              </w:rPr>
              <w:t xml:space="preserve">Task 5</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6F">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70">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71">
            <w:pPr>
              <w:widowControl w:val="0"/>
              <w:jc w:val="both"/>
              <w:rPr>
                <w:rFonts w:ascii="Quattrocento Sans" w:cs="Quattrocento Sans" w:eastAsia="Quattrocento Sans" w:hAnsi="Quattrocento Sans"/>
                <w:b w:val="1"/>
                <w:sz w:val="24"/>
                <w:szCs w:val="24"/>
              </w:rPr>
            </w:pPr>
            <w:r w:rsidDel="00000000" w:rsidR="00000000" w:rsidRPr="00000000">
              <w:rPr>
                <w:rtl w:val="0"/>
              </w:rPr>
            </w:r>
          </w:p>
        </w:tc>
      </w:tr>
      <w:tr>
        <w:trPr>
          <w:cantSplit w:val="0"/>
          <w:trHeight w:val="1170" w:hRule="atLeast"/>
          <w:tblHeader w:val="0"/>
        </w:trPr>
        <w:tc>
          <w:tcPr>
            <w:tcBorders>
              <w:top w:color="333333" w:space="0" w:sz="6" w:val="single"/>
              <w:left w:color="333333" w:space="0" w:sz="6" w:val="single"/>
              <w:bottom w:color="333333" w:space="0" w:sz="6" w:val="single"/>
              <w:right w:color="333333" w:space="0" w:sz="6" w:val="single"/>
            </w:tcBorders>
            <w:shd w:fill="dfe3e8" w:val="clear"/>
          </w:tcPr>
          <w:p w:rsidR="00000000" w:rsidDel="00000000" w:rsidP="00000000" w:rsidRDefault="00000000" w:rsidRPr="00000000" w14:paraId="00000072">
            <w:pPr>
              <w:widowControl w:val="0"/>
              <w:spacing w:line="240" w:lineRule="auto"/>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i w:val="1"/>
                <w:color w:val="333333"/>
                <w:sz w:val="25"/>
                <w:szCs w:val="25"/>
                <w:rtl w:val="0"/>
              </w:rPr>
              <w:t xml:space="preserve">6. Functional Enrichment Analysis</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73">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74">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75">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76">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dfe3e8" w:val="clear"/>
          </w:tcPr>
          <w:p w:rsidR="00000000" w:rsidDel="00000000" w:rsidP="00000000" w:rsidRDefault="00000000" w:rsidRPr="00000000" w14:paraId="00000077">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dfe3e8" w:val="clear"/>
          </w:tcPr>
          <w:p w:rsidR="00000000" w:rsidDel="00000000" w:rsidP="00000000" w:rsidRDefault="00000000" w:rsidRPr="00000000" w14:paraId="00000078">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54c45e" w:val="clear"/>
          </w:tcPr>
          <w:p w:rsidR="00000000" w:rsidDel="00000000" w:rsidP="00000000" w:rsidRDefault="00000000" w:rsidRPr="00000000" w14:paraId="00000079">
            <w:pPr>
              <w:widowControl w:val="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333333"/>
                <w:sz w:val="25"/>
                <w:szCs w:val="25"/>
                <w:rtl w:val="0"/>
              </w:rPr>
              <w:t xml:space="preserve">Task 6</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7A">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7B">
            <w:pPr>
              <w:widowControl w:val="0"/>
              <w:jc w:val="both"/>
              <w:rPr>
                <w:rFonts w:ascii="Quattrocento Sans" w:cs="Quattrocento Sans" w:eastAsia="Quattrocento Sans" w:hAnsi="Quattrocento Sans"/>
                <w:b w:val="1"/>
                <w:sz w:val="24"/>
                <w:szCs w:val="24"/>
              </w:rPr>
            </w:pPr>
            <w:r w:rsidDel="00000000" w:rsidR="00000000" w:rsidRPr="00000000">
              <w:rPr>
                <w:rtl w:val="0"/>
              </w:rPr>
            </w:r>
          </w:p>
        </w:tc>
      </w:tr>
      <w:tr>
        <w:trPr>
          <w:cantSplit w:val="0"/>
          <w:trHeight w:val="1580" w:hRule="atLeast"/>
          <w:tblHeader w:val="0"/>
        </w:trPr>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7C">
            <w:pPr>
              <w:widowControl w:val="0"/>
              <w:spacing w:line="240" w:lineRule="auto"/>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i w:val="1"/>
                <w:color w:val="333333"/>
                <w:sz w:val="25"/>
                <w:szCs w:val="25"/>
                <w:rtl w:val="0"/>
              </w:rPr>
              <w:t xml:space="preserve">7.Validation of results by ML and different algorithms</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7D">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7E">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7F">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80">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81">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82">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83">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cbc2a3" w:val="clear"/>
          </w:tcPr>
          <w:p w:rsidR="00000000" w:rsidDel="00000000" w:rsidP="00000000" w:rsidRDefault="00000000" w:rsidRPr="00000000" w14:paraId="00000084">
            <w:pPr>
              <w:widowControl w:val="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333333"/>
                <w:sz w:val="25"/>
                <w:szCs w:val="25"/>
                <w:rtl w:val="0"/>
              </w:rPr>
              <w:t xml:space="preserve">Task 7</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Pr>
          <w:p w:rsidR="00000000" w:rsidDel="00000000" w:rsidP="00000000" w:rsidRDefault="00000000" w:rsidRPr="00000000" w14:paraId="00000085">
            <w:pPr>
              <w:widowControl w:val="0"/>
              <w:jc w:val="both"/>
              <w:rPr>
                <w:rFonts w:ascii="Quattrocento Sans" w:cs="Quattrocento Sans" w:eastAsia="Quattrocento Sans" w:hAnsi="Quattrocento Sans"/>
                <w:b w:val="1"/>
                <w:sz w:val="24"/>
                <w:szCs w:val="24"/>
              </w:rPr>
            </w:pPr>
            <w:r w:rsidDel="00000000" w:rsidR="00000000" w:rsidRPr="00000000">
              <w:rPr>
                <w:rtl w:val="0"/>
              </w:rPr>
            </w:r>
          </w:p>
        </w:tc>
      </w:tr>
      <w:tr>
        <w:trPr>
          <w:cantSplit w:val="0"/>
          <w:trHeight w:val="1065" w:hRule="atLeast"/>
          <w:tblHeader w:val="0"/>
        </w:trPr>
        <w:tc>
          <w:tcPr>
            <w:tcBorders>
              <w:top w:color="333333" w:space="0" w:sz="6" w:val="single"/>
              <w:left w:color="333333" w:space="0" w:sz="6" w:val="single"/>
              <w:bottom w:color="333333" w:space="0" w:sz="6" w:val="single"/>
              <w:right w:color="333333" w:space="0" w:sz="6" w:val="single"/>
            </w:tcBorders>
            <w:shd w:fill="dfe3e8" w:val="clear"/>
          </w:tcPr>
          <w:p w:rsidR="00000000" w:rsidDel="00000000" w:rsidP="00000000" w:rsidRDefault="00000000" w:rsidRPr="00000000" w14:paraId="00000086">
            <w:pPr>
              <w:widowControl w:val="0"/>
              <w:spacing w:line="240" w:lineRule="auto"/>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i w:val="1"/>
                <w:color w:val="333333"/>
                <w:sz w:val="25"/>
                <w:szCs w:val="25"/>
                <w:rtl w:val="0"/>
              </w:rPr>
              <w:t xml:space="preserve">8.Research paper writing</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87">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88">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89">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8A">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8B">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8C">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dfe3e8" w:val="clear"/>
          </w:tcPr>
          <w:p w:rsidR="00000000" w:rsidDel="00000000" w:rsidP="00000000" w:rsidRDefault="00000000" w:rsidRPr="00000000" w14:paraId="0000008D">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Pr>
          <w:p w:rsidR="00000000" w:rsidDel="00000000" w:rsidP="00000000" w:rsidRDefault="00000000" w:rsidRPr="00000000" w14:paraId="0000008E">
            <w:pPr>
              <w:widowControl w:val="0"/>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d6f5" w:val="clear"/>
          </w:tcPr>
          <w:p w:rsidR="00000000" w:rsidDel="00000000" w:rsidP="00000000" w:rsidRDefault="00000000" w:rsidRPr="00000000" w14:paraId="0000008F">
            <w:pPr>
              <w:widowControl w:val="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333333"/>
                <w:sz w:val="25"/>
                <w:szCs w:val="25"/>
                <w:rtl w:val="0"/>
              </w:rPr>
              <w:t xml:space="preserve">Task 8</w:t>
            </w:r>
            <w:r w:rsidDel="00000000" w:rsidR="00000000" w:rsidRPr="00000000">
              <w:rPr>
                <w:rtl w:val="0"/>
              </w:rPr>
            </w:r>
          </w:p>
        </w:tc>
      </w:tr>
    </w:tbl>
    <w:p w:rsidR="00000000" w:rsidDel="00000000" w:rsidP="00000000" w:rsidRDefault="00000000" w:rsidRPr="00000000" w14:paraId="00000090">
      <w:pPr>
        <w:pStyle w:val="Heading3"/>
        <w:widowControl w:val="0"/>
        <w:spacing w:before="571.4453125" w:line="240" w:lineRule="auto"/>
        <w:ind w:left="-450" w:firstLine="0"/>
        <w:rPr/>
      </w:pPr>
      <w:bookmarkStart w:colFirst="0" w:colLast="0" w:name="_1uy8th5hwz8i" w:id="8"/>
      <w:bookmarkEnd w:id="8"/>
      <w:r w:rsidDel="00000000" w:rsidR="00000000" w:rsidRPr="00000000">
        <w:rPr>
          <w:rtl w:val="0"/>
        </w:rPr>
      </w:r>
    </w:p>
    <w:p w:rsidR="00000000" w:rsidDel="00000000" w:rsidP="00000000" w:rsidRDefault="00000000" w:rsidRPr="00000000" w14:paraId="00000091">
      <w:pPr>
        <w:pStyle w:val="Heading3"/>
        <w:widowControl w:val="0"/>
        <w:spacing w:before="571.4453125" w:line="240" w:lineRule="auto"/>
        <w:ind w:left="-450" w:firstLine="0"/>
        <w:rPr>
          <w:vertAlign w:val="baseline"/>
        </w:rPr>
      </w:pPr>
      <w:bookmarkStart w:colFirst="0" w:colLast="0" w:name="_fyn5hm8lwf4y" w:id="9"/>
      <w:bookmarkEnd w:id="9"/>
      <w:r w:rsidDel="00000000" w:rsidR="00000000" w:rsidRPr="00000000">
        <w:rPr>
          <w:vertAlign w:val="baseline"/>
          <w:rtl w:val="0"/>
        </w:rPr>
        <w:t xml:space="preserve">PROGRESS </w:t>
      </w:r>
    </w:p>
    <w:p w:rsidR="00000000" w:rsidDel="00000000" w:rsidP="00000000" w:rsidRDefault="00000000" w:rsidRPr="00000000" w14:paraId="00000092">
      <w:pPr>
        <w:pStyle w:val="Heading4"/>
        <w:widowControl w:val="0"/>
        <w:spacing w:before="367.04071044921875" w:line="240" w:lineRule="auto"/>
        <w:ind w:left="-450" w:firstLine="0"/>
        <w:rPr/>
      </w:pPr>
      <w:bookmarkStart w:colFirst="0" w:colLast="0" w:name="_dhxbhtlq9wat" w:id="10"/>
      <w:bookmarkEnd w:id="10"/>
      <w:r w:rsidDel="00000000" w:rsidR="00000000" w:rsidRPr="00000000">
        <w:rPr>
          <w:rtl w:val="0"/>
        </w:rPr>
        <w:t xml:space="preserve">MILESTONE ACHIEVED TILL FYP 1 </w:t>
      </w:r>
    </w:p>
    <w:p w:rsidR="00000000" w:rsidDel="00000000" w:rsidP="00000000" w:rsidRDefault="00000000" w:rsidRPr="00000000" w14:paraId="00000093">
      <w:pPr>
        <w:widowControl w:val="0"/>
        <w:numPr>
          <w:ilvl w:val="0"/>
          <w:numId w:val="7"/>
        </w:numPr>
        <w:spacing w:after="0" w:afterAutospacing="0" w:before="367.04071044921875" w:line="240" w:lineRule="auto"/>
        <w:ind w:left="-45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collection :</w:t>
      </w:r>
    </w:p>
    <w:p w:rsidR="00000000" w:rsidDel="00000000" w:rsidP="00000000" w:rsidRDefault="00000000" w:rsidRPr="00000000" w14:paraId="00000094">
      <w:pPr>
        <w:widowControl w:val="0"/>
        <w:numPr>
          <w:ilvl w:val="0"/>
          <w:numId w:val="2"/>
        </w:numPr>
        <w:spacing w:after="0" w:afterAutospacing="0" w:before="0" w:beforeAutospacing="0" w:line="240" w:lineRule="auto"/>
        <w:ind w:left="99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Dataset GSE118553 downloaded.</w:t>
      </w:r>
    </w:p>
    <w:p w:rsidR="00000000" w:rsidDel="00000000" w:rsidP="00000000" w:rsidRDefault="00000000" w:rsidRPr="00000000" w14:paraId="00000095">
      <w:pPr>
        <w:widowControl w:val="0"/>
        <w:numPr>
          <w:ilvl w:val="0"/>
          <w:numId w:val="7"/>
        </w:numPr>
        <w:spacing w:after="0" w:afterAutospacing="0" w:before="0" w:beforeAutospacing="0" w:line="240" w:lineRule="auto"/>
        <w:ind w:left="-45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PreProcessing :</w:t>
      </w:r>
    </w:p>
    <w:p w:rsidR="00000000" w:rsidDel="00000000" w:rsidP="00000000" w:rsidRDefault="00000000" w:rsidRPr="00000000" w14:paraId="00000096">
      <w:pPr>
        <w:widowControl w:val="0"/>
        <w:numPr>
          <w:ilvl w:val="0"/>
          <w:numId w:val="3"/>
        </w:numPr>
        <w:spacing w:after="0" w:afterAutospacing="0" w:before="0" w:beforeAutospacing="0" w:line="240" w:lineRule="auto"/>
        <w:ind w:left="99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Normalization of dataset</w:t>
      </w:r>
    </w:p>
    <w:p w:rsidR="00000000" w:rsidDel="00000000" w:rsidP="00000000" w:rsidRDefault="00000000" w:rsidRPr="00000000" w14:paraId="00000097">
      <w:pPr>
        <w:widowControl w:val="0"/>
        <w:numPr>
          <w:ilvl w:val="0"/>
          <w:numId w:val="7"/>
        </w:numPr>
        <w:spacing w:after="0" w:afterAutospacing="0" w:before="0" w:beforeAutospacing="0" w:line="240" w:lineRule="auto"/>
        <w:ind w:left="-45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Transformation </w:t>
      </w:r>
    </w:p>
    <w:p w:rsidR="00000000" w:rsidDel="00000000" w:rsidP="00000000" w:rsidRDefault="00000000" w:rsidRPr="00000000" w14:paraId="00000098">
      <w:pPr>
        <w:widowControl w:val="0"/>
        <w:numPr>
          <w:ilvl w:val="0"/>
          <w:numId w:val="1"/>
        </w:numPr>
        <w:spacing w:after="0" w:afterAutospacing="0" w:before="0" w:beforeAutospacing="0" w:line="240" w:lineRule="auto"/>
        <w:ind w:left="99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 insights from data</w:t>
      </w:r>
    </w:p>
    <w:p w:rsidR="00000000" w:rsidDel="00000000" w:rsidP="00000000" w:rsidRDefault="00000000" w:rsidRPr="00000000" w14:paraId="00000099">
      <w:pPr>
        <w:widowControl w:val="0"/>
        <w:numPr>
          <w:ilvl w:val="0"/>
          <w:numId w:val="1"/>
        </w:numPr>
        <w:spacing w:after="0" w:afterAutospacing="0" w:before="0" w:beforeAutospacing="0" w:line="240" w:lineRule="auto"/>
        <w:ind w:left="99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Construction of Views</w:t>
      </w:r>
    </w:p>
    <w:p w:rsidR="00000000" w:rsidDel="00000000" w:rsidP="00000000" w:rsidRDefault="00000000" w:rsidRPr="00000000" w14:paraId="0000009A">
      <w:pPr>
        <w:widowControl w:val="0"/>
        <w:numPr>
          <w:ilvl w:val="0"/>
          <w:numId w:val="7"/>
        </w:numPr>
        <w:spacing w:after="0" w:afterAutospacing="0" w:before="0" w:beforeAutospacing="0" w:line="240" w:lineRule="auto"/>
        <w:ind w:left="-45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Construction</w:t>
      </w:r>
    </w:p>
    <w:p w:rsidR="00000000" w:rsidDel="00000000" w:rsidP="00000000" w:rsidRDefault="00000000" w:rsidRPr="00000000" w14:paraId="0000009B">
      <w:pPr>
        <w:widowControl w:val="0"/>
        <w:numPr>
          <w:ilvl w:val="0"/>
          <w:numId w:val="6"/>
        </w:numPr>
        <w:spacing w:after="0" w:afterAutospacing="0" w:before="0" w:beforeAutospacing="0" w:line="240" w:lineRule="auto"/>
        <w:ind w:left="99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Downloading Trust Alias</w:t>
      </w:r>
    </w:p>
    <w:p w:rsidR="00000000" w:rsidDel="00000000" w:rsidP="00000000" w:rsidRDefault="00000000" w:rsidRPr="00000000" w14:paraId="0000009C">
      <w:pPr>
        <w:widowControl w:val="0"/>
        <w:numPr>
          <w:ilvl w:val="0"/>
          <w:numId w:val="6"/>
        </w:numPr>
        <w:spacing w:after="0" w:afterAutospacing="0" w:before="0" w:beforeAutospacing="0" w:line="240" w:lineRule="auto"/>
        <w:ind w:left="99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Performing Join</w:t>
      </w:r>
    </w:p>
    <w:p w:rsidR="00000000" w:rsidDel="00000000" w:rsidP="00000000" w:rsidRDefault="00000000" w:rsidRPr="00000000" w14:paraId="0000009D">
      <w:pPr>
        <w:widowControl w:val="0"/>
        <w:numPr>
          <w:ilvl w:val="0"/>
          <w:numId w:val="6"/>
        </w:numPr>
        <w:spacing w:after="0" w:afterAutospacing="0" w:before="0" w:beforeAutospacing="0" w:line="240" w:lineRule="auto"/>
        <w:ind w:left="99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Construction of GRN</w:t>
      </w:r>
    </w:p>
    <w:p w:rsidR="00000000" w:rsidDel="00000000" w:rsidP="00000000" w:rsidRDefault="00000000" w:rsidRPr="00000000" w14:paraId="0000009E">
      <w:pPr>
        <w:widowControl w:val="0"/>
        <w:numPr>
          <w:ilvl w:val="0"/>
          <w:numId w:val="7"/>
        </w:numPr>
        <w:spacing w:before="0" w:beforeAutospacing="0" w:line="240" w:lineRule="auto"/>
        <w:ind w:left="-45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ML Algorithm research for Key Gene Identification</w:t>
      </w:r>
    </w:p>
    <w:p w:rsidR="00000000" w:rsidDel="00000000" w:rsidP="00000000" w:rsidRDefault="00000000" w:rsidRPr="00000000" w14:paraId="0000009F">
      <w:pPr>
        <w:pStyle w:val="Heading4"/>
        <w:widowControl w:val="0"/>
        <w:spacing w:before="367.04071044921875" w:line="240" w:lineRule="auto"/>
        <w:ind w:left="-450" w:firstLine="0"/>
        <w:rPr/>
      </w:pPr>
      <w:bookmarkStart w:colFirst="0" w:colLast="0" w:name="_hxyx2y98mqf1" w:id="11"/>
      <w:bookmarkEnd w:id="11"/>
      <w:r w:rsidDel="00000000" w:rsidR="00000000" w:rsidRPr="00000000">
        <w:rPr>
          <w:rtl w:val="0"/>
        </w:rPr>
        <w:t xml:space="preserve">FUTURE WORK</w:t>
      </w:r>
    </w:p>
    <w:p w:rsidR="00000000" w:rsidDel="00000000" w:rsidP="00000000" w:rsidRDefault="00000000" w:rsidRPr="00000000" w14:paraId="000000A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367.04071044921875" w:line="240" w:lineRule="auto"/>
        <w:ind w:left="-45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 of WGCNA: Weighted correlation Network Analysis is a data mining technique for studying biological networks based on pairwise correlation between variables (Genes).</w:t>
      </w:r>
    </w:p>
    <w:p w:rsidR="00000000" w:rsidDel="00000000" w:rsidP="00000000" w:rsidRDefault="00000000" w:rsidRPr="00000000" w14:paraId="000000A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Of Results by ML:Training and testing of different ML models ( SVM,     Random Forest , Logistic Regression, AdaBoost).</w:t>
      </w:r>
    </w:p>
    <w:p w:rsidR="00000000" w:rsidDel="00000000" w:rsidP="00000000" w:rsidRDefault="00000000" w:rsidRPr="00000000" w14:paraId="000000A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45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Paper Writing:</w:t>
      </w:r>
    </w:p>
    <w:p w:rsidR="00000000" w:rsidDel="00000000" w:rsidP="00000000" w:rsidRDefault="00000000" w:rsidRPr="00000000" w14:paraId="000000A3">
      <w:pPr>
        <w:pStyle w:val="Heading3"/>
        <w:widowControl w:val="0"/>
        <w:spacing w:line="240" w:lineRule="auto"/>
        <w:ind w:left="-450" w:firstLine="0"/>
        <w:rPr>
          <w:vertAlign w:val="baseline"/>
        </w:rPr>
      </w:pPr>
      <w:bookmarkStart w:colFirst="0" w:colLast="0" w:name="_idlf3yivaegl" w:id="12"/>
      <w:bookmarkEnd w:id="12"/>
      <w:r w:rsidDel="00000000" w:rsidR="00000000" w:rsidRPr="00000000">
        <w:rPr>
          <w:vertAlign w:val="baseline"/>
          <w:rtl w:val="0"/>
        </w:rPr>
        <w:t xml:space="preserve">REFERENCES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Lagisetty Y;Bourquard T;Al-Ramahi I;Mangleburg CG;Mota S;Soleimani S;Shulman JM;Botas J;Lee K;Lichtarge O; (no date) </w:t>
      </w:r>
      <w:r w:rsidDel="00000000" w:rsidR="00000000" w:rsidRPr="00000000">
        <w:rPr>
          <w:rFonts w:ascii="Times New Roman" w:cs="Times New Roman" w:eastAsia="Times New Roman" w:hAnsi="Times New Roman"/>
          <w:i w:val="1"/>
          <w:sz w:val="24"/>
          <w:szCs w:val="24"/>
          <w:rtl w:val="0"/>
        </w:rPr>
        <w:t xml:space="preserve">Identification of risk genes for alzheimer’s disease by Gene Embedding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Cell genomics</w:t>
      </w:r>
      <w:r w:rsidDel="00000000" w:rsidR="00000000" w:rsidRPr="00000000">
        <w:rPr>
          <w:rFonts w:ascii="Times New Roman" w:cs="Times New Roman" w:eastAsia="Times New Roman" w:hAnsi="Times New Roman"/>
          <w:sz w:val="24"/>
          <w:szCs w:val="24"/>
          <w:rtl w:val="0"/>
        </w:rPr>
        <w:t xml:space="preserve">. Available at: https://pubmed.ncbi.nlm.nih.gov/36268052/ (“</w:t>
      </w:r>
      <w:hyperlink r:id="rId8">
        <w:r w:rsidDel="00000000" w:rsidR="00000000" w:rsidRPr="00000000">
          <w:rPr>
            <w:rFonts w:ascii="Times New Roman" w:cs="Times New Roman" w:eastAsia="Times New Roman" w:hAnsi="Times New Roman"/>
            <w:color w:val="1155cc"/>
            <w:sz w:val="24"/>
            <w:szCs w:val="24"/>
            <w:u w:val="single"/>
            <w:rtl w:val="0"/>
          </w:rPr>
          <w:t xml:space="preserve">Identification of risk genes for Alzheimer's disease by gene embedding”</w:t>
        </w:r>
      </w:hyperlink>
      <w:r w:rsidDel="00000000" w:rsidR="00000000" w:rsidRPr="00000000">
        <w:rPr>
          <w:rFonts w:ascii="Times New Roman" w:cs="Times New Roman" w:eastAsia="Times New Roman" w:hAnsi="Times New Roman"/>
          <w:sz w:val="24"/>
          <w:szCs w:val="24"/>
          <w:rtl w:val="0"/>
        </w:rPr>
        <w:t xml:space="preserve">) (Accessed: 28 February 2024). </w:t>
      </w:r>
    </w:p>
    <w:p w:rsidR="00000000" w:rsidDel="00000000" w:rsidP="00000000" w:rsidRDefault="00000000" w:rsidRPr="00000000" w14:paraId="000000A6">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spacing w:after="240" w:before="240"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i w:val="1"/>
          <w:sz w:val="24"/>
          <w:szCs w:val="24"/>
          <w:rtl w:val="0"/>
        </w:rPr>
        <w:t xml:space="preserve">(PDF) a network dysfunction perspective on neurodegenerative diseases</w:t>
      </w:r>
      <w:r w:rsidDel="00000000" w:rsidR="00000000" w:rsidRPr="00000000">
        <w:rPr>
          <w:rFonts w:ascii="Times New Roman" w:cs="Times New Roman" w:eastAsia="Times New Roman" w:hAnsi="Times New Roman"/>
          <w:sz w:val="24"/>
          <w:szCs w:val="24"/>
          <w:rtl w:val="0"/>
        </w:rPr>
        <w:t xml:space="preserve">. Available at: </w:t>
      </w:r>
      <w:hyperlink r:id="rId9">
        <w:r w:rsidDel="00000000" w:rsidR="00000000" w:rsidRPr="00000000">
          <w:rPr>
            <w:rFonts w:ascii="Times New Roman" w:cs="Times New Roman" w:eastAsia="Times New Roman" w:hAnsi="Times New Roman"/>
            <w:color w:val="1155cc"/>
            <w:sz w:val="24"/>
            <w:szCs w:val="24"/>
            <w:u w:val="single"/>
            <w:rtl w:val="0"/>
          </w:rPr>
          <w:t xml:space="preserve">https://www.researchgate.net/publication/6745022_A_Network_dysfunction_perspective_on_neurodegenerative_diseases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widowControl w:val="0"/>
        <w:spacing w:after="240" w:before="240"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spacing w:after="240" w:before="240"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i w:val="1"/>
          <w:sz w:val="24"/>
          <w:szCs w:val="24"/>
          <w:rtl w:val="0"/>
        </w:rPr>
        <w:t xml:space="preserve">Neuropathology, Volume 145 - 1st Edition | Elsevier Shop</w:t>
      </w:r>
      <w:r w:rsidDel="00000000" w:rsidR="00000000" w:rsidRPr="00000000">
        <w:rPr>
          <w:rFonts w:ascii="Times New Roman" w:cs="Times New Roman" w:eastAsia="Times New Roman" w:hAnsi="Times New Roman"/>
          <w:sz w:val="24"/>
          <w:szCs w:val="24"/>
          <w:rtl w:val="0"/>
        </w:rPr>
        <w:t xml:space="preserve">. Available at: </w:t>
      </w:r>
      <w:hyperlink r:id="rId10">
        <w:r w:rsidDel="00000000" w:rsidR="00000000" w:rsidRPr="00000000">
          <w:rPr>
            <w:rFonts w:ascii="Times New Roman" w:cs="Times New Roman" w:eastAsia="Times New Roman" w:hAnsi="Times New Roman"/>
            <w:color w:val="1155cc"/>
            <w:sz w:val="24"/>
            <w:szCs w:val="24"/>
            <w:u w:val="single"/>
            <w:rtl w:val="0"/>
          </w:rPr>
          <w:t xml:space="preserve">https://www.elsevier.com/books/neuropathology/kovacs/978-0-12-802395-2</w:t>
        </w:r>
      </w:hyperlink>
      <w:r w:rsidDel="00000000" w:rsidR="00000000" w:rsidRPr="00000000">
        <w:rPr>
          <w:rFonts w:ascii="Times New Roman" w:cs="Times New Roman" w:eastAsia="Times New Roman" w:hAnsi="Times New Roman"/>
          <w:sz w:val="24"/>
          <w:szCs w:val="24"/>
          <w:rtl w:val="0"/>
        </w:rPr>
        <w:t xml:space="preserve"> (Accessed: 28 February 2024). </w:t>
      </w:r>
    </w:p>
    <w:p w:rsidR="00000000" w:rsidDel="00000000" w:rsidP="00000000" w:rsidRDefault="00000000" w:rsidRPr="00000000" w14:paraId="000000AA">
      <w:pPr>
        <w:widowControl w:val="0"/>
        <w:spacing w:after="240" w:before="240"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 A. Myszczynska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“Applications of machine learning to diagnosis and treatment of neurodegenerative diseases,” </w:t>
      </w:r>
      <w:r w:rsidDel="00000000" w:rsidR="00000000" w:rsidRPr="00000000">
        <w:rPr>
          <w:rFonts w:ascii="Times New Roman" w:cs="Times New Roman" w:eastAsia="Times New Roman" w:hAnsi="Times New Roman"/>
          <w:i w:val="1"/>
          <w:sz w:val="24"/>
          <w:szCs w:val="24"/>
          <w:rtl w:val="0"/>
        </w:rPr>
        <w:t xml:space="preserve">Nature Reviews Neurology</w:t>
      </w:r>
      <w:r w:rsidDel="00000000" w:rsidR="00000000" w:rsidRPr="00000000">
        <w:rPr>
          <w:rFonts w:ascii="Times New Roman" w:cs="Times New Roman" w:eastAsia="Times New Roman" w:hAnsi="Times New Roman"/>
          <w:sz w:val="24"/>
          <w:szCs w:val="24"/>
          <w:rtl w:val="0"/>
        </w:rPr>
        <w:t xml:space="preserve">, vol. 16, no. 8, pp. 440–456, Jul. 2020, doi: 10.1038/s41582-020-0377-8. </w:t>
      </w:r>
      <w:hyperlink r:id="rId11">
        <w:r w:rsidDel="00000000" w:rsidR="00000000" w:rsidRPr="00000000">
          <w:rPr>
            <w:rFonts w:ascii="Times New Roman" w:cs="Times New Roman" w:eastAsia="Times New Roman" w:hAnsi="Times New Roman"/>
            <w:color w:val="1155cc"/>
            <w:sz w:val="24"/>
            <w:szCs w:val="24"/>
            <w:u w:val="single"/>
            <w:rtl w:val="0"/>
          </w:rPr>
          <w:t xml:space="preserve">https://pubmed.ncbi.nlm.nih.gov/32669685/</w:t>
        </w:r>
      </w:hyperlink>
      <w:r w:rsidDel="00000000" w:rsidR="00000000" w:rsidRPr="00000000">
        <w:rPr>
          <w:rtl w:val="0"/>
        </w:rPr>
      </w:r>
    </w:p>
    <w:p w:rsidR="00000000" w:rsidDel="00000000" w:rsidP="00000000" w:rsidRDefault="00000000" w:rsidRPr="00000000" w14:paraId="000000AF">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 Mandemakers, V. A. Morais, and B. De Strooper, “A cell biological perspective on mitochondrial dysfunction in Parkinson disease and other neurodegenerative diseases,” </w:t>
      </w:r>
      <w:r w:rsidDel="00000000" w:rsidR="00000000" w:rsidRPr="00000000">
        <w:rPr>
          <w:rFonts w:ascii="Times New Roman" w:cs="Times New Roman" w:eastAsia="Times New Roman" w:hAnsi="Times New Roman"/>
          <w:i w:val="1"/>
          <w:sz w:val="24"/>
          <w:szCs w:val="24"/>
          <w:rtl w:val="0"/>
        </w:rPr>
        <w:t xml:space="preserve">Journal of Cell Science</w:t>
      </w:r>
      <w:r w:rsidDel="00000000" w:rsidR="00000000" w:rsidRPr="00000000">
        <w:rPr>
          <w:rFonts w:ascii="Times New Roman" w:cs="Times New Roman" w:eastAsia="Times New Roman" w:hAnsi="Times New Roman"/>
          <w:sz w:val="24"/>
          <w:szCs w:val="24"/>
          <w:rtl w:val="0"/>
        </w:rPr>
        <w:t xml:space="preserve">, vol. 120, no. 10, pp. 1707–1716, May 2007, doi: 10.1242/jcs.03443. </w:t>
      </w:r>
      <w:hyperlink r:id="rId12">
        <w:r w:rsidDel="00000000" w:rsidR="00000000" w:rsidRPr="00000000">
          <w:rPr>
            <w:rFonts w:ascii="Times New Roman" w:cs="Times New Roman" w:eastAsia="Times New Roman" w:hAnsi="Times New Roman"/>
            <w:color w:val="1155cc"/>
            <w:sz w:val="24"/>
            <w:szCs w:val="24"/>
            <w:u w:val="single"/>
            <w:rtl w:val="0"/>
          </w:rPr>
          <w:t xml:space="preserve">https://pubmed.ncbi.nlm.nih.gov/17502481/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 B. Prusiner, “Neurodegenerative diseases and prions,” </w:t>
      </w:r>
      <w:r w:rsidDel="00000000" w:rsidR="00000000" w:rsidRPr="00000000">
        <w:rPr>
          <w:rFonts w:ascii="Times New Roman" w:cs="Times New Roman" w:eastAsia="Times New Roman" w:hAnsi="Times New Roman"/>
          <w:i w:val="1"/>
          <w:sz w:val="24"/>
          <w:szCs w:val="24"/>
          <w:rtl w:val="0"/>
        </w:rPr>
        <w:t xml:space="preserve">The New England Journal of Medicine</w:t>
      </w:r>
      <w:r w:rsidDel="00000000" w:rsidR="00000000" w:rsidRPr="00000000">
        <w:rPr>
          <w:rFonts w:ascii="Times New Roman" w:cs="Times New Roman" w:eastAsia="Times New Roman" w:hAnsi="Times New Roman"/>
          <w:sz w:val="24"/>
          <w:szCs w:val="24"/>
          <w:rtl w:val="0"/>
        </w:rPr>
        <w:t xml:space="preserve">, vol. 344, no. 20, pp. 1516–1526, May 2001, doi: 10.1056/nejm200105173442006. </w:t>
      </w:r>
      <w:hyperlink r:id="rId13">
        <w:r w:rsidDel="00000000" w:rsidR="00000000" w:rsidRPr="00000000">
          <w:rPr>
            <w:rFonts w:ascii="Times New Roman" w:cs="Times New Roman" w:eastAsia="Times New Roman" w:hAnsi="Times New Roman"/>
            <w:color w:val="1155cc"/>
            <w:sz w:val="24"/>
            <w:szCs w:val="24"/>
            <w:u w:val="single"/>
            <w:rtl w:val="0"/>
          </w:rPr>
          <w:t xml:space="preserve">https://www.nejm.org/doi/full/10.1056/nejm200105173442006</w:t>
        </w:r>
      </w:hyperlink>
      <w:r w:rsidDel="00000000" w:rsidR="00000000" w:rsidRPr="00000000">
        <w:rPr>
          <w:rtl w:val="0"/>
        </w:rPr>
      </w:r>
    </w:p>
    <w:p w:rsidR="00000000" w:rsidDel="00000000" w:rsidP="00000000" w:rsidRDefault="00000000" w:rsidRPr="00000000" w14:paraId="000000B3">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 P. Purohit, D. P. Perl, V. Haroutunian, P. Powchik, M. Davidson, and K. L. Davis, “Alzheimer disease and related neurodegenerative diseases in elderly patients with schizophrenia,” </w:t>
      </w:r>
      <w:r w:rsidDel="00000000" w:rsidR="00000000" w:rsidRPr="00000000">
        <w:rPr>
          <w:rFonts w:ascii="Times New Roman" w:cs="Times New Roman" w:eastAsia="Times New Roman" w:hAnsi="Times New Roman"/>
          <w:i w:val="1"/>
          <w:sz w:val="24"/>
          <w:szCs w:val="24"/>
          <w:rtl w:val="0"/>
        </w:rPr>
        <w:t xml:space="preserve">Archives of General Psychiatry</w:t>
      </w:r>
      <w:r w:rsidDel="00000000" w:rsidR="00000000" w:rsidRPr="00000000">
        <w:rPr>
          <w:rFonts w:ascii="Times New Roman" w:cs="Times New Roman" w:eastAsia="Times New Roman" w:hAnsi="Times New Roman"/>
          <w:sz w:val="24"/>
          <w:szCs w:val="24"/>
          <w:rtl w:val="0"/>
        </w:rPr>
        <w:t xml:space="preserve">, vol. 55, no. 3, p. 205, Mar. 1998, doi: 10.1001/archpsyc.55.3.205. </w:t>
      </w:r>
      <w:hyperlink r:id="rId14">
        <w:r w:rsidDel="00000000" w:rsidR="00000000" w:rsidRPr="00000000">
          <w:rPr>
            <w:rFonts w:ascii="Times New Roman" w:cs="Times New Roman" w:eastAsia="Times New Roman" w:hAnsi="Times New Roman"/>
            <w:color w:val="1155cc"/>
            <w:sz w:val="24"/>
            <w:szCs w:val="24"/>
            <w:u w:val="single"/>
            <w:rtl w:val="0"/>
          </w:rPr>
          <w:t xml:space="preserve">https://jamanetwork.com/journals/jamapsychiatry/article-abstract/191033</w:t>
        </w:r>
      </w:hyperlink>
      <w:r w:rsidDel="00000000" w:rsidR="00000000" w:rsidRPr="00000000">
        <w:rPr>
          <w:rtl w:val="0"/>
        </w:rPr>
      </w:r>
    </w:p>
    <w:p w:rsidR="00000000" w:rsidDel="00000000" w:rsidP="00000000" w:rsidRDefault="00000000" w:rsidRPr="00000000" w14:paraId="000000B7">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B8">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J.-C. Lambert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“Meta-analysis of 74,046 individuals identifies 11 new susceptibility loci for Alzheimer’s disease,” </w:t>
      </w:r>
      <w:r w:rsidDel="00000000" w:rsidR="00000000" w:rsidRPr="00000000">
        <w:rPr>
          <w:rFonts w:ascii="Times New Roman" w:cs="Times New Roman" w:eastAsia="Times New Roman" w:hAnsi="Times New Roman"/>
          <w:i w:val="1"/>
          <w:sz w:val="24"/>
          <w:szCs w:val="24"/>
          <w:rtl w:val="0"/>
        </w:rPr>
        <w:t xml:space="preserve">Nature Genetics</w:t>
      </w:r>
      <w:r w:rsidDel="00000000" w:rsidR="00000000" w:rsidRPr="00000000">
        <w:rPr>
          <w:rFonts w:ascii="Times New Roman" w:cs="Times New Roman" w:eastAsia="Times New Roman" w:hAnsi="Times New Roman"/>
          <w:sz w:val="24"/>
          <w:szCs w:val="24"/>
          <w:rtl w:val="0"/>
        </w:rPr>
        <w:t xml:space="preserve">, vol. 45, no. 12, pp. 1452–1458, Oct. 2013, doi: 10.1038/ng.2802.  </w:t>
      </w:r>
      <w:hyperlink r:id="rId15">
        <w:r w:rsidDel="00000000" w:rsidR="00000000" w:rsidRPr="00000000">
          <w:rPr>
            <w:rFonts w:ascii="Times New Roman" w:cs="Times New Roman" w:eastAsia="Times New Roman" w:hAnsi="Times New Roman"/>
            <w:color w:val="1155cc"/>
            <w:sz w:val="24"/>
            <w:szCs w:val="24"/>
            <w:u w:val="single"/>
            <w:rtl w:val="0"/>
          </w:rPr>
          <w:t xml:space="preserve">https://pubmed.ncbi.nlm.nih.gov/24162737/</w:t>
        </w:r>
      </w:hyperlink>
      <w:r w:rsidDel="00000000" w:rsidR="00000000" w:rsidRPr="00000000">
        <w:rPr>
          <w:rtl w:val="0"/>
        </w:rPr>
      </w:r>
    </w:p>
    <w:p w:rsidR="00000000" w:rsidDel="00000000" w:rsidP="00000000" w:rsidRDefault="00000000" w:rsidRPr="00000000" w14:paraId="000000BB">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G. Jun et al., “A novel Alzheimer disease locus located near the gene encoding tau protein,” Molecular Psychiatry, vol. 21, no. 1, pp. 108–117, Mar. 2015, doi: 10.1038/mp.2015.23. </w:t>
      </w:r>
      <w:hyperlink r:id="rId16">
        <w:r w:rsidDel="00000000" w:rsidR="00000000" w:rsidRPr="00000000">
          <w:rPr>
            <w:rFonts w:ascii="Times New Roman" w:cs="Times New Roman" w:eastAsia="Times New Roman" w:hAnsi="Times New Roman"/>
            <w:color w:val="1155cc"/>
            <w:sz w:val="24"/>
            <w:szCs w:val="24"/>
            <w:u w:val="single"/>
            <w:rtl w:val="0"/>
          </w:rPr>
          <w:t xml:space="preserve">https://pubmed.ncbi.nlm.nih.gov/25778476/</w:t>
        </w:r>
      </w:hyperlink>
      <w:r w:rsidDel="00000000" w:rsidR="00000000" w:rsidRPr="00000000">
        <w:rPr>
          <w:rtl w:val="0"/>
        </w:rPr>
      </w:r>
    </w:p>
    <w:p w:rsidR="00000000" w:rsidDel="00000000" w:rsidP="00000000" w:rsidRDefault="00000000" w:rsidRPr="00000000" w14:paraId="000000BE">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 M. Karch, C. Cruchaga, and A. M. Goate, “Alzheimer’s Disease Genetics: From the bench to the clinic,” </w:t>
      </w:r>
      <w:r w:rsidDel="00000000" w:rsidR="00000000" w:rsidRPr="00000000">
        <w:rPr>
          <w:rFonts w:ascii="Times New Roman" w:cs="Times New Roman" w:eastAsia="Times New Roman" w:hAnsi="Times New Roman"/>
          <w:i w:val="1"/>
          <w:sz w:val="24"/>
          <w:szCs w:val="24"/>
          <w:rtl w:val="0"/>
        </w:rPr>
        <w:t xml:space="preserve">Neuron</w:t>
      </w:r>
      <w:r w:rsidDel="00000000" w:rsidR="00000000" w:rsidRPr="00000000">
        <w:rPr>
          <w:rFonts w:ascii="Times New Roman" w:cs="Times New Roman" w:eastAsia="Times New Roman" w:hAnsi="Times New Roman"/>
          <w:sz w:val="24"/>
          <w:szCs w:val="24"/>
          <w:rtl w:val="0"/>
        </w:rPr>
        <w:t xml:space="preserve">, vol. 83, no. 1, pp. 11–26, Jul. 2014, doi: 10.1016/j.neuron.2014.05.041. </w:t>
      </w:r>
      <w:hyperlink r:id="rId17">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https://www.sciencedirect.com/science/article/pii/S0896627314004851</w:t>
        </w:r>
      </w:hyperlink>
      <w:r w:rsidDel="00000000" w:rsidR="00000000" w:rsidRPr="00000000">
        <w:rPr>
          <w:rtl w:val="0"/>
        </w:rPr>
      </w:r>
    </w:p>
    <w:p w:rsidR="00000000" w:rsidDel="00000000" w:rsidP="00000000" w:rsidRDefault="00000000" w:rsidRPr="00000000" w14:paraId="000000C1">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J. Hardy and G. A. Higgins, “Alzheimer’s Disease: The Amyloid Cascade hypothesis,” Science, vol. 256, no. 5054, pp. 184–185, Apr. 1992, doi: 10.1126/science.1566067. </w:t>
      </w:r>
      <w:hyperlink r:id="rId18">
        <w:r w:rsidDel="00000000" w:rsidR="00000000" w:rsidRPr="00000000">
          <w:rPr>
            <w:rFonts w:ascii="Times New Roman" w:cs="Times New Roman" w:eastAsia="Times New Roman" w:hAnsi="Times New Roman"/>
            <w:color w:val="1155cc"/>
            <w:sz w:val="24"/>
            <w:szCs w:val="24"/>
            <w:u w:val="single"/>
            <w:rtl w:val="0"/>
          </w:rPr>
          <w:t xml:space="preserve">https://pubmed.ncbi.nlm.nih.gov/1566067/</w:t>
        </w:r>
      </w:hyperlink>
      <w:r w:rsidDel="00000000" w:rsidR="00000000" w:rsidRPr="00000000">
        <w:rPr>
          <w:rtl w:val="0"/>
        </w:rPr>
      </w:r>
    </w:p>
    <w:p w:rsidR="00000000" w:rsidDel="00000000" w:rsidP="00000000" w:rsidRDefault="00000000" w:rsidRPr="00000000" w14:paraId="000000C4">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V. S. Marde et al., “Neurodegenerative disorders associated with genes of mitochondria,” Future Journal of Pharmaceutical Sciences, vol. 7, no. 1, Mar. 2021, doi: 10.1186/s43094-021-00215-5.  </w:t>
      </w:r>
      <w:hyperlink r:id="rId19">
        <w:r w:rsidDel="00000000" w:rsidR="00000000" w:rsidRPr="00000000">
          <w:rPr>
            <w:rFonts w:ascii="Times New Roman" w:cs="Times New Roman" w:eastAsia="Times New Roman" w:hAnsi="Times New Roman"/>
            <w:color w:val="1155cc"/>
            <w:sz w:val="24"/>
            <w:szCs w:val="24"/>
            <w:u w:val="single"/>
            <w:rtl w:val="0"/>
          </w:rPr>
          <w:t xml:space="preserve">https://fjps.springeropen.com/articles/10.1186/s43094-021-00215-5</w:t>
        </w:r>
      </w:hyperlink>
      <w:r w:rsidDel="00000000" w:rsidR="00000000" w:rsidRPr="00000000">
        <w:rPr>
          <w:rtl w:val="0"/>
        </w:rPr>
      </w:r>
    </w:p>
    <w:p w:rsidR="00000000" w:rsidDel="00000000" w:rsidP="00000000" w:rsidRDefault="00000000" w:rsidRPr="00000000" w14:paraId="000000C7">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V. Escott-Price et al., “Common polygenic variation enhances risk prediction for Alzheimer’s disease,” Brain, vol. 138, no. 12, pp. 3673–3684, Oct. 2015, doi: 10.1093/brain/awv268. </w:t>
      </w:r>
      <w:hyperlink r:id="rId20">
        <w:r w:rsidDel="00000000" w:rsidR="00000000" w:rsidRPr="00000000">
          <w:rPr>
            <w:rFonts w:ascii="Times New Roman" w:cs="Times New Roman" w:eastAsia="Times New Roman" w:hAnsi="Times New Roman"/>
            <w:color w:val="1155cc"/>
            <w:sz w:val="24"/>
            <w:szCs w:val="24"/>
            <w:u w:val="single"/>
            <w:rtl w:val="0"/>
          </w:rPr>
          <w:t xml:space="preserve">https://academic.oup.com/brain/article/138/12/3673/411685?login=false</w:t>
        </w:r>
      </w:hyperlink>
      <w:r w:rsidDel="00000000" w:rsidR="00000000" w:rsidRPr="00000000">
        <w:rPr>
          <w:rtl w:val="0"/>
        </w:rPr>
      </w:r>
    </w:p>
    <w:p w:rsidR="00000000" w:rsidDel="00000000" w:rsidP="00000000" w:rsidRDefault="00000000" w:rsidRPr="00000000" w14:paraId="000000CA">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Guan et al. "Weighted gene coexpression network analysis and machine learning reveal oncogenome associated microbiome plays an important role in tumor immunity and prognosis in pan-cancer." Journal of Translational Medicine 21.537 (2023): 1-21. </w:t>
      </w:r>
      <w:hyperlink r:id="rId21">
        <w:r w:rsidDel="00000000" w:rsidR="00000000" w:rsidRPr="00000000">
          <w:rPr>
            <w:rFonts w:ascii="Times New Roman" w:cs="Times New Roman" w:eastAsia="Times New Roman" w:hAnsi="Times New Roman"/>
            <w:color w:val="1155cc"/>
            <w:sz w:val="24"/>
            <w:szCs w:val="24"/>
            <w:u w:val="single"/>
            <w:rtl w:val="0"/>
          </w:rPr>
          <w:t xml:space="preserve">https://translational-medicine.biomedcentral.com/articles/10.1186/s12967-023-04411-0</w:t>
        </w:r>
      </w:hyperlink>
      <w:r w:rsidDel="00000000" w:rsidR="00000000" w:rsidRPr="00000000">
        <w:rPr>
          <w:rtl w:val="0"/>
        </w:rPr>
      </w:r>
    </w:p>
    <w:p w:rsidR="00000000" w:rsidDel="00000000" w:rsidP="00000000" w:rsidRDefault="00000000" w:rsidRPr="00000000" w14:paraId="000000CD">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Hu, Y., Yu, X., Zhou, Y., Yin, X., Hu, J., Lu, X., &amp; Hu, C. (2020). Identification of novel genes related to Alzheimer's disease pathology using genome-wide co-expression network analysis and supervised machine learning. Frontiers in Aging Neuroscience, 12, 605961. doi: 10.3389/fnagi.2020.605961 </w:t>
      </w:r>
      <w:hyperlink r:id="rId22">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https://www.ncbi.nlm.nih.gov/pmc/articles/PMC9581494/</w:t>
        </w:r>
      </w:hyperlink>
      <w:r w:rsidDel="00000000" w:rsidR="00000000" w:rsidRPr="00000000">
        <w:rPr>
          <w:rtl w:val="0"/>
        </w:rPr>
      </w:r>
    </w:p>
    <w:p w:rsidR="00000000" w:rsidDel="00000000" w:rsidP="00000000" w:rsidRDefault="00000000" w:rsidRPr="00000000" w14:paraId="000000D0">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S. Balne and A. Elumalai, "Machine learning and deep learning algorithms used for the diagnosis of</w:t>
      </w:r>
    </w:p>
    <w:p w:rsidR="00000000" w:rsidDel="00000000" w:rsidP="00000000" w:rsidRDefault="00000000" w:rsidRPr="00000000" w14:paraId="000000D3">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Alzheimer's" in Materials Today: Proceedings, vol. 47, no. 15, pp. 5151-5156, 2021, doi: 10.1016/j.matpr.2021.05.499. </w:t>
      </w:r>
      <w:hyperlink r:id="rId23">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https://www.sciencedirect.com/science/article/abs/pii/S2214785321041018</w:t>
        </w:r>
      </w:hyperlink>
      <w:r w:rsidDel="00000000" w:rsidR="00000000" w:rsidRPr="00000000">
        <w:rPr>
          <w:rtl w:val="0"/>
        </w:rPr>
      </w:r>
    </w:p>
    <w:p w:rsidR="00000000" w:rsidDel="00000000" w:rsidP="00000000" w:rsidRDefault="00000000" w:rsidRPr="00000000" w14:paraId="000000D4">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P. Kishore, Ch. Usha Kumari, M.N.V.S.S. Kumar, and T. Pavani, "Detection and analysis of Alzheimer’s disease using various machine learning algorithms," in Materials Today: Proceedings, vol. 45, no. 2, pp. 1502-1508, 2021, doi: 10.1016/j.matpr.2020.07.645. </w:t>
      </w:r>
      <w:hyperlink r:id="rId24">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https://www.sciencedirect.com/science/article/abs/pii/S2214785320357709</w:t>
        </w:r>
      </w:hyperlink>
      <w:r w:rsidDel="00000000" w:rsidR="00000000" w:rsidRPr="00000000">
        <w:rPr>
          <w:rtl w:val="0"/>
        </w:rPr>
      </w:r>
    </w:p>
    <w:p w:rsidR="00000000" w:rsidDel="00000000" w:rsidP="00000000" w:rsidRDefault="00000000" w:rsidRPr="00000000" w14:paraId="000000D7">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A. Amrutesh, G. B. C G, A. A, A. R. KP and G. S, "Alzheimer's Disease Prediction using Machine</w:t>
      </w:r>
    </w:p>
    <w:p w:rsidR="00000000" w:rsidDel="00000000" w:rsidP="00000000" w:rsidRDefault="00000000" w:rsidRPr="00000000" w14:paraId="000000DA">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and Transfer Learning Models," 2022 6th International Conference on Computation System and Information Technology for Sustainable Solutions (CSITSS), Bangalore, India, 2022, pp. 1-6, doi:</w:t>
      </w:r>
    </w:p>
    <w:p w:rsidR="00000000" w:rsidDel="00000000" w:rsidP="00000000" w:rsidRDefault="00000000" w:rsidRPr="00000000" w14:paraId="000000DB">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10.1109/CSITSS57437.2022.10026365. </w:t>
      </w:r>
      <w:hyperlink r:id="rId25">
        <w:r w:rsidDel="00000000" w:rsidR="00000000" w:rsidRPr="00000000">
          <w:rPr>
            <w:rFonts w:ascii="Times New Roman" w:cs="Times New Roman" w:eastAsia="Times New Roman" w:hAnsi="Times New Roman"/>
            <w:color w:val="1155cc"/>
            <w:sz w:val="24"/>
            <w:szCs w:val="24"/>
            <w:u w:val="single"/>
            <w:rtl w:val="0"/>
          </w:rPr>
          <w:t xml:space="preserve">https://www.mdpi.com/2504-4990/6/1/24</w:t>
        </w:r>
      </w:hyperlink>
      <w:r w:rsidDel="00000000" w:rsidR="00000000" w:rsidRPr="00000000">
        <w:rPr>
          <w:rtl w:val="0"/>
        </w:rPr>
      </w:r>
    </w:p>
    <w:p w:rsidR="00000000" w:rsidDel="00000000" w:rsidP="00000000" w:rsidRDefault="00000000" w:rsidRPr="00000000" w14:paraId="000000DC">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Diogo, V.S., Ferreira, H.A., Prata, D. et al. Early diagnosis of Alzheimer’s disease using machine</w:t>
      </w:r>
    </w:p>
    <w:p w:rsidR="00000000" w:rsidDel="00000000" w:rsidP="00000000" w:rsidRDefault="00000000" w:rsidRPr="00000000" w14:paraId="000000E0">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a multi-diagnostic, generalizable approach. Alz Res Therapy 14, 107 (2022). </w:t>
      </w:r>
      <w:hyperlink r:id="rId26">
        <w:r w:rsidDel="00000000" w:rsidR="00000000" w:rsidRPr="00000000">
          <w:rPr>
            <w:rFonts w:ascii="Times New Roman" w:cs="Times New Roman" w:eastAsia="Times New Roman" w:hAnsi="Times New Roman"/>
            <w:color w:val="1155cc"/>
            <w:sz w:val="24"/>
            <w:szCs w:val="24"/>
            <w:u w:val="single"/>
            <w:rtl w:val="0"/>
          </w:rPr>
          <w:t xml:space="preserve">https://doi.org/10.1186/s13195-022-01047-y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S. Harika, T. Yamini, T. Nagasaki Kamesh, S. H. Basha, S. Santosh Kumar, and Mrs. S. Sri Durga Kameswari, "Alzheimer's Disease Detection Using Different Machine Learning Algorithms,"</w:t>
      </w:r>
    </w:p>
    <w:p w:rsidR="00000000" w:rsidDel="00000000" w:rsidP="00000000" w:rsidRDefault="00000000" w:rsidRPr="00000000" w14:paraId="000000E3">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Journal of Research in Advent Technology (IJRASET)*, DOI: 10.22214/ijraset.2022.46937. </w:t>
      </w:r>
      <w:hyperlink r:id="rId27">
        <w:r w:rsidDel="00000000" w:rsidR="00000000" w:rsidRPr="00000000">
          <w:rPr>
            <w:rFonts w:ascii="Times New Roman" w:cs="Times New Roman" w:eastAsia="Times New Roman" w:hAnsi="Times New Roman"/>
            <w:color w:val="1155cc"/>
            <w:sz w:val="24"/>
            <w:szCs w:val="24"/>
            <w:u w:val="single"/>
            <w:rtl w:val="0"/>
          </w:rPr>
          <w:t xml:space="preserve">https://www.ijraset.com/research-paper/alzheimers-disease-detection-using-different-ml-algorithms</w:t>
        </w:r>
      </w:hyperlink>
      <w:r w:rsidDel="00000000" w:rsidR="00000000" w:rsidRPr="00000000">
        <w:rPr>
          <w:rtl w:val="0"/>
        </w:rPr>
      </w:r>
    </w:p>
    <w:p w:rsidR="00000000" w:rsidDel="00000000" w:rsidP="00000000" w:rsidRDefault="00000000" w:rsidRPr="00000000" w14:paraId="000000E4">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H. Sun, J. Yang, X. Li, Y. Lyu, Z. Xu, H. He, X. Tong, T. Ji, S. Ding, C. Zhou, P. Han, J. Zheng,</w:t>
      </w:r>
    </w:p>
    <w:p w:rsidR="00000000" w:rsidDel="00000000" w:rsidP="00000000" w:rsidRDefault="00000000" w:rsidRPr="00000000" w14:paraId="000000E7">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of feature genes and pathways for Alzheimer's disease via WGCNA and LASSO regression," Frontiers in Computational Neuroscience, vol. 16, p. 1001546, Sep. 2022, doi: 10.3389/fncom.2022.1001546. </w:t>
      </w:r>
      <w:hyperlink r:id="rId28">
        <w:r w:rsidDel="00000000" w:rsidR="00000000" w:rsidRPr="00000000">
          <w:rPr>
            <w:rFonts w:ascii="Times New Roman" w:cs="Times New Roman" w:eastAsia="Times New Roman" w:hAnsi="Times New Roman"/>
            <w:color w:val="1155cc"/>
            <w:sz w:val="24"/>
            <w:szCs w:val="24"/>
            <w:u w:val="single"/>
            <w:rtl w:val="0"/>
          </w:rPr>
          <w:t xml:space="preserve">https://www.frontiersin.org/articles/10.3389/fncom.2022.1001546/full</w:t>
        </w:r>
      </w:hyperlink>
      <w:r w:rsidDel="00000000" w:rsidR="00000000" w:rsidRPr="00000000">
        <w:rPr>
          <w:rtl w:val="0"/>
        </w:rPr>
      </w:r>
    </w:p>
    <w:p w:rsidR="00000000" w:rsidDel="00000000" w:rsidP="00000000" w:rsidRDefault="00000000" w:rsidRPr="00000000" w14:paraId="000000E8">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Langfelder, P., Horvath, S. WGCNA: an R package for weighted correlation network analysis. BMC</w:t>
      </w:r>
    </w:p>
    <w:p w:rsidR="00000000" w:rsidDel="00000000" w:rsidP="00000000" w:rsidRDefault="00000000" w:rsidRPr="00000000" w14:paraId="000000EB">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Bioinformatics 9, 559 (2008), </w:t>
      </w:r>
      <w:hyperlink r:id="rId29">
        <w:r w:rsidDel="00000000" w:rsidR="00000000" w:rsidRPr="00000000">
          <w:rPr>
            <w:rFonts w:ascii="Times New Roman" w:cs="Times New Roman" w:eastAsia="Times New Roman" w:hAnsi="Times New Roman"/>
            <w:color w:val="1155cc"/>
            <w:sz w:val="24"/>
            <w:szCs w:val="24"/>
            <w:u w:val="single"/>
            <w:rtl w:val="0"/>
          </w:rPr>
          <w:t xml:space="preserve">https://doi.org/10.1186/1471-2105-9-559</w:t>
        </w:r>
      </w:hyperlink>
      <w:r w:rsidDel="00000000" w:rsidR="00000000" w:rsidRPr="00000000">
        <w:rPr>
          <w:rFonts w:ascii="Times New Roman" w:cs="Times New Roman" w:eastAsia="Times New Roman" w:hAnsi="Times New Roman"/>
          <w:sz w:val="24"/>
          <w:szCs w:val="24"/>
          <w:rtl w:val="0"/>
        </w:rPr>
        <w:t xml:space="preserve">. </w:t>
      </w:r>
      <w:hyperlink r:id="rId30">
        <w:r w:rsidDel="00000000" w:rsidR="00000000" w:rsidRPr="00000000">
          <w:rPr>
            <w:rFonts w:ascii="Times New Roman" w:cs="Times New Roman" w:eastAsia="Times New Roman" w:hAnsi="Times New Roman"/>
            <w:color w:val="1155cc"/>
            <w:sz w:val="24"/>
            <w:szCs w:val="24"/>
            <w:u w:val="single"/>
            <w:rtl w:val="0"/>
          </w:rPr>
          <w:t xml:space="preserve">https://bmcbioinformatics.biomedcentral.com/articles/10.1186/1471-2105-9-559</w:t>
        </w:r>
      </w:hyperlink>
      <w:r w:rsidDel="00000000" w:rsidR="00000000" w:rsidRPr="00000000">
        <w:rPr>
          <w:rtl w:val="0"/>
        </w:rPr>
      </w:r>
    </w:p>
    <w:p w:rsidR="00000000" w:rsidDel="00000000" w:rsidP="00000000" w:rsidRDefault="00000000" w:rsidRPr="00000000" w14:paraId="000000EC">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Hong Yue, Bo Yang, Fang Yang, Xiao-Li Hu, Fan-Bin Kong, "Co-expression network-based analysis of hippocampal expression data associated with Alzheimer's disease using a novel algorithm," *Experimental and Therapeutic Medicine*, vol. 11, no. 5, pp. 1707-1715, 2016. </w:t>
      </w:r>
      <w:hyperlink r:id="rId31">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https://www.ncbi.nlm.nih.gov/pmc/articles/PMC4840697/</w:t>
        </w:r>
      </w:hyperlink>
      <w:r w:rsidDel="00000000" w:rsidR="00000000" w:rsidRPr="00000000">
        <w:rPr>
          <w:rtl w:val="0"/>
        </w:rPr>
      </w:r>
    </w:p>
    <w:p w:rsidR="00000000" w:rsidDel="00000000" w:rsidP="00000000" w:rsidRDefault="00000000" w:rsidRPr="00000000" w14:paraId="000000EF">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B. M. Tijms, A. M. Wink, W. de Haan, W. M. van der Flier, C. J. Stam, P. Scheltens, and F. Barkhof,</w:t>
      </w:r>
    </w:p>
    <w:p w:rsidR="00000000" w:rsidDel="00000000" w:rsidP="00000000" w:rsidRDefault="00000000" w:rsidRPr="00000000" w14:paraId="000000F2">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"Alzheimer's disease: connecting findings from graph theoretical studies of brain networks," Neurobiology of Aging, vol. 34, no. 8, pp. 2023-2036, Aug. 2013. </w:t>
      </w:r>
      <w:hyperlink r:id="rId32">
        <w:r w:rsidDel="00000000" w:rsidR="00000000" w:rsidRPr="00000000">
          <w:rPr>
            <w:rFonts w:ascii="Times New Roman" w:cs="Times New Roman" w:eastAsia="Times New Roman" w:hAnsi="Times New Roman"/>
            <w:color w:val="1155cc"/>
            <w:sz w:val="24"/>
            <w:szCs w:val="24"/>
            <w:u w:val="single"/>
            <w:rtl w:val="0"/>
          </w:rPr>
          <w:t xml:space="preserve">https://doi.org/10.1016/j.neurobiolaging.2013.02.020</w:t>
        </w:r>
      </w:hyperlink>
      <w:r w:rsidDel="00000000" w:rsidR="00000000" w:rsidRPr="00000000">
        <w:rPr>
          <w:rtl w:val="0"/>
        </w:rPr>
      </w:r>
    </w:p>
    <w:p w:rsidR="00000000" w:rsidDel="00000000" w:rsidP="00000000" w:rsidRDefault="00000000" w:rsidRPr="00000000" w14:paraId="000000F3">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Brier, M. R., Thomas, J. B., Fagan, A. M., Hassenstab, J., Holtzman, D. M., Benzinger, T. L., Morris, J. C., &amp; Ances, B. M. (2014). Functional connectivity and graph theory in preclinical Alzheimer's disease.</w:t>
      </w:r>
    </w:p>
    <w:p w:rsidR="00000000" w:rsidDel="00000000" w:rsidP="00000000" w:rsidRDefault="00000000" w:rsidRPr="00000000" w14:paraId="000000F6">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*NeurobiologyofAging*,35(4),757-768.[</w:t>
      </w:r>
      <w:hyperlink r:id="rId33">
        <w:r w:rsidDel="00000000" w:rsidR="00000000" w:rsidRPr="00000000">
          <w:rPr>
            <w:rFonts w:ascii="Times New Roman" w:cs="Times New Roman" w:eastAsia="Times New Roman" w:hAnsi="Times New Roman"/>
            <w:color w:val="1155cc"/>
            <w:sz w:val="24"/>
            <w:szCs w:val="24"/>
            <w:u w:val="single"/>
            <w:rtl w:val="0"/>
          </w:rPr>
          <w:t xml:space="preserve">https://doi.org/10.1016/j.neurobiolaging.2013.10.081](https://doi.org/10.1016/j.neurobiolaging.2013.10.081)</w:t>
        </w:r>
      </w:hyperlink>
      <w:r w:rsidDel="00000000" w:rsidR="00000000" w:rsidRPr="00000000">
        <w:rPr>
          <w:rtl w:val="0"/>
        </w:rPr>
      </w:r>
    </w:p>
    <w:p w:rsidR="00000000" w:rsidDel="00000000" w:rsidP="00000000" w:rsidRDefault="00000000" w:rsidRPr="00000000" w14:paraId="000000F7">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Q. Jing, H. Zhang, X. Sun, Y. Xu, S. Cao, Y. Fang, X. Zhao, and C. Li, "A Comprehensive Analysis Identified Hub Genes and Associated Drugs in Alzheimer’s Disease," vol. 2021, Article ID 8893553, 2021, </w:t>
      </w:r>
      <w:hyperlink r:id="rId34">
        <w:r w:rsidDel="00000000" w:rsidR="00000000" w:rsidRPr="00000000">
          <w:rPr>
            <w:rFonts w:ascii="Times New Roman" w:cs="Times New Roman" w:eastAsia="Times New Roman" w:hAnsi="Times New Roman"/>
            <w:color w:val="1155cc"/>
            <w:sz w:val="24"/>
            <w:szCs w:val="24"/>
            <w:u w:val="single"/>
            <w:rtl w:val="0"/>
          </w:rPr>
          <w:t xml:space="preserve">https://doi.org/10.1155/2021/8893553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C. Zou, L. Su, M. Pan, L. Chen, H. Li, C. Zou, J. Xie, X. Huang, and M. Lu, "Exploration of novel biomarkers in Alzheimer’s disease based on four diagnostic models," Front. Aging Neurosci., vol. 15, p. 1079433, Feb. 16, 2023. [Online]. Available: </w:t>
      </w:r>
      <w:hyperlink r:id="rId35">
        <w:r w:rsidDel="00000000" w:rsidR="00000000" w:rsidRPr="00000000">
          <w:rPr>
            <w:rFonts w:ascii="Times New Roman" w:cs="Times New Roman" w:eastAsia="Times New Roman" w:hAnsi="Times New Roman"/>
            <w:color w:val="1155cc"/>
            <w:sz w:val="24"/>
            <w:szCs w:val="24"/>
            <w:u w:val="single"/>
            <w:rtl w:val="0"/>
          </w:rPr>
          <w:t xml:space="preserve">https://doi.org/10.3389/fnagi.2023.1079433</w:t>
        </w:r>
      </w:hyperlink>
      <w:r w:rsidDel="00000000" w:rsidR="00000000" w:rsidRPr="00000000">
        <w:rPr>
          <w:rtl w:val="0"/>
        </w:rPr>
      </w:r>
    </w:p>
    <w:p w:rsidR="00000000" w:rsidDel="00000000" w:rsidP="00000000" w:rsidRDefault="00000000" w:rsidRPr="00000000" w14:paraId="000000FD">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Zhang, Y., Kiryu, H. Identification of oxidative stress-related genes differentially expressed in Alzheimer’s disease and construction of a hub gep 13, 6817 (2023). </w:t>
      </w:r>
      <w:hyperlink r:id="rId36">
        <w:r w:rsidDel="00000000" w:rsidR="00000000" w:rsidRPr="00000000">
          <w:rPr>
            <w:rFonts w:ascii="Times New Roman" w:cs="Times New Roman" w:eastAsia="Times New Roman" w:hAnsi="Times New Roman"/>
            <w:color w:val="1155cc"/>
            <w:sz w:val="24"/>
            <w:szCs w:val="24"/>
            <w:u w:val="single"/>
            <w:rtl w:val="0"/>
          </w:rPr>
          <w:t xml:space="preserve">https://doi.org/10.1038/s41598-023-34021-1ene-based diagnostic model. Sci R</w:t>
        </w:r>
      </w:hyperlink>
      <w:r w:rsidDel="00000000" w:rsidR="00000000" w:rsidRPr="00000000">
        <w:rPr>
          <w:rtl w:val="0"/>
        </w:rPr>
      </w:r>
    </w:p>
    <w:p w:rsidR="00000000" w:rsidDel="00000000" w:rsidP="00000000" w:rsidRDefault="00000000" w:rsidRPr="00000000" w14:paraId="000000FF">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widowControl w:val="0"/>
        <w:spacing w:line="240" w:lineRule="auto"/>
        <w:ind w:left="-450" w:righ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A. Sharma and P. Dey, "A machine learning approach to unmask novel gene signatures and prediction of Alzheimer's disease within different brain regions," Genomics, vol. 113, no. 4, pp. 1778-1789, 2021, ISSN 0888-7543, </w:t>
      </w:r>
      <w:hyperlink r:id="rId37">
        <w:r w:rsidDel="00000000" w:rsidR="00000000" w:rsidRPr="00000000">
          <w:rPr>
            <w:rFonts w:ascii="Times New Roman" w:cs="Times New Roman" w:eastAsia="Times New Roman" w:hAnsi="Times New Roman"/>
            <w:color w:val="1155cc"/>
            <w:sz w:val="24"/>
            <w:szCs w:val="24"/>
            <w:u w:val="single"/>
            <w:rtl w:val="0"/>
          </w:rPr>
          <w:t xml:space="preserve">https://doi.org/10.1016/j.ygeno.2021.04.028</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widowControl w:val="0"/>
        <w:spacing w:line="240" w:lineRule="auto"/>
        <w:ind w:left="-1170" w:right="-990" w:firstLine="0"/>
        <w:rPr>
          <w:rFonts w:ascii="Times New Roman" w:cs="Times New Roman" w:eastAsia="Times New Roman" w:hAnsi="Times New Roman"/>
          <w:sz w:val="24"/>
          <w:szCs w:val="24"/>
        </w:rPr>
      </w:pPr>
      <w:r w:rsidDel="00000000" w:rsidR="00000000" w:rsidRPr="00000000">
        <w:rPr>
          <w:rtl w:val="0"/>
        </w:rPr>
      </w:r>
    </w:p>
    <w:sectPr>
      <w:footerReference r:id="rId38" w:type="default"/>
      <w:pgSz w:h="16820" w:w="11900" w:orient="portrait"/>
      <w:pgMar w:bottom="1905" w:top="90" w:left="1350" w:right="2198.6639404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cademic.oup.com/brain/article/138/12/3673/411685?login=false" TargetMode="External"/><Relationship Id="rId22" Type="http://schemas.openxmlformats.org/officeDocument/2006/relationships/hyperlink" Target="https://www.ncbi.nlm.nih.gov/pmc/articles/PMC9581494/" TargetMode="External"/><Relationship Id="rId21" Type="http://schemas.openxmlformats.org/officeDocument/2006/relationships/hyperlink" Target="https://translational-medicine.biomedcentral.com/articles/10.1186/s12967-023-04411-0" TargetMode="External"/><Relationship Id="rId24" Type="http://schemas.openxmlformats.org/officeDocument/2006/relationships/hyperlink" Target="https://www.sciencedirect.com/science/article/abs/pii/S2214785320357709" TargetMode="External"/><Relationship Id="rId23" Type="http://schemas.openxmlformats.org/officeDocument/2006/relationships/hyperlink" Target="https://www.sciencedirect.com/science/article/abs/pii/S22147853210410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6745022_A_Network_dysfunction_perspective_on_neurodegenerative_diseases" TargetMode="External"/><Relationship Id="rId26" Type="http://schemas.openxmlformats.org/officeDocument/2006/relationships/hyperlink" Target="https://doi.org/10.1186/s13195-022-01047-y" TargetMode="External"/><Relationship Id="rId25" Type="http://schemas.openxmlformats.org/officeDocument/2006/relationships/hyperlink" Target="https://www.mdpi.com/2504-4990/6/1/24" TargetMode="External"/><Relationship Id="rId28" Type="http://schemas.openxmlformats.org/officeDocument/2006/relationships/hyperlink" Target="https://www.frontiersin.org/articles/10.3389/fncom.2022.1001546/full" TargetMode="External"/><Relationship Id="rId27" Type="http://schemas.openxmlformats.org/officeDocument/2006/relationships/hyperlink" Target="https://www.ijraset.com/research-paper/alzheimers-disease-detection-using-different-ml-algorithm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i.org/10.1186/1471-2105-9-559" TargetMode="External"/><Relationship Id="rId7" Type="http://schemas.openxmlformats.org/officeDocument/2006/relationships/image" Target="media/image1.png"/><Relationship Id="rId8" Type="http://schemas.openxmlformats.org/officeDocument/2006/relationships/hyperlink" Target="https://pubmed.ncbi.nlm.nih.gov/36268052/" TargetMode="External"/><Relationship Id="rId31" Type="http://schemas.openxmlformats.org/officeDocument/2006/relationships/hyperlink" Target="https://www.ncbi.nlm.nih.gov/pmc/articles/PMC4840697/" TargetMode="External"/><Relationship Id="rId30" Type="http://schemas.openxmlformats.org/officeDocument/2006/relationships/hyperlink" Target="https://bmcbioinformatics.biomedcentral.com/articles/10.1186/1471-2105-9-559" TargetMode="External"/><Relationship Id="rId11" Type="http://schemas.openxmlformats.org/officeDocument/2006/relationships/hyperlink" Target="https://pubmed.ncbi.nlm.nih.gov/32669685/" TargetMode="External"/><Relationship Id="rId33" Type="http://schemas.openxmlformats.org/officeDocument/2006/relationships/hyperlink" Target="https://doi.org/10.1016/j.neurobiolaging.2013.10.081%5D(https://doi.org/10.1016/j.neurobiolaging.2013.10.081)" TargetMode="External"/><Relationship Id="rId10" Type="http://schemas.openxmlformats.org/officeDocument/2006/relationships/hyperlink" Target="https://www.elsevier.com/books/neuropathology/kovacs/978-0-12-802395-2" TargetMode="External"/><Relationship Id="rId32" Type="http://schemas.openxmlformats.org/officeDocument/2006/relationships/hyperlink" Target="https://doi.org/10.1016/j.neurobiolaging.2013.02.020" TargetMode="External"/><Relationship Id="rId13" Type="http://schemas.openxmlformats.org/officeDocument/2006/relationships/hyperlink" Target="https://www.nejm.org/doi/full/10.1056/nejm200105173442006" TargetMode="External"/><Relationship Id="rId35" Type="http://schemas.openxmlformats.org/officeDocument/2006/relationships/hyperlink" Target="https://doi.org/10.3389/fnagi.2023.1079433" TargetMode="External"/><Relationship Id="rId12" Type="http://schemas.openxmlformats.org/officeDocument/2006/relationships/hyperlink" Target="https://pubmed.ncbi.nlm.nih.gov/17502481/" TargetMode="External"/><Relationship Id="rId34" Type="http://schemas.openxmlformats.org/officeDocument/2006/relationships/hyperlink" Target="https://doi.org/10.1155/2021/8893553" TargetMode="External"/><Relationship Id="rId15" Type="http://schemas.openxmlformats.org/officeDocument/2006/relationships/hyperlink" Target="https://pubmed.ncbi.nlm.nih.gov/24162737/" TargetMode="External"/><Relationship Id="rId37" Type="http://schemas.openxmlformats.org/officeDocument/2006/relationships/hyperlink" Target="https://doi.org/10.1016/j.ygeno.2021.04.028" TargetMode="External"/><Relationship Id="rId14" Type="http://schemas.openxmlformats.org/officeDocument/2006/relationships/hyperlink" Target="https://jamanetwork.com/journals/jamapsychiatry/article-abstract/191033" TargetMode="External"/><Relationship Id="rId36" Type="http://schemas.openxmlformats.org/officeDocument/2006/relationships/hyperlink" Target="https://doi.org/10.1038/s41598-023-34021-1" TargetMode="External"/><Relationship Id="rId17" Type="http://schemas.openxmlformats.org/officeDocument/2006/relationships/hyperlink" Target="https://www.sciencedirect.com/science/article/pii/S0896627314004851" TargetMode="External"/><Relationship Id="rId16" Type="http://schemas.openxmlformats.org/officeDocument/2006/relationships/hyperlink" Target="https://pubmed.ncbi.nlm.nih.gov/25778476/" TargetMode="External"/><Relationship Id="rId38" Type="http://schemas.openxmlformats.org/officeDocument/2006/relationships/footer" Target="footer1.xml"/><Relationship Id="rId19" Type="http://schemas.openxmlformats.org/officeDocument/2006/relationships/hyperlink" Target="https://fjps.springeropen.com/articles/10.1186/s43094-021-00215-5" TargetMode="External"/><Relationship Id="rId18" Type="http://schemas.openxmlformats.org/officeDocument/2006/relationships/hyperlink" Target="https://pubmed.ncbi.nlm.nih.gov/156606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September</b:Month>
    <b:DayAccessed>28</b:DayAccessed>
    <b:Day>14</b:Day>
    <b:Year>2022</b:Year>
    <b:SourceType>DocumentFromInternetSite</b:SourceType>
    <b:URL>https://pubmed.ncbi.nlm.nih.gov/36268052/</b:URL>
    <b:Title>Identification of risk genes for Alzheimer's disease by gene embedding</b:Title>
    <b:InternetSiteTitle>PubMed</b:InternetSiteTitle>
    <b:MonthAccessed>February</b:MonthAccessed>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