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 off product and build plan</w:t>
      </w:r>
    </w:p>
    <w:p>
      <w:r>
        <w:t>Working product name  •  Version 3  •  October 4 2026</w:t>
      </w:r>
    </w:p>
    <w:p>
      <w:r>
        <w:t>Build a website review platform that connects visual feedback to technical and behavioral evidence, then tracks the issue through a checked fix and reviewer approval. This document is the starting specification for product design, engineering tickets, and a private pilot.</w:t>
      </w:r>
    </w:p>
    <w:p>
      <w:pPr>
        <w:pStyle w:val="Heading2"/>
      </w:pPr>
      <w:r>
        <w:t>Recommended first customer</w:t>
      </w:r>
    </w:p>
    <w:p>
      <w:r>
        <w:t>Start with small web agencies and development teams shipping Next.js applications on Vercel. They can install an SDK on a staging or preview application and invite clients to review it. This is a planning assumption to validate with five prospective customers before expanding the scope.</w:t>
      </w:r>
    </w:p>
    <w:p>
      <w:pPr>
        <w:pStyle w:val="Heading2"/>
      </w:pPr>
      <w:r>
        <w:t>First release and differentiated beta</w:t>
      </w:r>
    </w:p>
    <w:p>
      <w:r>
        <w:t>Release A proves the review workflow: project → SDK installation → shared review → pinned issue with evidence → assignment → fix → human verification → approval. Release B adds limited real-user telemetry, AI enrichment, and narrowly defined automated checks. Together they represent the proposed MVP; Release A can enter a private pilot while Release B is built.</w:t>
      </w:r>
    </w:p>
    <w:p>
      <w:r>
        <w:t>The previous 30 features remain mapped in this plan. They are not 30 equally sized tasks. Proxy compatibility, capture fidelity, telemetry quality, and reliable verification require explicit engineering gates.</w:t>
      </w:r>
    </w:p>
    <w:p>
      <w:pPr>
        <w:pStyle w:val="Heading2"/>
      </w:pPr>
      <w:r>
        <w:t>Product promise</w:t>
      </w:r>
    </w:p>
    <w:p>
      <w:r>
        <w:t>Give developers enough evidence to reproduce a reported problem, make the review process clear for clients, and record what was checked before an issue was closed.</w:t>
      </w:r>
    </w:p>
    <w:p>
      <w:pPr>
        <w:pStyle w:val="Heading2"/>
      </w:pPr>
      <w:r>
        <w:t>Competitive correction</w:t>
      </w:r>
    </w:p>
    <w:p>
      <w:r>
        <w:t>Pastel already advertises guest feedback, element-pinned annotations, screenshots and browser context, approvals, task exports, and AI-agent access. These are baseline capabilities rather than defensible uniqueness. Our proposed distinction is connecting production behavior and deployment-specific evidence to repeatable verification. No claim of exclusive functionality should be made without a broader competitive audit. [1–2]</w:t>
      </w:r>
    </w:p>
    <w:p>
      <w:pPr>
        <w:pStyle w:val="Heading2"/>
      </w:pPr>
      <w:r>
        <w:t>How to use this plan</w:t>
      </w:r>
    </w:p>
    <w:p>
      <w:r>
        <w:t>Work through the backlog in dependency order. Treat each milestone gate as a release decision. Begin with the capture and anchoring prototype on page 6, rather than building the dashboard first. Estimates are engineering planning ranges, not delivery commitments.</w:t>
      </w:r>
    </w:p>
    <w:p>
      <w:pPr>
        <w:pStyle w:val="Heading1"/>
        <w:pageBreakBefore/>
      </w:pPr>
      <w:r>
        <w:t>Scope and release boundaries</w:t>
      </w:r>
    </w:p>
    <w:tbl>
      <w:tblPr>
        <w:tblW w:type="auto" w:w="0"/>
        <w:tblLayout w:type="fixed"/>
        <w:tblLook w:firstColumn="1" w:firstRow="1" w:lastColumn="0" w:lastRow="0" w:noHBand="0" w:noVBand="1" w:val="04A0"/>
      </w:tblPr>
      <w:tblGrid>
        <w:gridCol w:w="1944"/>
        <w:gridCol w:w="4032"/>
        <w:gridCol w:w="4104"/>
      </w:tblGrid>
      <w:tr>
        <w:trPr>
          <w:cantSplit/>
          <w:cantSplit/>
          <w:cantSplit/>
          <w:tblHeader/>
        </w:trPr>
        <w:tc>
          <w:tcPr>
            <w:tcW w:type="dxa" w:w="1944"/>
            <w:tcBorders>
              <w:top w:val="single" w:sz="4" w:color="D9D9D9"/>
              <w:left w:val="single" w:sz="4" w:color="D9D9D9"/>
              <w:bottom w:val="single" w:sz="4" w:color="D9D9D9"/>
              <w:right w:val="single" w:sz="4" w:color="D9D9D9"/>
            </w:tcBorders>
            <w:shd w:fill="E6EDF3"/>
          </w:tcPr>
          <w:p>
            <w:pPr>
              <w:spacing w:after="60" w:before="60"/>
            </w:pPr>
            <w:r>
              <w:rPr>
                <w:b/>
                <w:sz w:val="20"/>
              </w:rPr>
              <w:t>Capability group</w:t>
            </w:r>
          </w:p>
        </w:tc>
        <w:tc>
          <w:tcPr>
            <w:tcW w:type="dxa" w:w="4032"/>
            <w:tcBorders>
              <w:top w:val="single" w:sz="4" w:color="D9D9D9"/>
              <w:left w:val="single" w:sz="4" w:color="D9D9D9"/>
              <w:bottom w:val="single" w:sz="4" w:color="D9D9D9"/>
              <w:right w:val="single" w:sz="4" w:color="D9D9D9"/>
            </w:tcBorders>
            <w:shd w:fill="E6EDF3"/>
          </w:tcPr>
          <w:p>
            <w:pPr>
              <w:spacing w:after="60" w:before="60"/>
            </w:pPr>
            <w:r>
              <w:rPr>
                <w:b/>
                <w:sz w:val="20"/>
              </w:rPr>
              <w:t>Release A private pilot</w:t>
            </w:r>
          </w:p>
        </w:tc>
        <w:tc>
          <w:tcPr>
            <w:tcW w:type="dxa" w:w="4104"/>
            <w:tcBorders>
              <w:top w:val="single" w:sz="4" w:color="D9D9D9"/>
              <w:left w:val="single" w:sz="4" w:color="D9D9D9"/>
              <w:bottom w:val="single" w:sz="4" w:color="D9D9D9"/>
              <w:right w:val="single" w:sz="4" w:color="D9D9D9"/>
            </w:tcBorders>
            <w:shd w:fill="E6EDF3"/>
          </w:tcPr>
          <w:p>
            <w:pPr>
              <w:spacing w:after="60" w:before="60"/>
            </w:pPr>
            <w:r>
              <w:rPr>
                <w:b/>
                <w:sz w:val="20"/>
              </w:rPr>
              <w:t>Release B MVP beta</w:t>
            </w:r>
          </w:p>
        </w:tc>
      </w:tr>
      <w:tr>
        <w:trPr>
          <w:cantSplit/>
          <w:cantSplit/>
          <w:cantSplit/>
        </w:trPr>
        <w:tc>
          <w:tcPr>
            <w:tcW w:type="dxa" w:w="1944"/>
            <w:tcBorders>
              <w:top w:val="single" w:sz="4" w:color="D9D9D9"/>
              <w:left w:val="single" w:sz="4" w:color="D9D9D9"/>
              <w:bottom w:val="single" w:sz="4" w:color="D9D9D9"/>
              <w:right w:val="single" w:sz="4" w:color="D9D9D9"/>
            </w:tcBorders>
            <w:shd w:fill="FFFFFF"/>
          </w:tcPr>
          <w:p>
            <w:pPr>
              <w:spacing w:after="60" w:before="60"/>
            </w:pPr>
            <w:r>
              <w:rPr>
                <w:b w:val="0"/>
                <w:sz w:val="20"/>
              </w:rPr>
              <w:t>Accounts and projects</w:t>
            </w:r>
          </w:p>
        </w:tc>
        <w:tc>
          <w:tcPr>
            <w:tcW w:type="dxa" w:w="4032"/>
            <w:tcBorders>
              <w:top w:val="single" w:sz="4" w:color="D9D9D9"/>
              <w:left w:val="single" w:sz="4" w:color="D9D9D9"/>
              <w:bottom w:val="single" w:sz="4" w:color="D9D9D9"/>
              <w:right w:val="single" w:sz="4" w:color="D9D9D9"/>
            </w:tcBorders>
            <w:shd w:fill="FFFFFF"/>
          </w:tcPr>
          <w:p>
            <w:pPr>
              <w:spacing w:after="60" w:before="60"/>
            </w:pPr>
            <w:r>
              <w:rPr>
                <w:b w:val="0"/>
                <w:sz w:val="20"/>
              </w:rPr>
              <w:t>Organizations, members, projects, environments; owner, member and guest permissions.</w:t>
            </w:r>
          </w:p>
        </w:tc>
        <w:tc>
          <w:tcPr>
            <w:tcW w:type="dxa" w:w="4104"/>
            <w:tcBorders>
              <w:top w:val="single" w:sz="4" w:color="D9D9D9"/>
              <w:left w:val="single" w:sz="4" w:color="D9D9D9"/>
              <w:bottom w:val="single" w:sz="4" w:color="D9D9D9"/>
              <w:right w:val="single" w:sz="4" w:color="D9D9D9"/>
            </w:tcBorders>
            <w:shd w:fill="FFFFFF"/>
          </w:tcPr>
          <w:p>
            <w:pPr>
              <w:spacing w:after="60" w:before="60"/>
            </w:pPr>
            <w:r>
              <w:rPr>
                <w:b w:val="0"/>
                <w:sz w:val="20"/>
              </w:rPr>
              <w:t>Usage allowances and pilot billing readiness.</w:t>
            </w:r>
          </w:p>
        </w:tc>
      </w:tr>
      <w:tr>
        <w:trPr>
          <w:cantSplit/>
          <w:cantSplit/>
          <w:cantSplit/>
        </w:trPr>
        <w:tc>
          <w:tcPr>
            <w:tcW w:type="dxa" w:w="1944"/>
            <w:tcBorders>
              <w:top w:val="single" w:sz="4" w:color="D9D9D9"/>
              <w:left w:val="single" w:sz="4" w:color="D9D9D9"/>
              <w:bottom w:val="single" w:sz="4" w:color="D9D9D9"/>
              <w:right w:val="single" w:sz="4" w:color="D9D9D9"/>
            </w:tcBorders>
            <w:shd w:fill="FFFFFF"/>
          </w:tcPr>
          <w:p>
            <w:pPr>
              <w:spacing w:after="60" w:before="60"/>
            </w:pPr>
            <w:r>
              <w:rPr>
                <w:b w:val="0"/>
                <w:sz w:val="20"/>
              </w:rPr>
              <w:t>Installation and access</w:t>
            </w:r>
          </w:p>
        </w:tc>
        <w:tc>
          <w:tcPr>
            <w:tcW w:type="dxa" w:w="4032"/>
            <w:tcBorders>
              <w:top w:val="single" w:sz="4" w:color="D9D9D9"/>
              <w:left w:val="single" w:sz="4" w:color="D9D9D9"/>
              <w:bottom w:val="single" w:sz="4" w:color="D9D9D9"/>
              <w:right w:val="single" w:sz="4" w:color="D9D9D9"/>
            </w:tcBorders>
            <w:shd w:fill="FFFFFF"/>
          </w:tcPr>
          <w:p>
            <w:pPr>
              <w:spacing w:after="60" w:before="60"/>
            </w:pPr>
            <w:r>
              <w:rPr>
                <w:b w:val="0"/>
                <w:sz w:val="20"/>
              </w:rPr>
              <w:t>JavaScript SDK plus Next.js wrapper; domain verification; signed guest links.</w:t>
            </w:r>
          </w:p>
        </w:tc>
        <w:tc>
          <w:tcPr>
            <w:tcW w:type="dxa" w:w="4104"/>
            <w:tcBorders>
              <w:top w:val="single" w:sz="4" w:color="D9D9D9"/>
              <w:left w:val="single" w:sz="4" w:color="D9D9D9"/>
              <w:bottom w:val="single" w:sz="4" w:color="D9D9D9"/>
              <w:right w:val="single" w:sz="4" w:color="D9D9D9"/>
            </w:tcBorders>
            <w:shd w:fill="FFFFFF"/>
          </w:tcPr>
          <w:p>
            <w:pPr>
              <w:spacing w:after="60" w:before="60"/>
            </w:pPr>
            <w:r>
              <w:rPr>
                <w:b w:val="0"/>
                <w:sz w:val="20"/>
              </w:rPr>
              <w:t>Guided installation assistant; limited public-site proxy after compatibility gate.</w:t>
            </w:r>
          </w:p>
        </w:tc>
      </w:tr>
      <w:tr>
        <w:trPr>
          <w:cantSplit/>
          <w:cantSplit/>
          <w:cantSplit/>
        </w:trPr>
        <w:tc>
          <w:tcPr>
            <w:tcW w:type="dxa" w:w="1944"/>
            <w:tcBorders>
              <w:top w:val="single" w:sz="4" w:color="D9D9D9"/>
              <w:left w:val="single" w:sz="4" w:color="D9D9D9"/>
              <w:bottom w:val="single" w:sz="4" w:color="D9D9D9"/>
              <w:right w:val="single" w:sz="4" w:color="D9D9D9"/>
            </w:tcBorders>
            <w:shd w:fill="FFFFFF"/>
          </w:tcPr>
          <w:p>
            <w:pPr>
              <w:spacing w:after="60" w:before="60"/>
            </w:pPr>
            <w:r>
              <w:rPr>
                <w:b w:val="0"/>
                <w:sz w:val="20"/>
              </w:rPr>
              <w:t>Visual feedback</w:t>
            </w:r>
          </w:p>
        </w:tc>
        <w:tc>
          <w:tcPr>
            <w:tcW w:type="dxa" w:w="4032"/>
            <w:tcBorders>
              <w:top w:val="single" w:sz="4" w:color="D9D9D9"/>
              <w:left w:val="single" w:sz="4" w:color="D9D9D9"/>
              <w:bottom w:val="single" w:sz="4" w:color="D9D9D9"/>
              <w:right w:val="single" w:sz="4" w:color="D9D9D9"/>
            </w:tcBorders>
            <w:shd w:fill="FFFFFF"/>
          </w:tcPr>
          <w:p>
            <w:pPr>
              <w:spacing w:after="60" w:before="60"/>
            </w:pPr>
            <w:r>
              <w:rPr>
                <w:b w:val="0"/>
                <w:sz w:val="20"/>
              </w:rPr>
              <w:t>Browse and comment modes, element anchors, screenshots, technical context; real device support.</w:t>
            </w:r>
          </w:p>
        </w:tc>
        <w:tc>
          <w:tcPr>
            <w:tcW w:type="dxa" w:w="4104"/>
            <w:tcBorders>
              <w:top w:val="single" w:sz="4" w:color="D9D9D9"/>
              <w:left w:val="single" w:sz="4" w:color="D9D9D9"/>
              <w:bottom w:val="single" w:sz="4" w:color="D9D9D9"/>
              <w:right w:val="single" w:sz="4" w:color="D9D9D9"/>
            </w:tcBorders>
            <w:shd w:fill="FFFFFF"/>
          </w:tcPr>
          <w:p>
            <w:pPr>
              <w:spacing w:after="60" w:before="60"/>
            </w:pPr>
            <w:r>
              <w:rPr>
                <w:b w:val="0"/>
                <w:sz w:val="20"/>
              </w:rPr>
              <w:t>Confidence-based reanchoring and improved capture compatibility.</w:t>
            </w:r>
          </w:p>
        </w:tc>
      </w:tr>
      <w:tr>
        <w:trPr>
          <w:cantSplit/>
          <w:cantSplit/>
          <w:cantSplit/>
        </w:trPr>
        <w:tc>
          <w:tcPr>
            <w:tcW w:type="dxa" w:w="1944"/>
            <w:tcBorders>
              <w:top w:val="single" w:sz="4" w:color="D9D9D9"/>
              <w:left w:val="single" w:sz="4" w:color="D9D9D9"/>
              <w:bottom w:val="single" w:sz="4" w:color="D9D9D9"/>
              <w:right w:val="single" w:sz="4" w:color="D9D9D9"/>
            </w:tcBorders>
            <w:shd w:fill="FFFFFF"/>
          </w:tcPr>
          <w:p>
            <w:pPr>
              <w:spacing w:after="60" w:before="60"/>
            </w:pPr>
            <w:r>
              <w:rPr>
                <w:b w:val="0"/>
                <w:sz w:val="20"/>
              </w:rPr>
              <w:t>Issues and approval</w:t>
            </w:r>
          </w:p>
        </w:tc>
        <w:tc>
          <w:tcPr>
            <w:tcW w:type="dxa" w:w="4032"/>
            <w:tcBorders>
              <w:top w:val="single" w:sz="4" w:color="D9D9D9"/>
              <w:left w:val="single" w:sz="4" w:color="D9D9D9"/>
              <w:bottom w:val="single" w:sz="4" w:color="D9D9D9"/>
              <w:right w:val="single" w:sz="4" w:color="D9D9D9"/>
            </w:tcBorders>
            <w:shd w:fill="FFFFFF"/>
          </w:tcPr>
          <w:p>
            <w:pPr>
              <w:spacing w:after="60" w:before="60"/>
            </w:pPr>
            <w:r>
              <w:rPr>
                <w:b w:val="0"/>
                <w:sz w:val="20"/>
              </w:rPr>
              <w:t>Assignment, priority, replies, reopen, history, email, issue list and review approval.</w:t>
            </w:r>
          </w:p>
        </w:tc>
        <w:tc>
          <w:tcPr>
            <w:tcW w:type="dxa" w:w="4104"/>
            <w:tcBorders>
              <w:top w:val="single" w:sz="4" w:color="D9D9D9"/>
              <w:left w:val="single" w:sz="4" w:color="D9D9D9"/>
              <w:bottom w:val="single" w:sz="4" w:color="D9D9D9"/>
              <w:right w:val="single" w:sz="4" w:color="D9D9D9"/>
            </w:tcBorders>
            <w:shd w:fill="FFFFFF"/>
          </w:tcPr>
          <w:p>
            <w:pPr>
              <w:spacing w:after="60" w:before="60"/>
            </w:pPr>
            <w:r>
              <w:rPr>
                <w:b w:val="0"/>
                <w:sz w:val="20"/>
              </w:rPr>
              <w:t>AI issue enrichment and evidence-linked suggestions.</w:t>
            </w:r>
          </w:p>
        </w:tc>
      </w:tr>
      <w:tr>
        <w:trPr>
          <w:cantSplit/>
          <w:cantSplit/>
          <w:cantSplit/>
        </w:trPr>
        <w:tc>
          <w:tcPr>
            <w:tcW w:type="dxa" w:w="1944"/>
            <w:tcBorders>
              <w:top w:val="single" w:sz="4" w:color="D9D9D9"/>
              <w:left w:val="single" w:sz="4" w:color="D9D9D9"/>
              <w:bottom w:val="single" w:sz="4" w:color="D9D9D9"/>
              <w:right w:val="single" w:sz="4" w:color="D9D9D9"/>
            </w:tcBorders>
            <w:shd w:fill="FFFFFF"/>
          </w:tcPr>
          <w:p>
            <w:pPr>
              <w:spacing w:after="60" w:before="60"/>
            </w:pPr>
            <w:r>
              <w:rPr>
                <w:b w:val="0"/>
                <w:sz w:val="20"/>
              </w:rPr>
              <w:t>Behavior and errors</w:t>
            </w:r>
          </w:p>
        </w:tc>
        <w:tc>
          <w:tcPr>
            <w:tcW w:type="dxa" w:w="4032"/>
            <w:tcBorders>
              <w:top w:val="single" w:sz="4" w:color="D9D9D9"/>
              <w:left w:val="single" w:sz="4" w:color="D9D9D9"/>
              <w:bottom w:val="single" w:sz="4" w:color="D9D9D9"/>
              <w:right w:val="single" w:sz="4" w:color="D9D9D9"/>
            </w:tcBorders>
            <w:shd w:fill="FFFFFF"/>
          </w:tcPr>
          <w:p>
            <w:pPr>
              <w:spacing w:after="60" w:before="60"/>
            </w:pPr>
            <w:r>
              <w:rPr>
                <w:b w:val="0"/>
                <w:sz w:val="20"/>
              </w:rPr>
              <w:t>Event contract designed; analytics disabled.</w:t>
            </w:r>
          </w:p>
        </w:tc>
        <w:tc>
          <w:tcPr>
            <w:tcW w:type="dxa" w:w="4104"/>
            <w:tcBorders>
              <w:top w:val="single" w:sz="4" w:color="D9D9D9"/>
              <w:left w:val="single" w:sz="4" w:color="D9D9D9"/>
              <w:bottom w:val="single" w:sz="4" w:color="D9D9D9"/>
              <w:right w:val="single" w:sz="4" w:color="D9D9D9"/>
            </w:tcBorders>
            <w:shd w:fill="FFFFFF"/>
          </w:tcPr>
          <w:p>
            <w:pPr>
              <w:spacing w:after="60" w:before="60"/>
            </w:pPr>
            <w:r>
              <w:rPr>
                <w:b w:val="0"/>
                <w:sz w:val="20"/>
              </w:rPr>
              <w:t>Opt-in views, clicks, scroll, repeat-click signals and sanitized JS errors; basic heatmaps.</w:t>
            </w:r>
          </w:p>
        </w:tc>
      </w:tr>
      <w:tr>
        <w:trPr>
          <w:cantSplit/>
          <w:cantSplit/>
          <w:cantSplit/>
        </w:trPr>
        <w:tc>
          <w:tcPr>
            <w:tcW w:type="dxa" w:w="1944"/>
            <w:tcBorders>
              <w:top w:val="single" w:sz="4" w:color="D9D9D9"/>
              <w:left w:val="single" w:sz="4" w:color="D9D9D9"/>
              <w:bottom w:val="single" w:sz="4" w:color="D9D9D9"/>
              <w:right w:val="single" w:sz="4" w:color="D9D9D9"/>
            </w:tcBorders>
            <w:shd w:fill="FFFFFF"/>
          </w:tcPr>
          <w:p>
            <w:pPr>
              <w:spacing w:after="60" w:before="60"/>
            </w:pPr>
            <w:r>
              <w:rPr>
                <w:b w:val="0"/>
                <w:sz w:val="20"/>
              </w:rPr>
              <w:t>Verification</w:t>
            </w:r>
          </w:p>
        </w:tc>
        <w:tc>
          <w:tcPr>
            <w:tcW w:type="dxa" w:w="4032"/>
            <w:tcBorders>
              <w:top w:val="single" w:sz="4" w:color="D9D9D9"/>
              <w:left w:val="single" w:sz="4" w:color="D9D9D9"/>
              <w:bottom w:val="single" w:sz="4" w:color="D9D9D9"/>
              <w:right w:val="single" w:sz="4" w:color="D9D9D9"/>
            </w:tcBorders>
            <w:shd w:fill="FFFFFF"/>
          </w:tcPr>
          <w:p>
            <w:pPr>
              <w:spacing w:after="60" w:before="60"/>
            </w:pPr>
            <w:r>
              <w:rPr>
                <w:b w:val="0"/>
                <w:sz w:val="20"/>
              </w:rPr>
              <w:t>Human verification with new evidence and recorded environment/version.</w:t>
            </w:r>
          </w:p>
        </w:tc>
        <w:tc>
          <w:tcPr>
            <w:tcW w:type="dxa" w:w="4104"/>
            <w:tcBorders>
              <w:top w:val="single" w:sz="4" w:color="D9D9D9"/>
              <w:left w:val="single" w:sz="4" w:color="D9D9D9"/>
              <w:bottom w:val="single" w:sz="4" w:color="D9D9D9"/>
              <w:right w:val="single" w:sz="4" w:color="D9D9D9"/>
            </w:tcBorders>
            <w:shd w:fill="FFFFFF"/>
          </w:tcPr>
          <w:p>
            <w:pPr>
              <w:spacing w:after="60" w:before="60"/>
            </w:pPr>
            <w:r>
              <w:rPr>
                <w:b w:val="0"/>
                <w:sz w:val="20"/>
              </w:rPr>
              <w:t>Allowlisted objective checks and AI assessment; uncertain results return to reviewer.</w:t>
            </w:r>
          </w:p>
        </w:tc>
      </w:tr>
      <w:tr>
        <w:trPr>
          <w:cantSplit/>
          <w:cantSplit/>
          <w:cantSplit/>
        </w:trPr>
        <w:tc>
          <w:tcPr>
            <w:tcW w:type="dxa" w:w="1944"/>
            <w:tcBorders>
              <w:top w:val="single" w:sz="4" w:color="D9D9D9"/>
              <w:left w:val="single" w:sz="4" w:color="D9D9D9"/>
              <w:bottom w:val="single" w:sz="4" w:color="D9D9D9"/>
              <w:right w:val="single" w:sz="4" w:color="D9D9D9"/>
            </w:tcBorders>
            <w:shd w:fill="FFFFFF"/>
          </w:tcPr>
          <w:p>
            <w:pPr>
              <w:spacing w:after="60" w:before="60"/>
            </w:pPr>
            <w:r>
              <w:rPr>
                <w:b w:val="0"/>
                <w:sz w:val="20"/>
              </w:rPr>
              <w:t>Privacy and operations</w:t>
            </w:r>
          </w:p>
        </w:tc>
        <w:tc>
          <w:tcPr>
            <w:tcW w:type="dxa" w:w="4032"/>
            <w:tcBorders>
              <w:top w:val="single" w:sz="4" w:color="D9D9D9"/>
              <w:left w:val="single" w:sz="4" w:color="D9D9D9"/>
              <w:bottom w:val="single" w:sz="4" w:color="D9D9D9"/>
              <w:right w:val="single" w:sz="4" w:color="D9D9D9"/>
            </w:tcBorders>
            <w:shd w:fill="FFFFFF"/>
          </w:tcPr>
          <w:p>
            <w:pPr>
              <w:spacing w:after="60" w:before="60"/>
            </w:pPr>
            <w:r>
              <w:rPr>
                <w:b w:val="0"/>
                <w:sz w:val="20"/>
              </w:rPr>
              <w:t>Masking, excluded regions, access controls, deletion, retry handling and cost counters.</w:t>
            </w:r>
          </w:p>
        </w:tc>
        <w:tc>
          <w:tcPr>
            <w:tcW w:type="dxa" w:w="4104"/>
            <w:tcBorders>
              <w:top w:val="single" w:sz="4" w:color="D9D9D9"/>
              <w:left w:val="single" w:sz="4" w:color="D9D9D9"/>
              <w:bottom w:val="single" w:sz="4" w:color="D9D9D9"/>
              <w:right w:val="single" w:sz="4" w:color="D9D9D9"/>
            </w:tcBorders>
            <w:shd w:fill="FFFFFF"/>
          </w:tcPr>
          <w:p>
            <w:pPr>
              <w:spacing w:after="60" w:before="60"/>
            </w:pPr>
            <w:r>
              <w:rPr>
                <w:b w:val="0"/>
                <w:sz w:val="20"/>
              </w:rPr>
              <w:t>Consent gating, short raw-event retention, aggregates and tenant quotas.</w:t>
            </w:r>
          </w:p>
        </w:tc>
      </w:tr>
    </w:tbl>
    <w:p>
      <w:pPr>
        <w:pStyle w:val="Heading2"/>
      </w:pPr>
      <w:r>
        <w:t>Explicitly deferred</w:t>
      </w:r>
    </w:p>
    <w:p>
      <w:r>
        <w:t>Session replay, advanced funnels, full accessibility certification, SEO suites, uptime services, cross-browser test farms, native mobile SDKs, competitor crawling, automatic coding or PR creation, Jira/Linear integrations, white-label portals, and custom reporting. Keep a structured issue export in the MVP so teams can move evidence into existing tools manually.</w:t>
      </w:r>
    </w:p>
    <w:p>
      <w:pPr>
        <w:pStyle w:val="Heading2"/>
      </w:pPr>
      <w:r>
        <w:t>No install is a limited product capability</w:t>
      </w:r>
    </w:p>
    <w:p>
      <w:r>
        <w:t>Release B proxy support targets public informational websites first. It must not promise support for every application. Authentication, third-party cookies, CSP, service workers, cross-origin assets and complex routing can break a proxy experience. If unsupported, offer an SDK installation path or uploaded screenshot review; clearly label screenshot annotations as static.</w:t>
      </w:r>
    </w:p>
    <w:p>
      <w:pPr>
        <w:pStyle w:val="Heading2"/>
      </w:pPr>
      <w:r>
        <w:t>Approval means approval of a recorded version</w:t>
      </w:r>
    </w:p>
    <w:p>
      <w:r>
        <w:t>An approval stores the approver, time, review, environment, deployment identifier or manual version label, and evidence. If the deployment changes, display the prior approval as historical and require a fresh approval. Do not imply that approving one version approves all future changes.</w:t>
      </w:r>
    </w:p>
    <w:p>
      <w:pPr>
        <w:pStyle w:val="Heading1"/>
        <w:pageBreakBefore/>
      </w:pPr>
      <w:r>
        <w:t>User workflows and acceptance criteria</w:t>
      </w:r>
    </w:p>
    <w:p>
      <w:pPr>
        <w:pStyle w:val="Heading2"/>
      </w:pPr>
      <w:r>
        <w:t>Create and share a review</w:t>
      </w:r>
    </w:p>
    <w:p>
      <w:r>
        <w:t>A project owner registers an allowed domain and environment, installs the SDK, and runs an installation check. The owner creates a review and shares an expiring, revocable link scoped to that review. SDK review runs in the actual site, preserving its existing authentication. A one-time exchange establishes a short-lived review session; remove the token from the URL immediately. Public SDK identifiers authorize no private reads.</w:t>
      </w:r>
    </w:p>
    <w:p>
      <w:pPr>
        <w:pStyle w:val="ListBullet"/>
      </w:pPr>
      <w:r>
        <w:t>Accept when a guest can open a review, navigate allowed routes, switch between browse and comment, and submit feedback without becoming an organization member. Existing application authentication remains independent.</w:t>
      </w:r>
    </w:p>
    <w:p>
      <w:pPr>
        <w:pStyle w:val="Heading2"/>
      </w:pPr>
      <w:r>
        <w:t>Capture an issue</w:t>
      </w:r>
    </w:p>
    <w:p>
      <w:r>
        <w:t>A click selects an element and opens feedback entry. Submission saves the original words, element fingerprint, URL with sensitive parameters removed, viewport, browser, timestamp, environment, available deployment identifier, and capture status. The SDK never reads passwords or arbitrary field values.</w:t>
      </w:r>
    </w:p>
    <w:p>
      <w:pPr>
        <w:pStyle w:val="ListBullet"/>
      </w:pPr>
      <w:r>
        <w:t>Accept when an issue is saved once despite retries; screenshot failure is visible and does not lose the comment. A DOM-generated image must be labeled a reconstruction; a new worker screenshot must be labeled a later capture. Neither may silently claim to be the exact original browser image.</w:t>
      </w:r>
    </w:p>
    <w:p>
      <w:pPr>
        <w:pStyle w:val="Heading2"/>
      </w:pPr>
      <w:r>
        <w:t>Anchor and triage</w:t>
      </w:r>
    </w:p>
    <w:p>
      <w:r>
        <w:t>Prefer a developer-provided stable data attribute. Fall back to allowed attributes, structural paths and normalized position; collect text only when enabled and masked. Store match confidence. If a new page has multiple plausible matches or no confident match, preserve original evidence and let a reviewer relink the issue.</w:t>
      </w:r>
    </w:p>
    <w:p>
      <w:pPr>
        <w:pStyle w:val="ListBullet"/>
      </w:pPr>
      <w:r>
        <w:t>Accept when tested layout shifts retain the correct anchor and ambiguous matches are flagged instead of attaching feedback to the wrong control. The owner can assign, prioritize, filter, reply and reopen.</w:t>
      </w:r>
    </w:p>
    <w:p>
      <w:pPr>
        <w:pStyle w:val="Heading2"/>
      </w:pPr>
      <w:r>
        <w:t>Fix and verify</w:t>
      </w:r>
    </w:p>
    <w:p>
      <w:r>
        <w:t>Workflow: Open → In progress → Ready for verification → Verified → Closed. Assignment and priority are separate fields. Verification can fail back to In progress. A reviewer can reopen a closed issue with a reason. Only an authorized reviewer approves and closes; a developer can mark work ready for verification.</w:t>
      </w:r>
    </w:p>
    <w:p>
      <w:pPr>
        <w:pStyle w:val="ListBullet"/>
      </w:pPr>
      <w:r>
        <w:t>Accept when verification records the checked URL, version, viewport, evidence, method and outcome. MVP automated methods are explicit assertions such as element visibility, bounding-box overlap or a named test hook. AI can propose an assessment but cannot certify subjective fixes or close issues automatically.</w:t>
      </w:r>
    </w:p>
    <w:p>
      <w:pPr>
        <w:pStyle w:val="Heading2"/>
      </w:pPr>
      <w:r>
        <w:t>Show behavioral context</w:t>
      </w:r>
    </w:p>
    <w:p>
      <w:r>
        <w:t>Display counts with time window, sample size, environment and version. Show “no data collected” distinctly from zero events. Repeat-click and dead-click signals are heuristics; asynchronous interactions can be legitimate. AI separates recorded facts, hypotheses and missing information.</w:t>
      </w:r>
    </w:p>
    <w:p>
      <w:pPr>
        <w:pStyle w:val="ListBullet"/>
      </w:pPr>
      <w:r>
        <w:t>Accept when consent prevents analytics transmission, synthetic test clicks appear in the correct aggregate, preview/reviewer traffic is excluded, and issue evidence never claims that correlation proves a cause.</w:t>
      </w:r>
    </w:p>
    <w:p>
      <w:pPr>
        <w:pStyle w:val="Heading1"/>
        <w:pageBreakBefore/>
      </w:pPr>
      <w:r>
        <w:t>Architecture and implementation choices</w:t>
      </w:r>
    </w:p>
    <w:p>
      <w:r>
        <w:t>Recommended baseline: TypeScript monorepo; Next.js dashboard on Vercel; managed PostgreSQL and authentication through Supabase; Cloudflare R2 for private evidence objects; a durable job queue and container browser worker. These are proposed implementation choices, not provider purchases or validated price quotes.</w:t>
      </w:r>
    </w:p>
    <w:tbl>
      <w:tblPr>
        <w:tblW w:type="auto" w:w="0"/>
        <w:tblLayout w:type="fixed"/>
        <w:tblLook w:firstColumn="1" w:firstRow="1" w:lastColumn="0" w:lastRow="0" w:noHBand="0" w:noVBand="1" w:val="04A0"/>
      </w:tblPr>
      <w:tblGrid>
        <w:gridCol w:w="1728"/>
        <w:gridCol w:w="4392"/>
        <w:gridCol w:w="3960"/>
      </w:tblGrid>
      <w:tr>
        <w:trPr>
          <w:cantSplit/>
          <w:cantSplit/>
          <w:cantSplit/>
          <w:tblHeader/>
        </w:trPr>
        <w:tc>
          <w:tcPr>
            <w:tcW w:type="dxa" w:w="1728"/>
            <w:tcBorders>
              <w:top w:val="single" w:sz="4" w:color="D9D9D9"/>
              <w:left w:val="single" w:sz="4" w:color="D9D9D9"/>
              <w:bottom w:val="single" w:sz="4" w:color="D9D9D9"/>
              <w:right w:val="single" w:sz="4" w:color="D9D9D9"/>
            </w:tcBorders>
            <w:shd w:fill="E6EDF3"/>
          </w:tcPr>
          <w:p>
            <w:pPr>
              <w:spacing w:after="60" w:before="60"/>
            </w:pPr>
            <w:r>
              <w:rPr>
                <w:b/>
                <w:sz w:val="20"/>
              </w:rPr>
              <w:t>Component</w:t>
            </w:r>
          </w:p>
        </w:tc>
        <w:tc>
          <w:tcPr>
            <w:tcW w:type="dxa" w:w="4392"/>
            <w:tcBorders>
              <w:top w:val="single" w:sz="4" w:color="D9D9D9"/>
              <w:left w:val="single" w:sz="4" w:color="D9D9D9"/>
              <w:bottom w:val="single" w:sz="4" w:color="D9D9D9"/>
              <w:right w:val="single" w:sz="4" w:color="D9D9D9"/>
            </w:tcBorders>
            <w:shd w:fill="E6EDF3"/>
          </w:tcPr>
          <w:p>
            <w:pPr>
              <w:spacing w:after="60" w:before="60"/>
            </w:pPr>
            <w:r>
              <w:rPr>
                <w:b/>
                <w:sz w:val="20"/>
              </w:rPr>
              <w:t>Responsibility</w:t>
            </w:r>
          </w:p>
        </w:tc>
        <w:tc>
          <w:tcPr>
            <w:tcW w:type="dxa" w:w="3960"/>
            <w:tcBorders>
              <w:top w:val="single" w:sz="4" w:color="D9D9D9"/>
              <w:left w:val="single" w:sz="4" w:color="D9D9D9"/>
              <w:bottom w:val="single" w:sz="4" w:color="D9D9D9"/>
              <w:right w:val="single" w:sz="4" w:color="D9D9D9"/>
            </w:tcBorders>
            <w:shd w:fill="E6EDF3"/>
          </w:tcPr>
          <w:p>
            <w:pPr>
              <w:spacing w:after="60" w:before="60"/>
            </w:pPr>
            <w:r>
              <w:rPr>
                <w:b/>
                <w:sz w:val="20"/>
              </w:rPr>
              <w:t>Boundary</w:t>
            </w:r>
          </w:p>
        </w:tc>
      </w:tr>
      <w:tr>
        <w:trPr>
          <w:cantSplit/>
          <w:cantSplit/>
          <w:cantSplit/>
        </w:trPr>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Next.js dashboard</w:t>
            </w:r>
          </w:p>
        </w:tc>
        <w:tc>
          <w:tcPr>
            <w:tcW w:type="dxa" w:w="4392"/>
            <w:tcBorders>
              <w:top w:val="single" w:sz="4" w:color="D9D9D9"/>
              <w:left w:val="single" w:sz="4" w:color="D9D9D9"/>
              <w:bottom w:val="single" w:sz="4" w:color="D9D9D9"/>
              <w:right w:val="single" w:sz="4" w:color="D9D9D9"/>
            </w:tcBorders>
            <w:shd w:fill="FFFFFF"/>
          </w:tcPr>
          <w:p>
            <w:pPr>
              <w:spacing w:after="60" w:before="60"/>
            </w:pPr>
            <w:r>
              <w:rPr>
                <w:b w:val="0"/>
                <w:sz w:val="20"/>
              </w:rPr>
              <w:t>Organizations, project setup, reviews, issues, permissions, approval and job orchestration.</w:t>
            </w:r>
          </w:p>
        </w:tc>
        <w:tc>
          <w:tcPr>
            <w:tcW w:type="dxa" w:w="3960"/>
            <w:tcBorders>
              <w:top w:val="single" w:sz="4" w:color="D9D9D9"/>
              <w:left w:val="single" w:sz="4" w:color="D9D9D9"/>
              <w:bottom w:val="single" w:sz="4" w:color="D9D9D9"/>
              <w:right w:val="single" w:sz="4" w:color="D9D9D9"/>
            </w:tcBorders>
            <w:shd w:fill="FFFFFF"/>
          </w:tcPr>
          <w:p>
            <w:pPr>
              <w:spacing w:after="60" w:before="60"/>
            </w:pPr>
            <w:r>
              <w:rPr>
                <w:b w:val="0"/>
                <w:sz w:val="20"/>
              </w:rPr>
              <w:t>Short requests; no browser or AI job in the issue-save transaction.</w:t>
            </w:r>
          </w:p>
        </w:tc>
      </w:tr>
      <w:tr>
        <w:trPr>
          <w:cantSplit/>
          <w:cantSplit/>
          <w:cantSplit/>
        </w:trPr>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Browser SDK</w:t>
            </w:r>
          </w:p>
        </w:tc>
        <w:tc>
          <w:tcPr>
            <w:tcW w:type="dxa" w:w="4392"/>
            <w:tcBorders>
              <w:top w:val="single" w:sz="4" w:color="D9D9D9"/>
              <w:left w:val="single" w:sz="4" w:color="D9D9D9"/>
              <w:bottom w:val="single" w:sz="4" w:color="D9D9D9"/>
              <w:right w:val="single" w:sz="4" w:color="D9D9D9"/>
            </w:tcBorders>
            <w:shd w:fill="FFFFFF"/>
          </w:tcPr>
          <w:p>
            <w:pPr>
              <w:spacing w:after="60" w:before="60"/>
            </w:pPr>
            <w:r>
              <w:rPr>
                <w:b w:val="0"/>
                <w:sz w:val="20"/>
              </w:rPr>
              <w:t>Overlay, anchors, capture adapter, route changes, opt-in telemetry and errors.</w:t>
            </w:r>
          </w:p>
        </w:tc>
        <w:tc>
          <w:tcPr>
            <w:tcW w:type="dxa" w:w="3960"/>
            <w:tcBorders>
              <w:top w:val="single" w:sz="4" w:color="D9D9D9"/>
              <w:left w:val="single" w:sz="4" w:color="D9D9D9"/>
              <w:bottom w:val="single" w:sz="4" w:color="D9D9D9"/>
              <w:right w:val="single" w:sz="4" w:color="D9D9D9"/>
            </w:tcBorders>
            <w:shd w:fill="FFFFFF"/>
          </w:tcPr>
          <w:p>
            <w:pPr>
              <w:spacing w:after="60" w:before="60"/>
            </w:pPr>
            <w:r>
              <w:rPr>
                <w:b w:val="0"/>
                <w:sz w:val="20"/>
              </w:rPr>
              <w:t>Framework-independent core; lazy-loaded review UI and separate analytics module.</w:t>
            </w:r>
          </w:p>
        </w:tc>
      </w:tr>
      <w:tr>
        <w:trPr>
          <w:cantSplit/>
          <w:cantSplit/>
          <w:cantSplit/>
        </w:trPr>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PostgreSQL</w:t>
            </w:r>
          </w:p>
        </w:tc>
        <w:tc>
          <w:tcPr>
            <w:tcW w:type="dxa" w:w="4392"/>
            <w:tcBorders>
              <w:top w:val="single" w:sz="4" w:color="D9D9D9"/>
              <w:left w:val="single" w:sz="4" w:color="D9D9D9"/>
              <w:bottom w:val="single" w:sz="4" w:color="D9D9D9"/>
              <w:right w:val="single" w:sz="4" w:color="D9D9D9"/>
            </w:tcBorders>
            <w:shd w:fill="FFFFFF"/>
          </w:tcPr>
          <w:p>
            <w:pPr>
              <w:spacing w:after="60" w:before="60"/>
            </w:pPr>
            <w:r>
              <w:rPr>
                <w:b w:val="0"/>
                <w:sz w:val="20"/>
              </w:rPr>
              <w:t>Accounts, reviews, issues, evidence metadata, jobs, audit trail; bounded pilot aggregates.</w:t>
            </w:r>
          </w:p>
        </w:tc>
        <w:tc>
          <w:tcPr>
            <w:tcW w:type="dxa" w:w="3960"/>
            <w:tcBorders>
              <w:top w:val="single" w:sz="4" w:color="D9D9D9"/>
              <w:left w:val="single" w:sz="4" w:color="D9D9D9"/>
              <w:bottom w:val="single" w:sz="4" w:color="D9D9D9"/>
              <w:right w:val="single" w:sz="4" w:color="D9D9D9"/>
            </w:tcBorders>
            <w:shd w:fill="FFFFFF"/>
          </w:tcPr>
          <w:p>
            <w:pPr>
              <w:spacing w:after="60" w:before="60"/>
            </w:pPr>
            <w:r>
              <w:rPr>
                <w:b w:val="0"/>
                <w:sz w:val="20"/>
              </w:rPr>
              <w:t>Tenant-scoped access and indexes; no unbounded raw-event history.</w:t>
            </w:r>
          </w:p>
        </w:tc>
      </w:tr>
      <w:tr>
        <w:trPr>
          <w:cantSplit/>
          <w:cantSplit/>
          <w:cantSplit/>
        </w:trPr>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Ingestion service</w:t>
            </w:r>
          </w:p>
        </w:tc>
        <w:tc>
          <w:tcPr>
            <w:tcW w:type="dxa" w:w="4392"/>
            <w:tcBorders>
              <w:top w:val="single" w:sz="4" w:color="D9D9D9"/>
              <w:left w:val="single" w:sz="4" w:color="D9D9D9"/>
              <w:bottom w:val="single" w:sz="4" w:color="D9D9D9"/>
              <w:right w:val="single" w:sz="4" w:color="D9D9D9"/>
            </w:tcBorders>
            <w:shd w:fill="FFFFFF"/>
          </w:tcPr>
          <w:p>
            <w:pPr>
              <w:spacing w:after="60" w:before="60"/>
            </w:pPr>
            <w:r>
              <w:rPr>
                <w:b w:val="0"/>
                <w:sz w:val="20"/>
              </w:rPr>
              <w:t>Validate batches, apply quotas, deduplicate, remove forbidden fields and enqueue events.</w:t>
            </w:r>
          </w:p>
        </w:tc>
        <w:tc>
          <w:tcPr>
            <w:tcW w:type="dxa" w:w="3960"/>
            <w:tcBorders>
              <w:top w:val="single" w:sz="4" w:color="D9D9D9"/>
              <w:left w:val="single" w:sz="4" w:color="D9D9D9"/>
              <w:bottom w:val="single" w:sz="4" w:color="D9D9D9"/>
              <w:right w:val="single" w:sz="4" w:color="D9D9D9"/>
            </w:tcBorders>
            <w:shd w:fill="FFFFFF"/>
          </w:tcPr>
          <w:p>
            <w:pPr>
              <w:spacing w:after="60" w:before="60"/>
            </w:pPr>
            <w:r>
              <w:rPr>
                <w:b w:val="0"/>
                <w:sz w:val="20"/>
              </w:rPr>
              <w:t>Separate endpoint and deployment; origin checks reduce abuse but are not authentication.</w:t>
            </w:r>
          </w:p>
        </w:tc>
      </w:tr>
      <w:tr>
        <w:trPr>
          <w:cantSplit/>
          <w:cantSplit/>
          <w:cantSplit/>
        </w:trPr>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Queue and workers</w:t>
            </w:r>
          </w:p>
        </w:tc>
        <w:tc>
          <w:tcPr>
            <w:tcW w:type="dxa" w:w="4392"/>
            <w:tcBorders>
              <w:top w:val="single" w:sz="4" w:color="D9D9D9"/>
              <w:left w:val="single" w:sz="4" w:color="D9D9D9"/>
              <w:bottom w:val="single" w:sz="4" w:color="D9D9D9"/>
              <w:right w:val="single" w:sz="4" w:color="D9D9D9"/>
            </w:tcBorders>
            <w:shd w:fill="FFFFFF"/>
          </w:tcPr>
          <w:p>
            <w:pPr>
              <w:spacing w:after="60" w:before="60"/>
            </w:pPr>
            <w:r>
              <w:rPr>
                <w:b w:val="0"/>
                <w:sz w:val="20"/>
              </w:rPr>
              <w:t>Capture, verification, optional page inspection, AI calls and aggregate processing.</w:t>
            </w:r>
          </w:p>
        </w:tc>
        <w:tc>
          <w:tcPr>
            <w:tcW w:type="dxa" w:w="3960"/>
            <w:tcBorders>
              <w:top w:val="single" w:sz="4" w:color="D9D9D9"/>
              <w:left w:val="single" w:sz="4" w:color="D9D9D9"/>
              <w:bottom w:val="single" w:sz="4" w:color="D9D9D9"/>
              <w:right w:val="single" w:sz="4" w:color="D9D9D9"/>
            </w:tcBorders>
            <w:shd w:fill="FFFFFF"/>
          </w:tcPr>
          <w:p>
            <w:pPr>
              <w:spacing w:after="60" w:before="60"/>
            </w:pPr>
            <w:r>
              <w:rPr>
                <w:b w:val="0"/>
                <w:sz w:val="20"/>
              </w:rPr>
              <w:t>Idempotency, bounded retries, dead-letter handling and cost/time ceilings.</w:t>
            </w:r>
          </w:p>
        </w:tc>
      </w:tr>
      <w:tr>
        <w:trPr>
          <w:cantSplit/>
          <w:cantSplit/>
          <w:cantSplit/>
        </w:trPr>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Private object store</w:t>
            </w:r>
          </w:p>
        </w:tc>
        <w:tc>
          <w:tcPr>
            <w:tcW w:type="dxa" w:w="4392"/>
            <w:tcBorders>
              <w:top w:val="single" w:sz="4" w:color="D9D9D9"/>
              <w:left w:val="single" w:sz="4" w:color="D9D9D9"/>
              <w:bottom w:val="single" w:sz="4" w:color="D9D9D9"/>
              <w:right w:val="single" w:sz="4" w:color="D9D9D9"/>
            </w:tcBorders>
            <w:shd w:fill="FFFFFF"/>
          </w:tcPr>
          <w:p>
            <w:pPr>
              <w:spacing w:after="60" w:before="60"/>
            </w:pPr>
            <w:r>
              <w:rPr>
                <w:b w:val="0"/>
                <w:sz w:val="20"/>
              </w:rPr>
              <w:t>Screenshots, redacted evidence and exports.</w:t>
            </w:r>
          </w:p>
        </w:tc>
        <w:tc>
          <w:tcPr>
            <w:tcW w:type="dxa" w:w="3960"/>
            <w:tcBorders>
              <w:top w:val="single" w:sz="4" w:color="D9D9D9"/>
              <w:left w:val="single" w:sz="4" w:color="D9D9D9"/>
              <w:bottom w:val="single" w:sz="4" w:color="D9D9D9"/>
              <w:right w:val="single" w:sz="4" w:color="D9D9D9"/>
            </w:tcBorders>
            <w:shd w:fill="FFFFFF"/>
          </w:tcPr>
          <w:p>
            <w:pPr>
              <w:spacing w:after="60" w:before="60"/>
            </w:pPr>
            <w:r>
              <w:rPr>
                <w:b w:val="0"/>
                <w:sz w:val="20"/>
              </w:rPr>
              <w:t>Short-lived signed reads after authorization; deletion and retention jobs.</w:t>
            </w:r>
          </w:p>
        </w:tc>
      </w:tr>
      <w:tr>
        <w:trPr>
          <w:cantSplit/>
          <w:cantSplit/>
          <w:cantSplit/>
        </w:trPr>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Optional proxy</w:t>
            </w:r>
          </w:p>
        </w:tc>
        <w:tc>
          <w:tcPr>
            <w:tcW w:type="dxa" w:w="4392"/>
            <w:tcBorders>
              <w:top w:val="single" w:sz="4" w:color="D9D9D9"/>
              <w:left w:val="single" w:sz="4" w:color="D9D9D9"/>
              <w:bottom w:val="single" w:sz="4" w:color="D9D9D9"/>
              <w:right w:val="single" w:sz="4" w:color="D9D9D9"/>
            </w:tcBorders>
            <w:shd w:fill="FFFFFF"/>
          </w:tcPr>
          <w:p>
            <w:pPr>
              <w:spacing w:after="60" w:before="60"/>
            </w:pPr>
            <w:r>
              <w:rPr>
                <w:b w:val="0"/>
                <w:sz w:val="20"/>
              </w:rPr>
              <w:t>Limited public-site review with injected review UI.</w:t>
            </w:r>
          </w:p>
        </w:tc>
        <w:tc>
          <w:tcPr>
            <w:tcW w:type="dxa" w:w="3960"/>
            <w:tcBorders>
              <w:top w:val="single" w:sz="4" w:color="D9D9D9"/>
              <w:left w:val="single" w:sz="4" w:color="D9D9D9"/>
              <w:bottom w:val="single" w:sz="4" w:color="D9D9D9"/>
              <w:right w:val="single" w:sz="4" w:color="D9D9D9"/>
            </w:tcBorders>
            <w:shd w:fill="FFFFFF"/>
          </w:tcPr>
          <w:p>
            <w:pPr>
              <w:spacing w:after="60" w:before="60"/>
            </w:pPr>
            <w:r>
              <w:rPr>
                <w:b w:val="0"/>
                <w:sz w:val="20"/>
              </w:rPr>
              <w:t>Isolated per-site origins, SSRF controls, byte/time caps; no real-user analytics.</w:t>
            </w:r>
          </w:p>
        </w:tc>
      </w:tr>
    </w:tbl>
    <w:p>
      <w:pPr>
        <w:pStyle w:val="Heading2"/>
      </w:pPr>
      <w:r>
        <w:t>Repository structure</w:t>
      </w:r>
    </w:p>
    <w:p>
      <w:r>
        <w:t>apps/dashboard; services/ingest; services/worker; services/proxy; packages/sdk; packages/sdk-next; packages/contracts; packages/db; fixtures/review-sites. Shared contracts carry schema versions and are validated at every external boundary.</w:t>
      </w:r>
    </w:p>
    <w:p>
      <w:pPr>
        <w:pStyle w:val="Heading2"/>
      </w:pPr>
      <w:r>
        <w:t>Avoid premature infrastructure</w:t>
      </w:r>
    </w:p>
    <w:p>
      <w:r>
        <w:t>For a small beta, use short-retention partitioned Postgres events and aggregate tables with explicit ingestion caps. Load-test before increasing caps. Keep storage behind a repository interface so high-volume telemetry can move to an analytical store later. Do not launch a distributed analytics cluster just to serve five pilots.</w:t>
      </w:r>
    </w:p>
    <w:p>
      <w:pPr>
        <w:pStyle w:val="Heading2"/>
      </w:pPr>
      <w:r>
        <w:t>Provider gate</w:t>
      </w:r>
    </w:p>
    <w:p>
      <w:r>
        <w:t>Before provisioning, verify region compatibility, queue delivery behavior, worker concurrency, function limits, privacy settings and a small measured workload. Vercel documents runtime-specific limits; separating worker workloads is an operational design choice rather than a claim that Vercel cannot run them. [3]</w:t>
      </w:r>
    </w:p>
    <w:p>
      <w:pPr>
        <w:pStyle w:val="Heading1"/>
        <w:pageBreakBefore/>
      </w:pPr>
      <w:r>
        <w:t>Data contracts and protection requirements</w:t>
      </w:r>
    </w:p>
    <w:tbl>
      <w:tblPr>
        <w:tblW w:type="auto" w:w="0"/>
        <w:tblLayout w:type="fixed"/>
        <w:tblLook w:firstColumn="1" w:firstRow="1" w:lastColumn="0" w:lastRow="0" w:noHBand="0" w:noVBand="1" w:val="04A0"/>
      </w:tblPr>
      <w:tblGrid>
        <w:gridCol w:w="2304"/>
        <w:gridCol w:w="7776"/>
      </w:tblGrid>
      <w:tr>
        <w:trPr>
          <w:cantSplit/>
          <w:cantSplit/>
          <w:tblHeader/>
        </w:trPr>
        <w:tc>
          <w:tcPr>
            <w:tcW w:type="dxa" w:w="2304"/>
            <w:tcBorders>
              <w:top w:val="single" w:sz="4" w:color="D9D9D9"/>
              <w:left w:val="single" w:sz="4" w:color="D9D9D9"/>
              <w:bottom w:val="single" w:sz="4" w:color="D9D9D9"/>
              <w:right w:val="single" w:sz="4" w:color="D9D9D9"/>
            </w:tcBorders>
            <w:shd w:fill="E6EDF3"/>
          </w:tcPr>
          <w:p>
            <w:pPr>
              <w:spacing w:after="60" w:before="60"/>
            </w:pPr>
            <w:r>
              <w:rPr>
                <w:b/>
                <w:sz w:val="20"/>
              </w:rPr>
              <w:t>Entity</w:t>
            </w:r>
          </w:p>
        </w:tc>
        <w:tc>
          <w:tcPr>
            <w:tcW w:type="dxa" w:w="7776"/>
            <w:tcBorders>
              <w:top w:val="single" w:sz="4" w:color="D9D9D9"/>
              <w:left w:val="single" w:sz="4" w:color="D9D9D9"/>
              <w:bottom w:val="single" w:sz="4" w:color="D9D9D9"/>
              <w:right w:val="single" w:sz="4" w:color="D9D9D9"/>
            </w:tcBorders>
            <w:shd w:fill="E6EDF3"/>
          </w:tcPr>
          <w:p>
            <w:pPr>
              <w:spacing w:after="60" w:before="60"/>
            </w:pPr>
            <w:r>
              <w:rPr>
                <w:b/>
                <w:sz w:val="20"/>
              </w:rPr>
              <w:t>Minimum records and relationships</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Organization and membership</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Organization ID, user ID, role; every tenant-owned record carries organization ID.</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Project and environment</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Organization, allowed domains, verified ownership, SDK public key, environment and consent settings.</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Review and access grant</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Project/environment, recorded version, expiry, guest identity, token hash, permissions and revocation.</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Page and anchor</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Normalized route, route template, version; stable key or permitted fingerprint, bounds and confidence.</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Issue and comment</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Review, page, anchor, original text, author, status, assignee, priority and timestamps.</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Evidence and verification</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Private object key, capture kind/status, sanitized context; method, checked version and pass/fail/uncertain.</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Deployment and approval</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Project/environment, manual or supplied release ID; reviewer, review version, timestamp and decision.</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Event and aggregate</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Schema version, project, environment, release, event ID, time, route, permitted element key and anonymous session.</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Finding and job</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Evidence references, model/version, prompt version, facts/hypotheses; attempts, status, idempotency and cost.</w:t>
            </w:r>
          </w:p>
        </w:tc>
      </w:tr>
      <w:tr>
        <w:trPr>
          <w:cantSplit/>
          <w:cantSplit/>
        </w:trPr>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Audit and usage</w:t>
            </w:r>
          </w:p>
        </w:tc>
        <w:tc>
          <w:tcPr>
            <w:tcW w:type="dxa" w:w="7776"/>
            <w:tcBorders>
              <w:top w:val="single" w:sz="4" w:color="D9D9D9"/>
              <w:left w:val="single" w:sz="4" w:color="D9D9D9"/>
              <w:bottom w:val="single" w:sz="4" w:color="D9D9D9"/>
              <w:right w:val="single" w:sz="4" w:color="D9D9D9"/>
            </w:tcBorders>
            <w:shd w:fill="FFFFFF"/>
          </w:tcPr>
          <w:p>
            <w:pPr>
              <w:spacing w:after="60" w:before="60"/>
            </w:pPr>
            <w:r>
              <w:rPr>
                <w:b w:val="0"/>
                <w:sz w:val="20"/>
              </w:rPr>
              <w:t>Actor, authorized action, target, timestamp; bytes, jobs, events, tokens and tenant allowances.</w:t>
            </w:r>
          </w:p>
        </w:tc>
      </w:tr>
    </w:tbl>
    <w:p>
      <w:pPr>
        <w:pStyle w:val="Heading2"/>
      </w:pPr>
      <w:r>
        <w:t>External endpoint contracts</w:t>
      </w:r>
    </w:p>
    <w:p>
      <w:r>
        <w:t>POST /sdk/session exchanges a scoped review grant; POST /issues accepts an idempotency key and evidence references; POST /events accepts capped versioned batches; POST /issues/{id}/verify queues a check; POST /reviews/{id}/approve records version-specific sign-off. All private reads and writes check membership or scoped review grants server-side. Upload URLs are restricted by object prefix, type, size and expiration.</w:t>
      </w:r>
    </w:p>
    <w:p>
      <w:pPr>
        <w:pStyle w:val="Heading2"/>
      </w:pPr>
      <w:r>
        <w:t>Privacy and hostile content</w:t>
      </w:r>
    </w:p>
    <w:p>
      <w:r>
        <w:t>Default to masking inputs and excluded DOM regions before capture and transmission. Redact URL queries, stack traces and user content; do not collect cookies, authorization headers, request bodies or keystrokes. Analytics stays off until configured consent is granted and stops on withdrawal. Start with seven days of raw telemetry and 90 days of aggregates as proposed beta defaults, with explicit evidence retention and tenant deletion policies.</w:t>
      </w:r>
    </w:p>
    <w:p>
      <w:r>
        <w:t>Treat page text and comments as untrusted data in AI requests. AI receives redacted evidence, no application credentials and no tools that execute page instructions. Keep provider keys server-side. Validate worker/proxy destinations and every redirect against private, loopback and metadata addresses; restrict outbound access and refuse unauthorized protected pages.</w:t>
      </w:r>
    </w:p>
    <w:p>
      <w:pPr>
        <w:pStyle w:val="Heading1"/>
        <w:pageBreakBefore/>
      </w:pPr>
      <w:r>
        <w:t>Backlog for the first working release</w:t>
      </w:r>
    </w:p>
    <w:p>
      <w:r>
        <w:t>Ticket IDs below can be copied into an issue tracker. Effort is intentionally estimated by milestone on page 8 because compatibility work makes individual ticket precision misleading.</w:t>
      </w:r>
    </w:p>
    <w:tbl>
      <w:tblPr>
        <w:tblW w:type="auto" w:w="0"/>
        <w:tblLayout w:type="fixed"/>
        <w:tblLook w:firstColumn="1" w:firstRow="1" w:lastColumn="0" w:lastRow="0" w:noHBand="0" w:noVBand="1" w:val="04A0"/>
      </w:tblPr>
      <w:tblGrid>
        <w:gridCol w:w="792"/>
        <w:gridCol w:w="8136"/>
        <w:gridCol w:w="1152"/>
      </w:tblGrid>
      <w:tr>
        <w:trPr>
          <w:cantSplit/>
          <w:cantSplit/>
          <w:cantSplit/>
          <w:tblHeader/>
        </w:trPr>
        <w:tc>
          <w:tcPr>
            <w:tcW w:type="dxa" w:w="792"/>
            <w:tcBorders>
              <w:top w:val="single" w:sz="4" w:color="D9D9D9"/>
              <w:left w:val="single" w:sz="4" w:color="D9D9D9"/>
              <w:bottom w:val="single" w:sz="4" w:color="D9D9D9"/>
              <w:right w:val="single" w:sz="4" w:color="D9D9D9"/>
            </w:tcBorders>
            <w:shd w:fill="E6EDF3"/>
          </w:tcPr>
          <w:p>
            <w:pPr>
              <w:spacing w:after="60" w:before="60"/>
            </w:pPr>
            <w:r>
              <w:rPr>
                <w:b/>
                <w:sz w:val="20"/>
              </w:rPr>
              <w:t>ID</w:t>
            </w:r>
          </w:p>
        </w:tc>
        <w:tc>
          <w:tcPr>
            <w:tcW w:type="dxa" w:w="8136"/>
            <w:tcBorders>
              <w:top w:val="single" w:sz="4" w:color="D9D9D9"/>
              <w:left w:val="single" w:sz="4" w:color="D9D9D9"/>
              <w:bottom w:val="single" w:sz="4" w:color="D9D9D9"/>
              <w:right w:val="single" w:sz="4" w:color="D9D9D9"/>
            </w:tcBorders>
            <w:shd w:fill="E6EDF3"/>
          </w:tcPr>
          <w:p>
            <w:pPr>
              <w:spacing w:after="60" w:before="60"/>
            </w:pPr>
            <w:r>
              <w:rPr>
                <w:b/>
                <w:sz w:val="20"/>
              </w:rPr>
              <w:t>Work and acceptance gate</w:t>
            </w:r>
          </w:p>
        </w:tc>
        <w:tc>
          <w:tcPr>
            <w:tcW w:type="dxa" w:w="1152"/>
            <w:tcBorders>
              <w:top w:val="single" w:sz="4" w:color="D9D9D9"/>
              <w:left w:val="single" w:sz="4" w:color="D9D9D9"/>
              <w:bottom w:val="single" w:sz="4" w:color="D9D9D9"/>
              <w:right w:val="single" w:sz="4" w:color="D9D9D9"/>
            </w:tcBorders>
            <w:shd w:fill="E6EDF3"/>
          </w:tcPr>
          <w:p>
            <w:pPr>
              <w:spacing w:after="60" w:before="60"/>
            </w:pPr>
            <w:r>
              <w:rPr>
                <w:b/>
                <w:sz w:val="20"/>
              </w:rPr>
              <w:t>Depends on</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A01</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Capture prototype on public and authenticated fixtures. Demonstrate masked image, failure states, route changes and SDK overhead. Choose capture methods honestly.</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None</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A02</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Anchor prototype across layout shifts, rerenders, duplicate labels and removed nodes. Show confidence and relink flow.</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A01</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A03</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Validate target customer with five interviews and a workflow demo; recruit three to five pilot projects. Record installation tolerance and willingness to pay.</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None</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A04</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Create monorepo, typed contracts, fixture sites, CI, secrets separation and staging deployment.</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A01–02</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A05</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Schema, migrations, authentication, organization roles and tenant isolation tests.</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A04</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A06</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Project environments, domain ownership check, SDK configuration and release identifier input.</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A05</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A07</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SDK core and Next.js wrapper; lazy overlay, SPA navigation, stable anchor API, installation health check.</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A02, A06</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A08</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Review creation, signed guest exchange, expiry/revocation and guest permission checks.</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A05, A07</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A09</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Click-to-comment with screenshot adapter, private upload and atomic issue metadata save; failed captures preserve text.</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A01, A08</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A10</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Issue board/list, assignment, priority, replies, filters, reopening and audit history.</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A09</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A11</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Human verification, fresh evidence, approval tied to version and changed-version indication.</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A10</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A12</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Notification delivery, retry-safe jobs, export, usage limits, deletion and pilot end-to-end testing.</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A09–11</w:t>
            </w:r>
          </w:p>
        </w:tc>
      </w:tr>
    </w:tbl>
    <w:p>
      <w:pPr>
        <w:pStyle w:val="Heading2"/>
      </w:pPr>
      <w:r>
        <w:t>First vertical slice</w:t>
      </w:r>
    </w:p>
    <w:p>
      <w:r>
        <w:t>One owner creates a project, installs the SDK on a Next.js fixture, invites one guest, captures one anchored issue, assigns it, deploys a fix and records reviewer verification. Finish this path before adding heatmaps, AI page audits or a sophisticated dashboard.</w:t>
      </w:r>
    </w:p>
    <w:p>
      <w:pPr>
        <w:pStyle w:val="Heading2"/>
      </w:pPr>
      <w:r>
        <w:t>Release A pilot gate</w:t>
      </w:r>
    </w:p>
    <w:p>
      <w:r>
        <w:t>At least three pilot projects complete that path. Cross-tenant access and revoked guest links are blocked. Evidence stays private and masked. Capture failures and missing anchors are explicit. Retry tests produce one issue and one notification. A second deployment makes approval history clear. Collect pilot feedback before widening the release.</w:t>
      </w:r>
    </w:p>
    <w:p>
      <w:pPr>
        <w:pStyle w:val="Heading1"/>
        <w:pageBreakBefore/>
      </w:pPr>
      <w:r>
        <w:t>Backlog for the differentiated MVP beta</w:t>
      </w:r>
    </w:p>
    <w:tbl>
      <w:tblPr>
        <w:tblW w:type="auto" w:w="0"/>
        <w:tblLayout w:type="fixed"/>
        <w:tblLook w:firstColumn="1" w:firstRow="1" w:lastColumn="0" w:lastRow="0" w:noHBand="0" w:noVBand="1" w:val="04A0"/>
      </w:tblPr>
      <w:tblGrid>
        <w:gridCol w:w="792"/>
        <w:gridCol w:w="8136"/>
        <w:gridCol w:w="1152"/>
      </w:tblGrid>
      <w:tr>
        <w:trPr>
          <w:cantSplit/>
          <w:cantSplit/>
          <w:cantSplit/>
          <w:tblHeader/>
        </w:trPr>
        <w:tc>
          <w:tcPr>
            <w:tcW w:type="dxa" w:w="792"/>
            <w:tcBorders>
              <w:top w:val="single" w:sz="4" w:color="D9D9D9"/>
              <w:left w:val="single" w:sz="4" w:color="D9D9D9"/>
              <w:bottom w:val="single" w:sz="4" w:color="D9D9D9"/>
              <w:right w:val="single" w:sz="4" w:color="D9D9D9"/>
            </w:tcBorders>
            <w:shd w:fill="E6EDF3"/>
          </w:tcPr>
          <w:p>
            <w:pPr>
              <w:spacing w:after="60" w:before="60"/>
            </w:pPr>
            <w:r>
              <w:rPr>
                <w:b/>
                <w:sz w:val="20"/>
              </w:rPr>
              <w:t>ID</w:t>
            </w:r>
          </w:p>
        </w:tc>
        <w:tc>
          <w:tcPr>
            <w:tcW w:type="dxa" w:w="8136"/>
            <w:tcBorders>
              <w:top w:val="single" w:sz="4" w:color="D9D9D9"/>
              <w:left w:val="single" w:sz="4" w:color="D9D9D9"/>
              <w:bottom w:val="single" w:sz="4" w:color="D9D9D9"/>
              <w:right w:val="single" w:sz="4" w:color="D9D9D9"/>
            </w:tcBorders>
            <w:shd w:fill="E6EDF3"/>
          </w:tcPr>
          <w:p>
            <w:pPr>
              <w:spacing w:after="60" w:before="60"/>
            </w:pPr>
            <w:r>
              <w:rPr>
                <w:b/>
                <w:sz w:val="20"/>
              </w:rPr>
              <w:t>Work and acceptance gate</w:t>
            </w:r>
          </w:p>
        </w:tc>
        <w:tc>
          <w:tcPr>
            <w:tcW w:type="dxa" w:w="1152"/>
            <w:tcBorders>
              <w:top w:val="single" w:sz="4" w:color="D9D9D9"/>
              <w:left w:val="single" w:sz="4" w:color="D9D9D9"/>
              <w:bottom w:val="single" w:sz="4" w:color="D9D9D9"/>
              <w:right w:val="single" w:sz="4" w:color="D9D9D9"/>
            </w:tcBorders>
            <w:shd w:fill="E6EDF3"/>
          </w:tcPr>
          <w:p>
            <w:pPr>
              <w:spacing w:after="60" w:before="60"/>
            </w:pPr>
            <w:r>
              <w:rPr>
                <w:b/>
                <w:sz w:val="20"/>
              </w:rPr>
              <w:t>Depends on</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B01</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Versioned telemetry, consent adapter, batching, size/rate caps, sampling and kill switch. No analytics before consent.</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A07, A12</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B02</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Ingest, deduplication, short-retention events, daily aggregates and deletion; load-test capped beta volume.</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B01</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B03</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Views, element clicks, scroll milestones and repeated/dead-click heuristics. Exclude review traffic; label uncertainty.</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B02</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B04</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Sanitized error events and temporal issue context. Explicit session correlation does not assert causation.</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B02</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B05</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Basic click overlay and scroll report filtered by route, viewport, version and time; show coverage and missing data.</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B03</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B06</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Behavioral evidence on an issue. Require exposure denominators for rates and separate production from preview.</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B03–04</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B07</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AI enrichment preserving original text; structured evidence references, facts, hypotheses and token ceilings.</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A10, B06</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B08</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Limited objective verification: visibility, overlap and named test hook. Unsupported/uncertain results go to human review.</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A11, A12</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B09</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On-demand AI page suggestions and deterministic limited accessibility checks; findings enter triage, never auto-close.</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B07–08</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B10</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Guided SDK installation using verified detection and curated recipes; ambiguous frameworks require user selection.</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A06–07</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B11</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Public-site proxy spike and isolation/security tests. If compatibility gate fails, retain static review fallback.</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A08–09</w:t>
            </w:r>
          </w:p>
        </w:tc>
      </w:tr>
      <w:tr>
        <w:trPr>
          <w:cantSplit/>
          <w:cantSplit/>
          <w:cantSplit/>
        </w:trPr>
        <w:tc>
          <w:tcPr>
            <w:tcW w:type="dxa" w:w="792"/>
            <w:tcBorders>
              <w:top w:val="single" w:sz="4" w:color="D9D9D9"/>
              <w:left w:val="single" w:sz="4" w:color="D9D9D9"/>
              <w:bottom w:val="single" w:sz="4" w:color="D9D9D9"/>
              <w:right w:val="single" w:sz="4" w:color="D9D9D9"/>
            </w:tcBorders>
            <w:shd w:fill="FFFFFF"/>
          </w:tcPr>
          <w:p>
            <w:pPr>
              <w:spacing w:after="60" w:before="60"/>
            </w:pPr>
            <w:r>
              <w:rPr>
                <w:b w:val="0"/>
                <w:sz w:val="20"/>
              </w:rPr>
              <w:t>B12</w:t>
            </w:r>
          </w:p>
        </w:tc>
        <w:tc>
          <w:tcPr>
            <w:tcW w:type="dxa" w:w="8136"/>
            <w:tcBorders>
              <w:top w:val="single" w:sz="4" w:color="D9D9D9"/>
              <w:left w:val="single" w:sz="4" w:color="D9D9D9"/>
              <w:bottom w:val="single" w:sz="4" w:color="D9D9D9"/>
              <w:right w:val="single" w:sz="4" w:color="D9D9D9"/>
            </w:tcBorders>
            <w:shd w:fill="FFFFFF"/>
          </w:tcPr>
          <w:p>
            <w:pPr>
              <w:spacing w:after="60" w:before="60"/>
            </w:pPr>
            <w:r>
              <w:rPr>
                <w:b w:val="0"/>
                <w:sz w:val="20"/>
              </w:rPr>
              <w:t>Beta allowances, cost dashboard, controlled billing experiment and release gate review.</w:t>
            </w:r>
          </w:p>
        </w:tc>
        <w:tc>
          <w:tcPr>
            <w:tcW w:type="dxa" w:w="1152"/>
            <w:tcBorders>
              <w:top w:val="single" w:sz="4" w:color="D9D9D9"/>
              <w:left w:val="single" w:sz="4" w:color="D9D9D9"/>
              <w:bottom w:val="single" w:sz="4" w:color="D9D9D9"/>
              <w:right w:val="single" w:sz="4" w:color="D9D9D9"/>
            </w:tcBorders>
            <w:shd w:fill="FFFFFF"/>
          </w:tcPr>
          <w:p>
            <w:pPr>
              <w:spacing w:after="60" w:before="60"/>
            </w:pPr>
            <w:r>
              <w:rPr>
                <w:b w:val="0"/>
                <w:sz w:val="20"/>
              </w:rPr>
              <w:t>B01–11</w:t>
            </w:r>
          </w:p>
        </w:tc>
      </w:tr>
    </w:tbl>
    <w:p>
      <w:pPr>
        <w:pStyle w:val="Heading2"/>
      </w:pPr>
      <w:r>
        <w:t>Proxy compatibility gate</w:t>
      </w:r>
    </w:p>
    <w:p>
      <w:r>
        <w:t>Test a documented corpus of static sites, Next.js navigation, relative links, assets, redirects and forms. Agree which interactions are supported. Stop rather than silently modifying a site into an inaccurate representation. Authenticated SDK review does not depend on proxy support.</w:t>
      </w:r>
    </w:p>
    <w:p>
      <w:pPr>
        <w:pStyle w:val="Heading2"/>
      </w:pPr>
      <w:r>
        <w:t>Verification quality gate</w:t>
      </w:r>
    </w:p>
    <w:p>
      <w:r>
        <w:t>Create known passing, failing and ambiguous fixture cases. Deterministic checks must detect failures in their declared support matrix. Low-confidence anchoring, missing authentication, changed content and unreliable capture must return uncertain. AI commentary is advisory; reviewer approval remains the closure gate.</w:t>
      </w:r>
    </w:p>
    <w:p>
      <w:pPr>
        <w:pStyle w:val="Heading2"/>
      </w:pPr>
      <w:r>
        <w:t>Telemetry quality gate</w:t>
      </w:r>
    </w:p>
    <w:p>
      <w:r>
        <w:t>Known synthetic counts reconcile after retries and batching. Heatmaps do not mix different page layouts or viewport groups. Check keyboard and asynchronous actions before presenting dead clicks as problems. Measure SDK bundle and runtime costs on real mobile hardware; proposed targets are under 10 KB gzip for the base loader and under 30 KB for optional analytics, subject to prototype validation.</w:t>
      </w:r>
    </w:p>
    <w:p>
      <w:pPr>
        <w:pStyle w:val="Heading1"/>
        <w:pageBreakBefore/>
      </w:pPr>
      <w:r>
        <w:t>Delivery estimates costs and first actions</w:t>
      </w:r>
    </w:p>
    <w:tbl>
      <w:tblPr>
        <w:tblW w:type="auto" w:w="0"/>
        <w:tblLayout w:type="fixed"/>
        <w:tblLook w:firstColumn="1" w:firstRow="1" w:lastColumn="0" w:lastRow="0" w:noHBand="0" w:noVBand="1" w:val="04A0"/>
      </w:tblPr>
      <w:tblGrid>
        <w:gridCol w:w="3024"/>
        <w:gridCol w:w="2160"/>
        <w:gridCol w:w="4896"/>
      </w:tblGrid>
      <w:tr>
        <w:trPr>
          <w:cantSplit/>
          <w:cantSplit/>
          <w:cantSplit/>
          <w:tblHeader/>
        </w:trPr>
        <w:tc>
          <w:tcPr>
            <w:tcW w:type="dxa" w:w="3024"/>
            <w:tcBorders>
              <w:top w:val="single" w:sz="4" w:color="D9D9D9"/>
              <w:left w:val="single" w:sz="4" w:color="D9D9D9"/>
              <w:bottom w:val="single" w:sz="4" w:color="D9D9D9"/>
              <w:right w:val="single" w:sz="4" w:color="D9D9D9"/>
            </w:tcBorders>
            <w:shd w:fill="E6EDF3"/>
          </w:tcPr>
          <w:p>
            <w:pPr>
              <w:spacing w:after="60" w:before="60"/>
            </w:pPr>
            <w:r>
              <w:rPr>
                <w:b/>
                <w:sz w:val="20"/>
              </w:rPr>
              <w:t>Milestone</w:t>
            </w:r>
          </w:p>
        </w:tc>
        <w:tc>
          <w:tcPr>
            <w:tcW w:type="dxa" w:w="2160"/>
            <w:tcBorders>
              <w:top w:val="single" w:sz="4" w:color="D9D9D9"/>
              <w:left w:val="single" w:sz="4" w:color="D9D9D9"/>
              <w:bottom w:val="single" w:sz="4" w:color="D9D9D9"/>
              <w:right w:val="single" w:sz="4" w:color="D9D9D9"/>
            </w:tcBorders>
            <w:shd w:fill="E6EDF3"/>
          </w:tcPr>
          <w:p>
            <w:pPr>
              <w:spacing w:after="60" w:before="60"/>
            </w:pPr>
            <w:r>
              <w:rPr>
                <w:b/>
                <w:sz w:val="20"/>
              </w:rPr>
              <w:t>Planning effort</w:t>
            </w:r>
          </w:p>
        </w:tc>
        <w:tc>
          <w:tcPr>
            <w:tcW w:type="dxa" w:w="4896"/>
            <w:tcBorders>
              <w:top w:val="single" w:sz="4" w:color="D9D9D9"/>
              <w:left w:val="single" w:sz="4" w:color="D9D9D9"/>
              <w:bottom w:val="single" w:sz="4" w:color="D9D9D9"/>
              <w:right w:val="single" w:sz="4" w:color="D9D9D9"/>
            </w:tcBorders>
            <w:shd w:fill="E6EDF3"/>
          </w:tcPr>
          <w:p>
            <w:pPr>
              <w:spacing w:after="60" w:before="60"/>
            </w:pPr>
            <w:r>
              <w:rPr>
                <w:b/>
                <w:sz w:val="20"/>
              </w:rPr>
              <w:t>Exit result</w:t>
            </w:r>
          </w:p>
        </w:tc>
      </w:tr>
      <w:tr>
        <w:trPr>
          <w:cantSplit/>
          <w:cantSplit/>
          <w:cantSplit/>
        </w:trPr>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20"/>
              </w:rPr>
              <w:t>Discovery and technical spikes</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2–3 engineer weeks</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Customer evidence; capture, anchoring and architecture decisions.</w:t>
            </w:r>
          </w:p>
        </w:tc>
      </w:tr>
      <w:tr>
        <w:trPr>
          <w:cantSplit/>
          <w:cantSplit/>
          <w:cantSplit/>
        </w:trPr>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20"/>
              </w:rPr>
              <w:t>Release A private pilot</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6–9 engineer weeks</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Complete guest-to-approval workflow with privacy and isolation.</w:t>
            </w:r>
          </w:p>
        </w:tc>
      </w:tr>
      <w:tr>
        <w:trPr>
          <w:cantSplit/>
          <w:cantSplit/>
          <w:cantSplit/>
        </w:trPr>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20"/>
              </w:rPr>
              <w:t>Release B differentiated beta</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8–12 engineer weeks</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Measured telemetry, evidence-linked AI and limited verification.</w:t>
            </w:r>
          </w:p>
        </w:tc>
      </w:tr>
      <w:tr>
        <w:trPr>
          <w:cantSplit/>
          <w:cantSplit/>
          <w:cantSplit/>
        </w:trPr>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20"/>
              </w:rPr>
              <w:t>Hardening and paid pilot</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2–4 engineer weeks</w:t>
            </w:r>
          </w:p>
        </w:tc>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Failure recovery, cost controls, documented limits and billing trial.</w:t>
            </w:r>
          </w:p>
        </w:tc>
      </w:tr>
    </w:tbl>
    <w:p>
      <w:r>
        <w:t>Total planning range: 18–28 engineer weeks. One experienced full-time builder should budget roughly five to seven months plus discovery delays. A two-engineer team may reach a beta in roughly three to five months with design/QA support. These ranges assume managed services and deliberately limited proxy and verification support; broader compatibility can materially extend them.</w:t>
      </w:r>
    </w:p>
    <w:p>
      <w:pPr>
        <w:pStyle w:val="Heading2"/>
      </w:pPr>
      <w:r>
        <w:t>Operating cost model</w:t>
      </w:r>
    </w:p>
    <w:p>
      <w:r>
        <w:t>The earlier customer-count budgets are unvalidated targets. Start with a proposed $300–$750 monthly private-pilot ceiling, excluding labor and business expenses; validate it with provider quotes and a representative load test. Set project allowances before allowing production traffic. Do not use earlier AI model names or prices as contractual inputs.</w:t>
      </w:r>
    </w:p>
    <w:p>
      <w:r>
        <w:t>Monthly cost = fixed services + ingested/queried events + retained storage and requests + worker minutes + proxy bandwidth + AI input/output usage + notifications. Allocate shared costs across active customers and track heavy customers separately. Required meters: bytes and events accepted, browser minutes, proxy bytes, screenshot storage, AI tokens and queue retries.</w:t>
      </w:r>
    </w:p>
    <w:p>
      <w:r>
        <w:t>Example measurement fixture: one project with 50,000 pageviews, 1 million events, 100 screenshots, 20 AI analyses and five proxy sessions. Measure screenshot and proxy bytes plus worker duration; a session count alone does not predict expense. Price plans only after measuring low, typical and high usage. Aim for infrastructure below 15% of pilot revenue, then revise using actual support and payment costs.</w:t>
      </w:r>
    </w:p>
    <w:p>
      <w:pPr>
        <w:pStyle w:val="Heading2"/>
      </w:pPr>
      <w:r>
        <w:t>Start this week</w:t>
      </w:r>
    </w:p>
    <w:p>
      <w:pPr>
        <w:pStyle w:val="ListBullet"/>
      </w:pPr>
      <w:r>
        <w:t>Day 1: create the repository and two fixture applications; record the proposed buyer, Release A scope and excluded features as decisions.</w:t>
      </w:r>
    </w:p>
    <w:p>
      <w:pPr>
        <w:pStyle w:val="ListBullet"/>
      </w:pPr>
      <w:r>
        <w:t>Days 2–3: prototype review overlay, anchors and masked capture on a dynamic page and an authenticated page. Record failures instead of hiding them.</w:t>
      </w:r>
    </w:p>
    <w:p>
      <w:pPr>
        <w:pStyle w:val="ListBullet"/>
      </w:pPr>
      <w:r>
        <w:t>Day 4: demonstrate the vertical slice to prospective customers; test whether installation is acceptable and whether verification solves a paid problem.</w:t>
      </w:r>
    </w:p>
    <w:p>
      <w:pPr>
        <w:pStyle w:val="ListBullet"/>
      </w:pPr>
      <w:r>
        <w:t>Day 5: choose capture strategy, validate provider costs and create tickets A04–A12 with an owner and milestone. Begin organization isolation and SDK integration.</w:t>
      </w:r>
    </w:p>
    <w:p>
      <w:pPr>
        <w:pStyle w:val="Heading2"/>
      </w:pPr>
      <w:r>
        <w:t>Decisions that remain open</w:t>
      </w:r>
    </w:p>
    <w:p>
      <w:r>
        <w:t>Confirm the first buyer, staffing, cash budget, capture compatibility target and acceptable no-install limitations. Until changed, use the assumptions in this plan. Do not block the capture prototype on branding or final subscription prices.</w:t>
      </w:r>
    </w:p>
    <w:p>
      <w:pPr>
        <w:pStyle w:val="Heading2"/>
        <w:spacing w:before="0" w:after="0"/>
      </w:pPr>
      <w:r>
        <w:t>References checked for this plan</w:t>
      </w:r>
    </w:p>
    <w:p>
      <w:pPr>
        <w:spacing w:line="204" w:lineRule="auto" w:after="0"/>
      </w:pPr>
      <w:r>
        <w:rPr>
          <w:sz w:val="18"/>
        </w:rPr>
        <w:t>[1] Pastel Features https://usepastel.com/features</w:t>
        <w:br/>
        <w:t>[2] Pastel Client Project Approval https://usepastel.com/client-project-approval</w:t>
        <w:br/>
        <w:t>[3] Vercel Functions Limits https://vercel.com/docs/functions/limitations</w:t>
        <w:br/>
      </w:r>
    </w:p>
    <w:p>
      <w:pPr>
        <w:pStyle w:val="Heading1"/>
        <w:pageBreakBefore/>
      </w:pPr>
      <w:r>
        <w:t>Video evidence in the first release</w:t>
      </w:r>
    </w:p>
    <w:p>
      <w:r>
        <w:t>Add short uploaded videos as issue evidence in Release A using the Vercel Mux integration. Reviewers can attach a clip, play it inside the issue, and leave a timestamped comment. This release supports uploaded recordings; an in-browser screen recorder and standalone video approval canvases remain deferred. Video supplements the existing screenshot and written feedback workflow.</w:t>
      </w:r>
    </w:p>
    <w:tbl>
      <w:tblPr>
        <w:tblW w:type="auto" w:w="0"/>
        <w:tblLayout w:type="fixed"/>
        <w:tblLook w:firstColumn="1" w:firstRow="1" w:lastColumn="0" w:lastRow="0" w:noHBand="0" w:noVBand="1" w:val="04A0"/>
      </w:tblPr>
      <w:tblGrid>
        <w:gridCol w:w="2952"/>
        <w:gridCol w:w="7128"/>
      </w:tblGrid>
      <w:tr>
        <w:trPr>
          <w:cantSplit/>
          <w:cantSplit/>
          <w:tblHeader/>
        </w:trPr>
        <w:tc>
          <w:tcPr>
            <w:tcW w:type="dxa" w:w="2952"/>
            <w:tcBorders>
              <w:top w:val="single" w:sz="4" w:color="D9D9D9"/>
              <w:left w:val="single" w:sz="4" w:color="D9D9D9"/>
              <w:bottom w:val="single" w:sz="4" w:color="D9D9D9"/>
              <w:right w:val="single" w:sz="4" w:color="D9D9D9"/>
            </w:tcBorders>
            <w:shd w:fill="E6EDF3"/>
          </w:tcPr>
          <w:p>
            <w:pPr>
              <w:spacing w:after="60" w:before="60"/>
            </w:pPr>
            <w:r>
              <w:rPr>
                <w:b/>
                <w:sz w:val="20"/>
              </w:rPr>
              <w:t>Resource</w:t>
            </w:r>
          </w:p>
        </w:tc>
        <w:tc>
          <w:tcPr>
            <w:tcW w:type="dxa" w:w="7128"/>
            <w:tcBorders>
              <w:top w:val="single" w:sz="4" w:color="D9D9D9"/>
              <w:left w:val="single" w:sz="4" w:color="D9D9D9"/>
              <w:bottom w:val="single" w:sz="4" w:color="D9D9D9"/>
              <w:right w:val="single" w:sz="4" w:color="D9D9D9"/>
            </w:tcBorders>
            <w:shd w:fill="E6EDF3"/>
          </w:tcPr>
          <w:p>
            <w:pPr>
              <w:spacing w:after="60" w:before="60"/>
            </w:pPr>
            <w:r>
              <w:rPr>
                <w:b/>
                <w:sz w:val="20"/>
              </w:rPr>
              <w:t>Starting workspace allowance</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60" w:before="60"/>
            </w:pPr>
            <w:r>
              <w:rPr>
                <w:b w:val="0"/>
                <w:sz w:val="20"/>
              </w:rPr>
              <w:t>Individual clip</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20"/>
              </w:rPr>
              <w:t>3 minutes maximum and 250 MB maximum; both limits apply.</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60" w:before="60"/>
            </w:pPr>
            <w:r>
              <w:rPr>
                <w:b w:val="0"/>
                <w:sz w:val="20"/>
              </w:rPr>
              <w:t>Upload quality</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20"/>
              </w:rPr>
              <w:t>Up to 1080p; validate supported media before processing.</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60" w:before="60"/>
            </w:pPr>
            <w:r>
              <w:rPr>
                <w:b w:val="0"/>
                <w:sz w:val="20"/>
              </w:rPr>
              <w:t>New uploaded video</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20"/>
              </w:rPr>
              <w:t>1 hour per workspace per calendar month.</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60" w:before="60"/>
            </w:pPr>
            <w:r>
              <w:rPr>
                <w:b w:val="0"/>
                <w:sz w:val="20"/>
              </w:rPr>
              <w:t>Total retained video</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20"/>
              </w:rPr>
              <w:t>2 hours at any time per workspace.</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60" w:before="60"/>
            </w:pPr>
            <w:r>
              <w:rPr>
                <w:b w:val="0"/>
                <w:sz w:val="20"/>
              </w:rPr>
              <w:t>Video watched</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20"/>
              </w:rPr>
              <w:t>10 playback hours per workspace per calendar month, across all viewers.</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60" w:before="60"/>
            </w:pPr>
            <w:r>
              <w:rPr>
                <w:b w:val="0"/>
                <w:sz w:val="20"/>
              </w:rPr>
              <w:t>Retention</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20"/>
              </w:rPr>
              <w:t>30 days from upload, then automatic deletion of the video asset.</w:t>
            </w:r>
          </w:p>
        </w:tc>
      </w:tr>
      <w:tr>
        <w:trPr>
          <w:cantSplit/>
          <w:cantSplit/>
        </w:trPr>
        <w:tc>
          <w:tcPr>
            <w:tcW w:type="dxa" w:w="2952"/>
            <w:tcBorders>
              <w:top w:val="single" w:sz="4" w:color="D9D9D9"/>
              <w:left w:val="single" w:sz="4" w:color="D9D9D9"/>
              <w:bottom w:val="single" w:sz="4" w:color="D9D9D9"/>
              <w:right w:val="single" w:sz="4" w:color="D9D9D9"/>
            </w:tcBorders>
            <w:shd w:fill="FFFFFF"/>
          </w:tcPr>
          <w:p>
            <w:pPr>
              <w:spacing w:after="60" w:before="60"/>
            </w:pPr>
            <w:r>
              <w:rPr>
                <w:b w:val="0"/>
                <w:sz w:val="20"/>
              </w:rPr>
              <w:t>Overages</w:t>
            </w:r>
          </w:p>
        </w:tc>
        <w:tc>
          <w:tcPr>
            <w:tcW w:type="dxa" w:w="7128"/>
            <w:tcBorders>
              <w:top w:val="single" w:sz="4" w:color="D9D9D9"/>
              <w:left w:val="single" w:sz="4" w:color="D9D9D9"/>
              <w:bottom w:val="single" w:sz="4" w:color="D9D9D9"/>
              <w:right w:val="single" w:sz="4" w:color="D9D9D9"/>
            </w:tcBorders>
            <w:shd w:fill="FFFFFF"/>
          </w:tcPr>
          <w:p>
            <w:pPr>
              <w:spacing w:after="60" w:before="60"/>
            </w:pPr>
            <w:r>
              <w:rPr>
                <w:b w:val="0"/>
                <w:sz w:val="20"/>
              </w:rPr>
              <w:t>Disabled during the pilot. Owner must explicitly approve a higher allowance.</w:t>
            </w:r>
          </w:p>
        </w:tc>
      </w:tr>
    </w:tbl>
    <w:p>
      <w:pPr>
        <w:pStyle w:val="Heading2"/>
      </w:pPr>
      <w:r>
        <w:t>Hour based accounting</w:t>
      </w:r>
    </w:p>
    <w:p>
      <w:r>
        <w:t>Upload hours are the duration of new videos processed. Stored hours are retained duration prorated across the month. Playback hours are total time watched across all viewers; a three-minute clip watched 20 times equals one playback hour. Track each measure independently and convert provider billing units into hours for the workspace cost dashboard.</w:t>
      </w:r>
    </w:p>
    <w:p>
      <w:r>
        <w:t>Monthly video cost = processing charges + prorated storage charges + playback charges + optional features. Apply current Mux rates by quality and applicable billing category before quoting costs. These allowances are product limits, not prepaid vendor packages. Keep byte, delivery and provider usage counters alongside the customer-facing duration meters.</w:t>
      </w:r>
    </w:p>
    <w:p>
      <w:pPr>
        <w:pStyle w:val="Heading1"/>
        <w:pageBreakBefore/>
      </w:pPr>
      <w:r>
        <w:t>Video implementation and release checks</w:t>
      </w:r>
    </w:p>
    <w:p>
      <w:r>
        <w:t>Add ticket A13 after A08–A09: authorized direct upload to Mux, signed private playback, webhook signature verification, tenant-scoped asset metadata, processing/failure states and timestamped replies. Store asset ID, duration, quality, issue ID, upload owner, creation/expiry time and lifecycle state. Mux credentials stay server-side; issue permissions govern upload and playback grants.</w:t>
      </w:r>
    </w:p>
    <w:p>
      <w:r>
        <w:t>Add ticket A14 after A13 and A12: reserve upload capacity before issuing an upload URL, reconcile actual duration after processing, enforce clip/quality/retention limits, and reject or delete assets outside the allowance. Release failed or abandoned reservations. Use idempotent webhooks and deletion jobs; record usage and errors by workspace.</w:t>
      </w:r>
    </w:p>
    <w:p>
      <w:r>
        <w:t>At an allowance limit, block additional uploads or new playback authorization as applicable, notify the owner, and keep issues and written feedback accessible. Use short-lived playback tokens; existing playback may continue until its authorization expires, so treat the playback cap as a controlled allowance with a small reconciliation tolerance. No automatic overage billing. Warn owners before video expiry and retain a deleted-evidence record rather than a broken player.</w:t>
      </w:r>
    </w:p>
    <w:p>
      <w:pPr>
        <w:pStyle w:val="Heading2"/>
      </w:pPr>
      <w:r>
        <w:t>Release impact and validation</w:t>
      </w:r>
    </w:p>
    <w:p>
      <w:r>
        <w:t>Budget approximately 1–2 additional engineer weeks for uploads, private playback, comments and limit enforcement; re-estimate after the integration spike. Verify unauthorized playback is blocked, quota races do not create unlimited uploads, failed processing recovers, duplicate webhooks create no duplicate records, and expired video is removed. Measure representative Mux charges before setting paid video allowances.</w:t>
      </w:r>
    </w:p>
    <w:p>
      <w:r>
        <w:t>Technical references: https://www.mux.com/docs/frameworks/next-js and https://www.mux.com/docs/guides/upload-files-directly. Existing release estimates exclude this addition; the revised overall planning range is 19–30 engineer weeks.</w:t>
      </w:r>
    </w:p>
    <w:p>
      <w:pPr>
        <w:pStyle w:val="Heading1"/>
        <w:pageBreakBefore/>
      </w:pPr>
      <w:r>
        <w:t>Operating model for 100 small agencies</w:t>
      </w:r>
    </w:p>
    <w:p>
      <w:r>
        <w:t>Use a shared platform with tenant isolation, rather than a separate paid infrastructure account per agency. Agencies continue hosting their own client websites. The figures below are planning allocations for our service, not measured bills or provider quotes. This model supersedes the earlier customer-count targets as the working launch budget.</w:t>
      </w:r>
    </w:p>
    <w:tbl>
      <w:tblPr>
        <w:tblW w:type="auto" w:w="0"/>
        <w:tblLayout w:type="fixed"/>
        <w:tblLook w:firstColumn="1" w:firstRow="1" w:lastColumn="0" w:lastRow="0" w:noHBand="0" w:noVBand="1" w:val="04A0"/>
      </w:tblPr>
      <w:tblGrid>
        <w:gridCol w:w="4896"/>
        <w:gridCol w:w="2304"/>
        <w:gridCol w:w="2880"/>
      </w:tblGrid>
      <w:tr>
        <w:trPr>
          <w:cantSplit/>
          <w:cantSplit/>
          <w:cantSplit/>
          <w:tblHeader/>
        </w:trPr>
        <w:tc>
          <w:tcPr>
            <w:tcW w:type="dxa" w:w="4896"/>
            <w:tcBorders>
              <w:top w:val="single" w:sz="4" w:color="D9D9D9"/>
              <w:left w:val="single" w:sz="4" w:color="D9D9D9"/>
              <w:bottom w:val="single" w:sz="4" w:color="D9D9D9"/>
              <w:right w:val="single" w:sz="4" w:color="D9D9D9"/>
            </w:tcBorders>
            <w:shd w:fill="E6EDF3"/>
          </w:tcPr>
          <w:p>
            <w:pPr>
              <w:spacing w:after="60" w:before="60"/>
            </w:pPr>
            <w:r>
              <w:rPr>
                <w:b/>
                <w:sz w:val="20"/>
              </w:rPr>
              <w:t>Monthly workload</w:t>
            </w:r>
          </w:p>
        </w:tc>
        <w:tc>
          <w:tcPr>
            <w:tcW w:type="dxa" w:w="2304"/>
            <w:tcBorders>
              <w:top w:val="single" w:sz="4" w:color="D9D9D9"/>
              <w:left w:val="single" w:sz="4" w:color="D9D9D9"/>
              <w:bottom w:val="single" w:sz="4" w:color="D9D9D9"/>
              <w:right w:val="single" w:sz="4" w:color="D9D9D9"/>
            </w:tcBorders>
            <w:shd w:fill="E6EDF3"/>
          </w:tcPr>
          <w:p>
            <w:pPr>
              <w:spacing w:after="60" w:before="60"/>
            </w:pPr>
            <w:r>
              <w:rPr>
                <w:b/>
                <w:sz w:val="20"/>
              </w:rPr>
              <w:t>Per agency</w:t>
            </w:r>
          </w:p>
        </w:tc>
        <w:tc>
          <w:tcPr>
            <w:tcW w:type="dxa" w:w="2880"/>
            <w:tcBorders>
              <w:top w:val="single" w:sz="4" w:color="D9D9D9"/>
              <w:left w:val="single" w:sz="4" w:color="D9D9D9"/>
              <w:bottom w:val="single" w:sz="4" w:color="D9D9D9"/>
              <w:right w:val="single" w:sz="4" w:color="D9D9D9"/>
            </w:tcBorders>
            <w:shd w:fill="E6EDF3"/>
          </w:tcPr>
          <w:p>
            <w:pPr>
              <w:spacing w:after="60" w:before="60"/>
            </w:pPr>
            <w:r>
              <w:rPr>
                <w:b/>
                <w:sz w:val="20"/>
              </w:rPr>
              <w:t>Across 100 agencies</w:t>
            </w:r>
          </w:p>
        </w:tc>
      </w:tr>
      <w:tr>
        <w:trPr>
          <w:cantSplit/>
          <w:cantSplit/>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Client websites in baseline</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5</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500</w:t>
            </w:r>
          </w:p>
        </w:tc>
      </w:tr>
      <w:tr>
        <w:trPr>
          <w:cantSplit/>
          <w:cantSplit/>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New issues and screenshots</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100</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10,000</w:t>
            </w:r>
          </w:p>
        </w:tc>
      </w:tr>
      <w:tr>
        <w:trPr>
          <w:cantSplit/>
          <w:cantSplit/>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Browser capture or verification jobs</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50</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5,000</w:t>
            </w:r>
          </w:p>
        </w:tc>
      </w:tr>
      <w:tr>
        <w:trPr>
          <w:cantSplit/>
          <w:cantSplit/>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Proxy review sessions</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5</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500</w:t>
            </w:r>
          </w:p>
        </w:tc>
      </w:tr>
      <w:tr>
        <w:trPr>
          <w:cantSplit/>
          <w:cantSplit/>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Maximum new video duration</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1 hour</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100 hours</w:t>
            </w:r>
          </w:p>
        </w:tc>
      </w:tr>
      <w:tr>
        <w:trPr>
          <w:cantSplit/>
          <w:cantSplit/>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Maximum retained video duration</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2 hours</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200 hours</w:t>
            </w:r>
          </w:p>
        </w:tc>
      </w:tr>
      <w:tr>
        <w:trPr>
          <w:cantSplit/>
          <w:cantSplit/>
          <w:cantSplit/>
        </w:trPr>
        <w:tc>
          <w:tcPr>
            <w:tcW w:type="dxa" w:w="4896"/>
            <w:tcBorders>
              <w:top w:val="single" w:sz="4" w:color="D9D9D9"/>
              <w:left w:val="single" w:sz="4" w:color="D9D9D9"/>
              <w:bottom w:val="single" w:sz="4" w:color="D9D9D9"/>
              <w:right w:val="single" w:sz="4" w:color="D9D9D9"/>
            </w:tcBorders>
            <w:shd w:fill="FFFFFF"/>
          </w:tcPr>
          <w:p>
            <w:pPr>
              <w:spacing w:after="60" w:before="60"/>
            </w:pPr>
            <w:r>
              <w:rPr>
                <w:b w:val="0"/>
                <w:sz w:val="20"/>
              </w:rPr>
              <w:t>Maximum playback allowance</w:t>
            </w:r>
          </w:p>
        </w:tc>
        <w:tc>
          <w:tcPr>
            <w:tcW w:type="dxa" w:w="2304"/>
            <w:tcBorders>
              <w:top w:val="single" w:sz="4" w:color="D9D9D9"/>
              <w:left w:val="single" w:sz="4" w:color="D9D9D9"/>
              <w:bottom w:val="single" w:sz="4" w:color="D9D9D9"/>
              <w:right w:val="single" w:sz="4" w:color="D9D9D9"/>
            </w:tcBorders>
            <w:shd w:fill="FFFFFF"/>
          </w:tcPr>
          <w:p>
            <w:pPr>
              <w:spacing w:after="60" w:before="60"/>
            </w:pPr>
            <w:r>
              <w:rPr>
                <w:b w:val="0"/>
                <w:sz w:val="20"/>
              </w:rPr>
              <w:t>10 hours</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1,000 hours</w:t>
            </w:r>
          </w:p>
        </w:tc>
      </w:tr>
    </w:tbl>
    <w:p>
      <w:pPr>
        <w:pStyle w:val="Heading2"/>
      </w:pPr>
      <w:r>
        <w:t>First release budget</w:t>
      </w:r>
    </w:p>
    <w:tbl>
      <w:tblPr>
        <w:tblW w:type="auto" w:w="0"/>
        <w:tblLayout w:type="fixed"/>
        <w:tblLook w:firstColumn="1" w:firstRow="1" w:lastColumn="0" w:lastRow="0" w:noHBand="0" w:noVBand="1" w:val="04A0"/>
      </w:tblPr>
      <w:tblGrid>
        <w:gridCol w:w="7344"/>
        <w:gridCol w:w="2736"/>
      </w:tblGrid>
      <w:tr>
        <w:trPr>
          <w:cantSplit/>
          <w:cantSplit/>
          <w:tblHeader/>
        </w:trPr>
        <w:tc>
          <w:tcPr>
            <w:tcW w:type="dxa" w:w="7344"/>
            <w:tcBorders>
              <w:top w:val="single" w:sz="4" w:color="D9D9D9"/>
              <w:left w:val="single" w:sz="4" w:color="D9D9D9"/>
              <w:bottom w:val="single" w:sz="4" w:color="D9D9D9"/>
              <w:right w:val="single" w:sz="4" w:color="D9D9D9"/>
            </w:tcBorders>
            <w:shd w:fill="E6EDF3"/>
          </w:tcPr>
          <w:p>
            <w:pPr>
              <w:spacing w:after="60" w:before="60"/>
            </w:pPr>
            <w:r>
              <w:rPr>
                <w:b/>
                <w:sz w:val="20"/>
              </w:rPr>
              <w:t>Component</w:t>
            </w:r>
          </w:p>
        </w:tc>
        <w:tc>
          <w:tcPr>
            <w:tcW w:type="dxa" w:w="2736"/>
            <w:tcBorders>
              <w:top w:val="single" w:sz="4" w:color="D9D9D9"/>
              <w:left w:val="single" w:sz="4" w:color="D9D9D9"/>
              <w:bottom w:val="single" w:sz="4" w:color="D9D9D9"/>
              <w:right w:val="single" w:sz="4" w:color="D9D9D9"/>
            </w:tcBorders>
            <w:shd w:fill="E6EDF3"/>
          </w:tcPr>
          <w:p>
            <w:pPr>
              <w:spacing w:after="60" w:before="60"/>
            </w:pPr>
            <w:r>
              <w:rPr>
                <w:b/>
                <w:sz w:val="20"/>
              </w:rPr>
              <w:t>Monthly allocation</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Vercel dashboard and API hosting</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$60</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Database and authentication</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$100</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Browser workers</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$125</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Queue and background jobs</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$40</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Limited proxy service</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$60</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Screenshot and object storage</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$10</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Mux video</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$40</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Email notifications</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$25</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Logs and operational monitoring</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$40</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Subtotal</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$600</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Contingency</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$150</w:t>
            </w:r>
          </w:p>
        </w:tc>
      </w:tr>
      <w:tr>
        <w:trPr>
          <w:cantSplit/>
          <w:cantSplit/>
        </w:trPr>
        <w:tc>
          <w:tcPr>
            <w:tcW w:type="dxa" w:w="7344"/>
            <w:tcBorders>
              <w:top w:val="single" w:sz="4" w:color="D9D9D9"/>
              <w:left w:val="single" w:sz="4" w:color="D9D9D9"/>
              <w:bottom w:val="single" w:sz="4" w:color="D9D9D9"/>
              <w:right w:val="single" w:sz="4" w:color="D9D9D9"/>
            </w:tcBorders>
            <w:shd w:fill="FFFFFF"/>
          </w:tcPr>
          <w:p>
            <w:pPr>
              <w:spacing w:after="60" w:before="60"/>
            </w:pPr>
            <w:r>
              <w:rPr>
                <w:b w:val="0"/>
                <w:sz w:val="20"/>
              </w:rPr>
              <w:t>Total first release planning budget</w:t>
            </w:r>
          </w:p>
        </w:tc>
        <w:tc>
          <w:tcPr>
            <w:tcW w:type="dxa" w:w="2736"/>
            <w:tcBorders>
              <w:top w:val="single" w:sz="4" w:color="D9D9D9"/>
              <w:left w:val="single" w:sz="4" w:color="D9D9D9"/>
              <w:bottom w:val="single" w:sz="4" w:color="D9D9D9"/>
              <w:right w:val="single" w:sz="4" w:color="D9D9D9"/>
            </w:tcBorders>
            <w:shd w:fill="FFFFFF"/>
          </w:tcPr>
          <w:p>
            <w:pPr>
              <w:spacing w:after="60" w:before="60"/>
            </w:pPr>
            <w:r>
              <w:rPr>
                <w:b w:val="0"/>
                <w:sz w:val="20"/>
              </w:rPr>
              <w:t>$750</w:t>
            </w:r>
          </w:p>
        </w:tc>
      </w:tr>
    </w:tbl>
    <w:p>
      <w:r>
        <w:t>The first-release allocation equals $7.50 per agency at 100 customers. Job counts alone are insufficient for an invoice estimate: measure worker runtime, concurrency, proxy bytes, screenshot size and retries. The $10 storage allocation is a reserve, not the expected raw storage bill.</w:t>
      </w:r>
    </w:p>
    <w:p>
      <w:pPr>
        <w:pStyle w:val="Heading2"/>
      </w:pPr>
      <w:r>
        <w:t>Differentiated beta budget</w:t>
      </w:r>
    </w:p>
    <w:p>
      <w:r>
        <w:t>Assume 25,000 tracked pageviews per agency monthly across all its sites and 10 events per pageview: 2.5 million pageviews and 25 million events platform-wide. Add a proposed $150 allocation for ingestion, aggregation and queries plus $100 for 2,000 AI analyses, giving a $1,000 monthly planning budget. Benchmark before committing to these allowances; model, token count, image inputs and query frequency affect cost.</w:t>
      </w:r>
    </w:p>
    <w:p>
      <w:pPr>
        <w:pStyle w:val="Heading1"/>
        <w:pageBreakBefore/>
      </w:pPr>
      <w:r>
        <w:t>Video unit costs and account allowances</w:t>
      </w:r>
    </w:p>
    <w:p>
      <w:r>
        <w:t>For the cost model, use Mux Basic on-demand video up to 1080p. The published pricing checked during planning was free Basic file input, $0.003 per stored minute per month, and $0.001 per delivered minute beyond the included allowance. These convert to $0.18 per stored hour-month and $0.06 per delivered hour. Verify actual Vercel Marketplace billing and entitlements before provisioning. [4]</w:t>
      </w:r>
    </w:p>
    <w:tbl>
      <w:tblPr>
        <w:tblW w:type="auto" w:w="0"/>
        <w:tblLayout w:type="fixed"/>
        <w:tblLook w:firstColumn="1" w:firstRow="1" w:lastColumn="0" w:lastRow="0" w:noHBand="0" w:noVBand="1" w:val="04A0"/>
      </w:tblPr>
      <w:tblGrid>
        <w:gridCol w:w="7200"/>
        <w:gridCol w:w="2880"/>
      </w:tblGrid>
      <w:tr>
        <w:trPr>
          <w:cantSplit/>
          <w:cantSplit/>
          <w:tblHeader/>
        </w:trPr>
        <w:tc>
          <w:tcPr>
            <w:tcW w:type="dxa" w:w="7200"/>
            <w:tcBorders>
              <w:top w:val="single" w:sz="4" w:color="D9D9D9"/>
              <w:left w:val="single" w:sz="4" w:color="D9D9D9"/>
              <w:bottom w:val="single" w:sz="4" w:color="D9D9D9"/>
              <w:right w:val="single" w:sz="4" w:color="D9D9D9"/>
            </w:tcBorders>
            <w:shd w:fill="E6EDF3"/>
          </w:tcPr>
          <w:p>
            <w:pPr>
              <w:spacing w:after="60" w:before="60"/>
            </w:pPr>
            <w:r>
              <w:rPr>
                <w:b/>
                <w:sz w:val="20"/>
              </w:rPr>
              <w:t>Full allowance scenario for 100 agencies</w:t>
            </w:r>
          </w:p>
        </w:tc>
        <w:tc>
          <w:tcPr>
            <w:tcW w:type="dxa" w:w="2880"/>
            <w:tcBorders>
              <w:top w:val="single" w:sz="4" w:color="D9D9D9"/>
              <w:left w:val="single" w:sz="4" w:color="D9D9D9"/>
              <w:bottom w:val="single" w:sz="4" w:color="D9D9D9"/>
              <w:right w:val="single" w:sz="4" w:color="D9D9D9"/>
            </w:tcBorders>
            <w:shd w:fill="E6EDF3"/>
          </w:tcPr>
          <w:p>
            <w:pPr>
              <w:spacing w:after="60" w:before="60"/>
            </w:pPr>
            <w:r>
              <w:rPr>
                <w:b/>
                <w:sz w:val="20"/>
              </w:rPr>
              <w:t>Estimated video charge</w:t>
            </w:r>
          </w:p>
        </w:tc>
      </w:tr>
      <w:tr>
        <w:trPr>
          <w:cantSplit/>
          <w:cantSplit/>
        </w:trPr>
        <w:tc>
          <w:tcPr>
            <w:tcW w:type="dxa" w:w="7200"/>
            <w:tcBorders>
              <w:top w:val="single" w:sz="4" w:color="D9D9D9"/>
              <w:left w:val="single" w:sz="4" w:color="D9D9D9"/>
              <w:bottom w:val="single" w:sz="4" w:color="D9D9D9"/>
              <w:right w:val="single" w:sz="4" w:color="D9D9D9"/>
            </w:tcBorders>
            <w:shd w:fill="FFFFFF"/>
          </w:tcPr>
          <w:p>
            <w:pPr>
              <w:spacing w:after="60" w:before="60"/>
            </w:pPr>
            <w:r>
              <w:rPr>
                <w:b w:val="0"/>
                <w:sz w:val="20"/>
              </w:rPr>
              <w:t>100 uploaded hours on Basic</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$0 input</w:t>
            </w:r>
          </w:p>
        </w:tc>
      </w:tr>
      <w:tr>
        <w:trPr>
          <w:cantSplit/>
          <w:cantSplit/>
        </w:trPr>
        <w:tc>
          <w:tcPr>
            <w:tcW w:type="dxa" w:w="7200"/>
            <w:tcBorders>
              <w:top w:val="single" w:sz="4" w:color="D9D9D9"/>
              <w:left w:val="single" w:sz="4" w:color="D9D9D9"/>
              <w:bottom w:val="single" w:sz="4" w:color="D9D9D9"/>
              <w:right w:val="single" w:sz="4" w:color="D9D9D9"/>
            </w:tcBorders>
            <w:shd w:fill="FFFFFF"/>
          </w:tcPr>
          <w:p>
            <w:pPr>
              <w:spacing w:after="60" w:before="60"/>
            </w:pPr>
            <w:r>
              <w:rPr>
                <w:b w:val="0"/>
                <w:sz w:val="20"/>
              </w:rPr>
              <w:t>200 retained hours priced for a full month</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$36 storage</w:t>
            </w:r>
          </w:p>
        </w:tc>
      </w:tr>
      <w:tr>
        <w:trPr>
          <w:cantSplit/>
          <w:cantSplit/>
        </w:trPr>
        <w:tc>
          <w:tcPr>
            <w:tcW w:type="dxa" w:w="7200"/>
            <w:tcBorders>
              <w:top w:val="single" w:sz="4" w:color="D9D9D9"/>
              <w:left w:val="single" w:sz="4" w:color="D9D9D9"/>
              <w:bottom w:val="single" w:sz="4" w:color="D9D9D9"/>
              <w:right w:val="single" w:sz="4" w:color="D9D9D9"/>
            </w:tcBorders>
            <w:shd w:fill="FFFFFF"/>
          </w:tcPr>
          <w:p>
            <w:pPr>
              <w:spacing w:after="60" w:before="60"/>
            </w:pPr>
            <w:r>
              <w:rPr>
                <w:b w:val="0"/>
                <w:sz w:val="20"/>
              </w:rPr>
              <w:t>1,000 playback hours or 60,000 minutes</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$0 delivery within included allowance</w:t>
            </w:r>
          </w:p>
        </w:tc>
      </w:tr>
      <w:tr>
        <w:trPr>
          <w:cantSplit/>
          <w:cantSplit/>
        </w:trPr>
        <w:tc>
          <w:tcPr>
            <w:tcW w:type="dxa" w:w="7200"/>
            <w:tcBorders>
              <w:top w:val="single" w:sz="4" w:color="D9D9D9"/>
              <w:left w:val="single" w:sz="4" w:color="D9D9D9"/>
              <w:bottom w:val="single" w:sz="4" w:color="D9D9D9"/>
              <w:right w:val="single" w:sz="4" w:color="D9D9D9"/>
            </w:tcBorders>
            <w:shd w:fill="FFFFFF"/>
          </w:tcPr>
          <w:p>
            <w:pPr>
              <w:spacing w:after="60" w:before="60"/>
            </w:pPr>
            <w:r>
              <w:rPr>
                <w:b w:val="0"/>
                <w:sz w:val="20"/>
              </w:rPr>
              <w:t>Usage before pay as you go credit</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$36</w:t>
            </w:r>
          </w:p>
        </w:tc>
      </w:tr>
      <w:tr>
        <w:trPr>
          <w:cantSplit/>
          <w:cantSplit/>
        </w:trPr>
        <w:tc>
          <w:tcPr>
            <w:tcW w:type="dxa" w:w="7200"/>
            <w:tcBorders>
              <w:top w:val="single" w:sz="4" w:color="D9D9D9"/>
              <w:left w:val="single" w:sz="4" w:color="D9D9D9"/>
              <w:bottom w:val="single" w:sz="4" w:color="D9D9D9"/>
              <w:right w:val="single" w:sz="4" w:color="D9D9D9"/>
            </w:tcBorders>
            <w:shd w:fill="FFFFFF"/>
          </w:tcPr>
          <w:p>
            <w:pPr>
              <w:spacing w:after="60" w:before="60"/>
            </w:pPr>
            <w:r>
              <w:rPr>
                <w:b w:val="0"/>
                <w:sz w:val="20"/>
              </w:rPr>
              <w:t>After applicable $20 monthly usage credit</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Approximately $16</w:t>
            </w:r>
          </w:p>
        </w:tc>
      </w:tr>
      <w:tr>
        <w:trPr>
          <w:cantSplit/>
          <w:cantSplit/>
        </w:trPr>
        <w:tc>
          <w:tcPr>
            <w:tcW w:type="dxa" w:w="7200"/>
            <w:tcBorders>
              <w:top w:val="single" w:sz="4" w:color="D9D9D9"/>
              <w:left w:val="single" w:sz="4" w:color="D9D9D9"/>
              <w:bottom w:val="single" w:sz="4" w:color="D9D9D9"/>
              <w:right w:val="single" w:sz="4" w:color="D9D9D9"/>
            </w:tcBorders>
            <w:shd w:fill="FFFFFF"/>
          </w:tcPr>
          <w:p>
            <w:pPr>
              <w:spacing w:after="60" w:before="60"/>
            </w:pPr>
            <w:r>
              <w:rPr>
                <w:b w:val="0"/>
                <w:sz w:val="20"/>
              </w:rPr>
              <w:t>Budget allocation with headroom</w:t>
            </w:r>
          </w:p>
        </w:tc>
        <w:tc>
          <w:tcPr>
            <w:tcW w:type="dxa" w:w="2880"/>
            <w:tcBorders>
              <w:top w:val="single" w:sz="4" w:color="D9D9D9"/>
              <w:left w:val="single" w:sz="4" w:color="D9D9D9"/>
              <w:bottom w:val="single" w:sz="4" w:color="D9D9D9"/>
              <w:right w:val="single" w:sz="4" w:color="D9D9D9"/>
            </w:tcBorders>
            <w:shd w:fill="FFFFFF"/>
          </w:tcPr>
          <w:p>
            <w:pPr>
              <w:spacing w:after="60" w:before="60"/>
            </w:pPr>
            <w:r>
              <w:rPr>
                <w:b w:val="0"/>
                <w:sz w:val="20"/>
              </w:rPr>
              <w:t>$40 per month</w:t>
            </w:r>
          </w:p>
        </w:tc>
      </w:tr>
    </w:tbl>
    <w:p>
      <w:r>
        <w:t>Mux lists 100,000 monthly included delivery minutes, approximately 1,667 hours, shared across our platform account. The $20 pay-as-you-go credit is also shared; it is not a separate allowance for each agency. Do not assume the account credits are available twice through different billing routes. The free plan has an asset-count limit and is not the basis for this production model.</w:t>
      </w:r>
    </w:p>
    <w:p>
      <w:pPr>
        <w:pStyle w:val="Heading2"/>
      </w:pPr>
      <w:r>
        <w:t>Storage and delivery caveats</w:t>
      </w:r>
    </w:p>
    <w:p>
      <w:r>
        <w:t>The $36 calculation conservatively uses the full 200-hour retained cap without cold-storage discounts. With one upload hour monthly and 30-day deletion, steady retained duration will often be below that cap. Mux Basic may have a minimum storage billing duration; do not assume early deletion eliminates processing-period storage charges. Buffering and preloading can count toward delivery even when the user does not watch every downloaded second.</w:t>
      </w:r>
    </w:p>
    <w:p>
      <w:r>
        <w:t>Keep two playback counters: watched duration for product analytics and delivered duration for vendor cost control. Quota enforcement must consider delivery overhead and short-lived playback authorizations. Disable unnecessary preloading. Our customer-facing hour meter should explain which duration governs the allowance.</w:t>
      </w:r>
    </w:p>
    <w:p>
      <w:pPr>
        <w:pStyle w:val="Heading2"/>
      </w:pPr>
      <w:r>
        <w:t>Scope of this cost comparison</w:t>
      </w:r>
    </w:p>
    <w:p>
      <w:r>
        <w:t>Mux hosts, processes and delivers video; Blob or R2 hosts screenshots and other evidence files. Upload video directly to Mux. Keeping a second copy in Blob would add storage and transfer rather than replace Mux processing or adaptive playback. AI video analysis, custom video domains, DRM and static MP4 renditions are excluded from the base video estimate.</w:t>
      </w:r>
    </w:p>
    <w:p>
      <w:pPr>
        <w:pStyle w:val="Heading2"/>
      </w:pPr>
      <w:r>
        <w:t>Provider anchors checked during planning</w:t>
      </w:r>
    </w:p>
    <w:p>
      <w:r>
        <w:t>Vercel Pro lists a $20 monthly platform fee with one deploying seat and $20 infrastructure credit. Supabase Pro starts at $25 before additional compute and usage. These entry prices are not capacity guarantees for the 100-agency workload; the larger allocations on page 11 include room for growth. [5–6]</w:t>
      </w:r>
    </w:p>
    <w:p>
      <w:r>
        <w:t>[4] https://www.mux.com/pricing</w:t>
        <w:br/>
        <w:t>[5] https://vercel.com/docs/plans/pro-plan</w:t>
        <w:br/>
        <w:t>[6] https://supabase.com/pricing</w:t>
      </w:r>
    </w:p>
    <w:p>
      <w:pPr>
        <w:pStyle w:val="Heading1"/>
        <w:pageBreakBefore/>
      </w:pPr>
      <w:r>
        <w:t>Screenshot storage and CDN comparison</w:t>
      </w:r>
    </w:p>
    <w:p>
      <w:r>
        <w:t>Vercel Blob is a viable first-release alternative to the original R2 recommendation. At this volume, implementation convenience can outweigh a few dollars of monthly difference. Keep the storage adapter provider-independent. This comparison does not select or purchase a provider.</w:t>
      </w:r>
    </w:p>
    <w:p>
      <w:r>
        <w:t>Assume 10,000 new screenshots monthly at 500 KB, three-month retention producing approximately 15 GB average steady-state storage, and 100,000 views. Full originals generate 50 GB viewer delivery. For illustration, optimized previews average 100 KB and generate 10 GB viewer delivery. Actual compression and preview-versus-original viewing must be measured.</w:t>
      </w:r>
    </w:p>
    <w:tbl>
      <w:tblPr>
        <w:tblW w:type="auto" w:w="0"/>
        <w:tblLayout w:type="fixed"/>
        <w:tblLook w:firstColumn="1" w:firstRow="1" w:lastColumn="0" w:lastRow="0" w:noHBand="0" w:noVBand="1" w:val="04A0"/>
      </w:tblPr>
      <w:tblGrid>
        <w:gridCol w:w="3888"/>
        <w:gridCol w:w="2016"/>
        <w:gridCol w:w="2016"/>
        <w:gridCol w:w="2160"/>
      </w:tblGrid>
      <w:tr>
        <w:trPr>
          <w:cantSplit/>
          <w:cantSplit/>
          <w:cantSplit/>
          <w:cantSplit/>
          <w:tblHeader/>
        </w:trPr>
        <w:tc>
          <w:tcPr>
            <w:tcW w:type="dxa" w:w="3888"/>
            <w:tcBorders>
              <w:top w:val="single" w:sz="4" w:color="D9D9D9"/>
              <w:left w:val="single" w:sz="4" w:color="D9D9D9"/>
              <w:bottom w:val="single" w:sz="4" w:color="D9D9D9"/>
              <w:right w:val="single" w:sz="4" w:color="D9D9D9"/>
            </w:tcBorders>
            <w:shd w:fill="E6EDF3"/>
          </w:tcPr>
          <w:p>
            <w:pPr>
              <w:spacing w:after="60" w:before="60"/>
            </w:pPr>
            <w:r>
              <w:rPr>
                <w:b/>
                <w:sz w:val="20"/>
              </w:rPr>
              <w:t>Monthly resource or charge</w:t>
            </w:r>
          </w:p>
        </w:tc>
        <w:tc>
          <w:tcPr>
            <w:tcW w:type="dxa" w:w="2016"/>
            <w:tcBorders>
              <w:top w:val="single" w:sz="4" w:color="D9D9D9"/>
              <w:left w:val="single" w:sz="4" w:color="D9D9D9"/>
              <w:bottom w:val="single" w:sz="4" w:color="D9D9D9"/>
              <w:right w:val="single" w:sz="4" w:color="D9D9D9"/>
            </w:tcBorders>
            <w:shd w:fill="E6EDF3"/>
          </w:tcPr>
          <w:p>
            <w:pPr>
              <w:spacing w:after="60" w:before="60"/>
            </w:pPr>
            <w:r>
              <w:rPr>
                <w:b/>
                <w:sz w:val="20"/>
              </w:rPr>
              <w:t>R2 originals</w:t>
            </w:r>
          </w:p>
        </w:tc>
        <w:tc>
          <w:tcPr>
            <w:tcW w:type="dxa" w:w="2016"/>
            <w:tcBorders>
              <w:top w:val="single" w:sz="4" w:color="D9D9D9"/>
              <w:left w:val="single" w:sz="4" w:color="D9D9D9"/>
              <w:bottom w:val="single" w:sz="4" w:color="D9D9D9"/>
              <w:right w:val="single" w:sz="4" w:color="D9D9D9"/>
            </w:tcBorders>
            <w:shd w:fill="E6EDF3"/>
          </w:tcPr>
          <w:p>
            <w:pPr>
              <w:spacing w:after="60" w:before="60"/>
            </w:pPr>
            <w:r>
              <w:rPr>
                <w:b/>
                <w:sz w:val="20"/>
              </w:rPr>
              <w:t>Blob originals</w:t>
            </w:r>
          </w:p>
        </w:tc>
        <w:tc>
          <w:tcPr>
            <w:tcW w:type="dxa" w:w="2160"/>
            <w:tcBorders>
              <w:top w:val="single" w:sz="4" w:color="D9D9D9"/>
              <w:left w:val="single" w:sz="4" w:color="D9D9D9"/>
              <w:bottom w:val="single" w:sz="4" w:color="D9D9D9"/>
              <w:right w:val="single" w:sz="4" w:color="D9D9D9"/>
            </w:tcBorders>
            <w:shd w:fill="E6EDF3"/>
          </w:tcPr>
          <w:p>
            <w:pPr>
              <w:spacing w:after="60" w:before="60"/>
            </w:pPr>
            <w:r>
              <w:rPr>
                <w:b/>
                <w:sz w:val="20"/>
              </w:rPr>
              <w:t>Blob and Image</w:t>
            </w:r>
          </w:p>
        </w:tc>
      </w:tr>
      <w:tr>
        <w:trPr>
          <w:cantSplit/>
          <w:cantSplit/>
          <w:cantSplit/>
          <w:cantSplit/>
        </w:trPr>
        <w:tc>
          <w:tcPr>
            <w:tcW w:type="dxa" w:w="3888"/>
            <w:tcBorders>
              <w:top w:val="single" w:sz="4" w:color="D9D9D9"/>
              <w:left w:val="single" w:sz="4" w:color="D9D9D9"/>
              <w:bottom w:val="single" w:sz="4" w:color="D9D9D9"/>
              <w:right w:val="single" w:sz="4" w:color="D9D9D9"/>
            </w:tcBorders>
            <w:shd w:fill="FFFFFF"/>
          </w:tcPr>
          <w:p>
            <w:pPr>
              <w:spacing w:after="60" w:before="60"/>
            </w:pPr>
            <w:r>
              <w:rPr>
                <w:b w:val="0"/>
                <w:sz w:val="20"/>
              </w:rPr>
              <w:t>Original storage</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15 GB</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15 GB</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15 GB</w:t>
            </w:r>
          </w:p>
        </w:tc>
      </w:tr>
      <w:tr>
        <w:trPr>
          <w:cantSplit/>
          <w:cantSplit/>
          <w:cantSplit/>
          <w:cantSplit/>
        </w:trPr>
        <w:tc>
          <w:tcPr>
            <w:tcW w:type="dxa" w:w="3888"/>
            <w:tcBorders>
              <w:top w:val="single" w:sz="4" w:color="D9D9D9"/>
              <w:left w:val="single" w:sz="4" w:color="D9D9D9"/>
              <w:bottom w:val="single" w:sz="4" w:color="D9D9D9"/>
              <w:right w:val="single" w:sz="4" w:color="D9D9D9"/>
            </w:tcBorders>
            <w:shd w:fill="FFFFFF"/>
          </w:tcPr>
          <w:p>
            <w:pPr>
              <w:spacing w:after="60" w:before="60"/>
            </w:pPr>
            <w:r>
              <w:rPr>
                <w:b w:val="0"/>
                <w:sz w:val="20"/>
              </w:rPr>
              <w:t>Viewer delivery</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50 GB</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50 GB</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10 GB</w:t>
            </w:r>
          </w:p>
        </w:tc>
      </w:tr>
      <w:tr>
        <w:trPr>
          <w:cantSplit/>
          <w:cantSplit/>
          <w:cantSplit/>
          <w:cantSplit/>
        </w:trPr>
        <w:tc>
          <w:tcPr>
            <w:tcW w:type="dxa" w:w="3888"/>
            <w:tcBorders>
              <w:top w:val="single" w:sz="4" w:color="D9D9D9"/>
              <w:left w:val="single" w:sz="4" w:color="D9D9D9"/>
              <w:bottom w:val="single" w:sz="4" w:color="D9D9D9"/>
              <w:right w:val="single" w:sz="4" w:color="D9D9D9"/>
            </w:tcBorders>
            <w:shd w:fill="FFFFFF"/>
          </w:tcPr>
          <w:p>
            <w:pPr>
              <w:spacing w:after="60" w:before="60"/>
            </w:pPr>
            <w:r>
              <w:rPr>
                <w:b w:val="0"/>
                <w:sz w:val="20"/>
              </w:rPr>
              <w:t>Storage before free allowances</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$0.23</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$0.35</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$0.35</w:t>
            </w:r>
          </w:p>
        </w:tc>
      </w:tr>
      <w:tr>
        <w:trPr>
          <w:cantSplit/>
          <w:cantSplit/>
          <w:cantSplit/>
          <w:cantSplit/>
        </w:trPr>
        <w:tc>
          <w:tcPr>
            <w:tcW w:type="dxa" w:w="3888"/>
            <w:tcBorders>
              <w:top w:val="single" w:sz="4" w:color="D9D9D9"/>
              <w:left w:val="single" w:sz="4" w:color="D9D9D9"/>
              <w:bottom w:val="single" w:sz="4" w:color="D9D9D9"/>
              <w:right w:val="single" w:sz="4" w:color="D9D9D9"/>
            </w:tcBorders>
            <w:shd w:fill="FFFFFF"/>
          </w:tcPr>
          <w:p>
            <w:pPr>
              <w:spacing w:after="60" w:before="60"/>
            </w:pPr>
            <w:r>
              <w:rPr>
                <w:b w:val="0"/>
                <w:sz w:val="20"/>
              </w:rPr>
              <w:t>Viewer transfer on demand</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$0</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$2.50</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$1.50</w:t>
            </w:r>
          </w:p>
        </w:tc>
      </w:tr>
      <w:tr>
        <w:trPr>
          <w:cantSplit/>
          <w:cantSplit/>
          <w:cantSplit/>
          <w:cantSplit/>
        </w:trPr>
        <w:tc>
          <w:tcPr>
            <w:tcW w:type="dxa" w:w="3888"/>
            <w:tcBorders>
              <w:top w:val="single" w:sz="4" w:color="D9D9D9"/>
              <w:left w:val="single" w:sz="4" w:color="D9D9D9"/>
              <w:bottom w:val="single" w:sz="4" w:color="D9D9D9"/>
              <w:right w:val="single" w:sz="4" w:color="D9D9D9"/>
            </w:tcBorders>
            <w:shd w:fill="FFFFFF"/>
          </w:tcPr>
          <w:p>
            <w:pPr>
              <w:spacing w:after="60" w:before="60"/>
            </w:pPr>
            <w:r>
              <w:rPr>
                <w:b w:val="0"/>
                <w:sz w:val="20"/>
              </w:rPr>
              <w:t>Source and origin transfer estimate</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$0</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$0.90</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About $0.60</w:t>
            </w:r>
          </w:p>
        </w:tc>
      </w:tr>
      <w:tr>
        <w:trPr>
          <w:cantSplit/>
          <w:cantSplit/>
          <w:cantSplit/>
          <w:cantSplit/>
        </w:trPr>
        <w:tc>
          <w:tcPr>
            <w:tcW w:type="dxa" w:w="3888"/>
            <w:tcBorders>
              <w:top w:val="single" w:sz="4" w:color="D9D9D9"/>
              <w:left w:val="single" w:sz="4" w:color="D9D9D9"/>
              <w:bottom w:val="single" w:sz="4" w:color="D9D9D9"/>
              <w:right w:val="single" w:sz="4" w:color="D9D9D9"/>
            </w:tcBorders>
            <w:shd w:fill="FFFFFF"/>
          </w:tcPr>
          <w:p>
            <w:pPr>
              <w:spacing w:after="60" w:before="60"/>
            </w:pPr>
            <w:r>
              <w:rPr>
                <w:b w:val="0"/>
                <w:sz w:val="20"/>
              </w:rPr>
              <w:t>Optimization estimate</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$0</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$0</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About $1.50</w:t>
            </w:r>
          </w:p>
        </w:tc>
      </w:tr>
      <w:tr>
        <w:trPr>
          <w:cantSplit/>
          <w:cantSplit/>
          <w:cantSplit/>
          <w:cantSplit/>
        </w:trPr>
        <w:tc>
          <w:tcPr>
            <w:tcW w:type="dxa" w:w="3888"/>
            <w:tcBorders>
              <w:top w:val="single" w:sz="4" w:color="D9D9D9"/>
              <w:left w:val="single" w:sz="4" w:color="D9D9D9"/>
              <w:bottom w:val="single" w:sz="4" w:color="D9D9D9"/>
              <w:right w:val="single" w:sz="4" w:color="D9D9D9"/>
            </w:tcBorders>
            <w:shd w:fill="FFFFFF"/>
          </w:tcPr>
          <w:p>
            <w:pPr>
              <w:spacing w:after="60" w:before="60"/>
            </w:pPr>
            <w:r>
              <w:rPr>
                <w:b w:val="0"/>
                <w:sz w:val="20"/>
              </w:rPr>
              <w:t>Approximate modeled subtotal</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$0.23</w:t>
            </w:r>
          </w:p>
        </w:tc>
        <w:tc>
          <w:tcPr>
            <w:tcW w:type="dxa" w:w="2016"/>
            <w:tcBorders>
              <w:top w:val="single" w:sz="4" w:color="D9D9D9"/>
              <w:left w:val="single" w:sz="4" w:color="D9D9D9"/>
              <w:bottom w:val="single" w:sz="4" w:color="D9D9D9"/>
              <w:right w:val="single" w:sz="4" w:color="D9D9D9"/>
            </w:tcBorders>
            <w:shd w:fill="FFFFFF"/>
          </w:tcPr>
          <w:p>
            <w:pPr>
              <w:spacing w:after="60" w:before="60"/>
            </w:pPr>
            <w:r>
              <w:rPr>
                <w:b w:val="0"/>
                <w:sz w:val="20"/>
              </w:rPr>
              <w:t>$3.75</w:t>
            </w:r>
          </w:p>
        </w:tc>
        <w:tc>
          <w:tcPr>
            <w:tcW w:type="dxa" w:w="2160"/>
            <w:tcBorders>
              <w:top w:val="single" w:sz="4" w:color="D9D9D9"/>
              <w:left w:val="single" w:sz="4" w:color="D9D9D9"/>
              <w:bottom w:val="single" w:sz="4" w:color="D9D9D9"/>
              <w:right w:val="single" w:sz="4" w:color="D9D9D9"/>
            </w:tcBorders>
            <w:shd w:fill="FFFFFF"/>
          </w:tcPr>
          <w:p>
            <w:pPr>
              <w:spacing w:after="60" w:before="60"/>
            </w:pPr>
            <w:r>
              <w:rPr>
                <w:b w:val="0"/>
                <w:sz w:val="20"/>
              </w:rPr>
              <w:t>$3.95</w:t>
            </w:r>
          </w:p>
        </w:tc>
      </w:tr>
    </w:tbl>
    <w:p>
      <w:r>
        <w:t>Use illustrative US on-demand rates: R2 Standard $0.015/GB-month with no internet egress; Blob $0.023/GB-month and $0.05/GB download transfer; Vercel Fast Data Transfer $0.15/GB and Fast Origin Transfer $0.06/GB. Regional rates vary. Object operations, CDN request charges, taxes, functions and plan fees are excluded from the table. [7–9]</w:t>
      </w:r>
    </w:p>
    <w:p>
      <w:pPr>
        <w:pStyle w:val="Heading2"/>
      </w:pPr>
      <w:r>
        <w:t>Optimization assumptions</w:t>
      </w:r>
    </w:p>
    <w:p>
      <w:r>
        <w:t>The Blob-original model assumes 30% downloaded bytes miss the cache. The optimized model assumes one 100 KB variant per screenshot, 10,000 transformations, approximately 13 cache-write units per variant and 90,000 global-cache reads at 13 units each. At low-end published rates, that is approximately $0.50 transformations, $0.52 writes and $0.47 reads. Source fetches and origin traffic vary with actual caching. These are modeled outcomes, not an exact delivery trace. [10]</w:t>
      </w:r>
    </w:p>
    <w:p>
      <w:r>
        <w:t>Next.js Image preserves the stored original and serves optimized derivatives. Multiple dimensions, formats, changed signed source URLs and revalidation can increase transformations. Use a limited set of previews and preserve readable full-resolution evidence. Private-image access must remain authorized through caching; do not expose confidential screenshots just to improve cache hit rates.</w:t>
      </w:r>
    </w:p>
    <w:p>
      <w:pPr>
        <w:pStyle w:val="Heading2"/>
      </w:pPr>
      <w:r>
        <w:t>Included CDN capacity</w:t>
      </w:r>
    </w:p>
    <w:p>
      <w:r>
        <w:t>Eligible Vercel Pro workloads with Flat Rate CDN enabled include 1 TB transfer and 1 million requests shared with the rest of the application. If viewer transfer is covered, the illustrative subtotals become $0.23 R2, $1.25 Blob originals and $2.45 Blob with Image before remaining credits. Origin and image optimization remain separate. Media-heavy file distribution has eligibility restrictions; confirm fit before relying on included delivery. [11]</w:t>
      </w:r>
    </w:p>
    <w:p>
      <w:r>
        <w:t>For perspective, at 100 GB stored and 500 GB downloaded, direct Blob storage/network is approximately $36.30 versus $1.50 R2 before allowances; at 1,000 GB stored and 5,000 GB downloaded, approximately $363 versus $15. Both use 30% Blob cache misses and exclude operations. Smaller delivered previews improve loading speed even when they do not reduce the total on-demand bill.</w:t>
      </w:r>
    </w:p>
    <w:p>
      <w:pPr>
        <w:pStyle w:val="Heading1"/>
        <w:pageBreakBefore/>
      </w:pPr>
      <w:r>
        <w:t>Launch pricing and competitive position</w:t>
      </w:r>
    </w:p>
    <w:p>
      <w:r>
        <w:t>Agreed launch structure: Starter at $29/month with three team members and five active websites; Agency at $79/month with six team members and unlimited active review websites. These are proposed product prices for paid-pilot validation, not already published subscription terms. Guest reviewers do not consume team seats.</w:t>
      </w:r>
    </w:p>
    <w:tbl>
      <w:tblPr>
        <w:tblW w:type="auto" w:w="0"/>
        <w:tblLayout w:type="fixed"/>
        <w:tblLook w:firstColumn="1" w:firstRow="1" w:lastColumn="0" w:lastRow="0" w:noHBand="0" w:noVBand="1" w:val="04A0"/>
      </w:tblPr>
      <w:tblGrid>
        <w:gridCol w:w="3024"/>
        <w:gridCol w:w="1584"/>
        <w:gridCol w:w="1728"/>
        <w:gridCol w:w="3744"/>
      </w:tblGrid>
      <w:tr>
        <w:trPr>
          <w:cantSplit/>
          <w:cantSplit/>
          <w:cantSplit/>
          <w:cantSplit/>
          <w:tblHeader/>
        </w:trPr>
        <w:tc>
          <w:tcPr>
            <w:tcW w:type="dxa" w:w="3024"/>
            <w:tcBorders>
              <w:top w:val="single" w:sz="4" w:color="D9D9D9"/>
              <w:left w:val="single" w:sz="4" w:color="D9D9D9"/>
              <w:bottom w:val="single" w:sz="4" w:color="D9D9D9"/>
              <w:right w:val="single" w:sz="4" w:color="D9D9D9"/>
            </w:tcBorders>
            <w:shd w:fill="E6EDF3"/>
          </w:tcPr>
          <w:p>
            <w:pPr>
              <w:spacing w:after="60" w:before="60"/>
            </w:pPr>
            <w:r>
              <w:rPr>
                <w:b/>
                <w:sz w:val="20"/>
              </w:rPr>
              <w:t>Plan</w:t>
            </w:r>
          </w:p>
        </w:tc>
        <w:tc>
          <w:tcPr>
            <w:tcW w:type="dxa" w:w="1584"/>
            <w:tcBorders>
              <w:top w:val="single" w:sz="4" w:color="D9D9D9"/>
              <w:left w:val="single" w:sz="4" w:color="D9D9D9"/>
              <w:bottom w:val="single" w:sz="4" w:color="D9D9D9"/>
              <w:right w:val="single" w:sz="4" w:color="D9D9D9"/>
            </w:tcBorders>
            <w:shd w:fill="E6EDF3"/>
          </w:tcPr>
          <w:p>
            <w:pPr>
              <w:spacing w:after="60" w:before="60"/>
            </w:pPr>
            <w:r>
              <w:rPr>
                <w:b/>
                <w:sz w:val="20"/>
              </w:rPr>
              <w:t>Monthly price</w:t>
            </w:r>
          </w:p>
        </w:tc>
        <w:tc>
          <w:tcPr>
            <w:tcW w:type="dxa" w:w="1728"/>
            <w:tcBorders>
              <w:top w:val="single" w:sz="4" w:color="D9D9D9"/>
              <w:left w:val="single" w:sz="4" w:color="D9D9D9"/>
              <w:bottom w:val="single" w:sz="4" w:color="D9D9D9"/>
              <w:right w:val="single" w:sz="4" w:color="D9D9D9"/>
            </w:tcBorders>
            <w:shd w:fill="E6EDF3"/>
          </w:tcPr>
          <w:p>
            <w:pPr>
              <w:spacing w:after="60" w:before="60"/>
            </w:pPr>
            <w:r>
              <w:rPr>
                <w:b/>
                <w:sz w:val="20"/>
              </w:rPr>
              <w:t>Team members</w:t>
            </w:r>
          </w:p>
        </w:tc>
        <w:tc>
          <w:tcPr>
            <w:tcW w:type="dxa" w:w="3744"/>
            <w:tcBorders>
              <w:top w:val="single" w:sz="4" w:color="D9D9D9"/>
              <w:left w:val="single" w:sz="4" w:color="D9D9D9"/>
              <w:bottom w:val="single" w:sz="4" w:color="D9D9D9"/>
              <w:right w:val="single" w:sz="4" w:color="D9D9D9"/>
            </w:tcBorders>
            <w:shd w:fill="E6EDF3"/>
          </w:tcPr>
          <w:p>
            <w:pPr>
              <w:spacing w:after="60" w:before="60"/>
            </w:pPr>
            <w:r>
              <w:rPr>
                <w:b/>
                <w:sz w:val="20"/>
              </w:rPr>
              <w:t>Active websites</w:t>
            </w:r>
          </w:p>
        </w:tc>
      </w:tr>
      <w:tr>
        <w:trPr>
          <w:cantSplit/>
          <w:cantSplit/>
          <w:cantSplit/>
          <w:cantSplit/>
        </w:trPr>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20"/>
              </w:rPr>
              <w:t>Starter</w:t>
            </w:r>
          </w:p>
        </w:tc>
        <w:tc>
          <w:tcPr>
            <w:tcW w:type="dxa" w:w="1584"/>
            <w:tcBorders>
              <w:top w:val="single" w:sz="4" w:color="D9D9D9"/>
              <w:left w:val="single" w:sz="4" w:color="D9D9D9"/>
              <w:bottom w:val="single" w:sz="4" w:color="D9D9D9"/>
              <w:right w:val="single" w:sz="4" w:color="D9D9D9"/>
            </w:tcBorders>
            <w:shd w:fill="FFFFFF"/>
          </w:tcPr>
          <w:p>
            <w:pPr>
              <w:spacing w:after="60" w:before="60"/>
            </w:pPr>
            <w:r>
              <w:rPr>
                <w:b w:val="0"/>
                <w:sz w:val="20"/>
              </w:rPr>
              <w:t>$29</w:t>
            </w:r>
          </w:p>
        </w:tc>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3</w:t>
            </w:r>
          </w:p>
        </w:tc>
        <w:tc>
          <w:tcPr>
            <w:tcW w:type="dxa" w:w="3744"/>
            <w:tcBorders>
              <w:top w:val="single" w:sz="4" w:color="D9D9D9"/>
              <w:left w:val="single" w:sz="4" w:color="D9D9D9"/>
              <w:bottom w:val="single" w:sz="4" w:color="D9D9D9"/>
              <w:right w:val="single" w:sz="4" w:color="D9D9D9"/>
            </w:tcBorders>
            <w:shd w:fill="FFFFFF"/>
          </w:tcPr>
          <w:p>
            <w:pPr>
              <w:spacing w:after="60" w:before="60"/>
            </w:pPr>
            <w:r>
              <w:rPr>
                <w:b w:val="0"/>
                <w:sz w:val="20"/>
              </w:rPr>
              <w:t>5</w:t>
            </w:r>
          </w:p>
        </w:tc>
      </w:tr>
      <w:tr>
        <w:trPr>
          <w:cantSplit/>
          <w:cantSplit/>
          <w:cantSplit/>
          <w:cantSplit/>
        </w:trPr>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20"/>
              </w:rPr>
              <w:t>Agency</w:t>
            </w:r>
          </w:p>
        </w:tc>
        <w:tc>
          <w:tcPr>
            <w:tcW w:type="dxa" w:w="1584"/>
            <w:tcBorders>
              <w:top w:val="single" w:sz="4" w:color="D9D9D9"/>
              <w:left w:val="single" w:sz="4" w:color="D9D9D9"/>
              <w:bottom w:val="single" w:sz="4" w:color="D9D9D9"/>
              <w:right w:val="single" w:sz="4" w:color="D9D9D9"/>
            </w:tcBorders>
            <w:shd w:fill="FFFFFF"/>
          </w:tcPr>
          <w:p>
            <w:pPr>
              <w:spacing w:after="60" w:before="60"/>
            </w:pPr>
            <w:r>
              <w:rPr>
                <w:b w:val="0"/>
                <w:sz w:val="20"/>
              </w:rPr>
              <w:t>$79</w:t>
            </w:r>
          </w:p>
        </w:tc>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6</w:t>
            </w:r>
          </w:p>
        </w:tc>
        <w:tc>
          <w:tcPr>
            <w:tcW w:type="dxa" w:w="3744"/>
            <w:tcBorders>
              <w:top w:val="single" w:sz="4" w:color="D9D9D9"/>
              <w:left w:val="single" w:sz="4" w:color="D9D9D9"/>
              <w:bottom w:val="single" w:sz="4" w:color="D9D9D9"/>
              <w:right w:val="single" w:sz="4" w:color="D9D9D9"/>
            </w:tcBorders>
            <w:shd w:fill="FFFFFF"/>
          </w:tcPr>
          <w:p>
            <w:pPr>
              <w:spacing w:after="60" w:before="60"/>
            </w:pPr>
            <w:r>
              <w:rPr>
                <w:b w:val="0"/>
                <w:sz w:val="20"/>
              </w:rPr>
              <w:t>Unlimited review websites</w:t>
            </w:r>
          </w:p>
        </w:tc>
      </w:tr>
      <w:tr>
        <w:trPr>
          <w:cantSplit/>
          <w:cantSplit/>
          <w:cantSplit/>
          <w:cantSplit/>
        </w:trPr>
        <w:tc>
          <w:tcPr>
            <w:tcW w:type="dxa" w:w="3024"/>
            <w:tcBorders>
              <w:top w:val="single" w:sz="4" w:color="D9D9D9"/>
              <w:left w:val="single" w:sz="4" w:color="D9D9D9"/>
              <w:bottom w:val="single" w:sz="4" w:color="D9D9D9"/>
              <w:right w:val="single" w:sz="4" w:color="D9D9D9"/>
            </w:tcBorders>
            <w:shd w:fill="FFFFFF"/>
          </w:tcPr>
          <w:p>
            <w:pPr>
              <w:spacing w:after="60" w:before="60"/>
            </w:pPr>
            <w:r>
              <w:rPr>
                <w:b w:val="0"/>
                <w:sz w:val="20"/>
              </w:rPr>
              <w:t>Agency Intelligence candidate</w:t>
            </w:r>
          </w:p>
        </w:tc>
        <w:tc>
          <w:tcPr>
            <w:tcW w:type="dxa" w:w="1584"/>
            <w:tcBorders>
              <w:top w:val="single" w:sz="4" w:color="D9D9D9"/>
              <w:left w:val="single" w:sz="4" w:color="D9D9D9"/>
              <w:bottom w:val="single" w:sz="4" w:color="D9D9D9"/>
              <w:right w:val="single" w:sz="4" w:color="D9D9D9"/>
            </w:tcBorders>
            <w:shd w:fill="FFFFFF"/>
          </w:tcPr>
          <w:p>
            <w:pPr>
              <w:spacing w:after="60" w:before="60"/>
            </w:pPr>
            <w:r>
              <w:rPr>
                <w:b w:val="0"/>
                <w:sz w:val="20"/>
              </w:rPr>
              <w:t>$119</w:t>
            </w:r>
          </w:p>
        </w:tc>
        <w:tc>
          <w:tcPr>
            <w:tcW w:type="dxa" w:w="1728"/>
            <w:tcBorders>
              <w:top w:val="single" w:sz="4" w:color="D9D9D9"/>
              <w:left w:val="single" w:sz="4" w:color="D9D9D9"/>
              <w:bottom w:val="single" w:sz="4" w:color="D9D9D9"/>
              <w:right w:val="single" w:sz="4" w:color="D9D9D9"/>
            </w:tcBorders>
            <w:shd w:fill="FFFFFF"/>
          </w:tcPr>
          <w:p>
            <w:pPr>
              <w:spacing w:after="60" w:before="60"/>
            </w:pPr>
            <w:r>
              <w:rPr>
                <w:b w:val="0"/>
                <w:sz w:val="20"/>
              </w:rPr>
              <w:t>To define</w:t>
            </w:r>
          </w:p>
        </w:tc>
        <w:tc>
          <w:tcPr>
            <w:tcW w:type="dxa" w:w="3744"/>
            <w:tcBorders>
              <w:top w:val="single" w:sz="4" w:color="D9D9D9"/>
              <w:left w:val="single" w:sz="4" w:color="D9D9D9"/>
              <w:bottom w:val="single" w:sz="4" w:color="D9D9D9"/>
              <w:right w:val="single" w:sz="4" w:color="D9D9D9"/>
            </w:tcBorders>
            <w:shd w:fill="FFFFFF"/>
          </w:tcPr>
          <w:p>
            <w:pPr>
              <w:spacing w:after="60" w:before="60"/>
            </w:pPr>
            <w:r>
              <w:rPr>
                <w:b w:val="0"/>
                <w:sz w:val="20"/>
              </w:rPr>
              <w:t>To define</w:t>
            </w:r>
          </w:p>
        </w:tc>
      </w:tr>
    </w:tbl>
    <w:p>
      <w:r>
        <w:t>The $119 intelligence tier remains a future candidate, not an agreed launch commitment. Introduce it only when bounded analytics, evidence-linked AI and automated checks are available. Annual prices, additional team-seat prices and Starter video allowances remain open decisions. Do not silently give Starter the Agency resource allowance.</w:t>
      </w:r>
    </w:p>
    <w:p>
      <w:pPr>
        <w:pStyle w:val="Heading2"/>
      </w:pPr>
      <w:r>
        <w:t>Unlimited websites with pooled usage</w:t>
      </w:r>
    </w:p>
    <w:p>
      <w:r>
        <w:t>Unlimited means review projects, not unlimited processing or traffic. Video, proxy bytes/sessions, browser checks, AI analyses and tracked pageviews use workspace-level allowances. Creating another website does not multiply them. Agency starts with the video limits on page 9: one upload hour per month, two retained hours, ten playback hours per month and 30-day retention, with no automatic overages.</w:t>
      </w:r>
    </w:p>
    <w:p>
      <w:r>
        <w:t>At 100 agencies averaging ten websites, 1,000 registered sites need not double operating costs if review activity stays similar. Project records are inexpensive. Continuous monitoring and production analytics still incur workload-dependent costs, even without a reviewer opening the dashboard. Re-estimate if usage rises; neither $750 nor $1,000 is a guaranteed ceiling.</w:t>
      </w:r>
    </w:p>
    <w:p>
      <w:pPr>
        <w:pStyle w:val="Heading2"/>
      </w:pPr>
      <w:r>
        <w:t>Comparison with Pastel</w:t>
      </w:r>
    </w:p>
    <w:p>
      <w:r>
        <w:t>Pastel lists Pro at $35 monthly for two users, three website canvases and 100 GB video storage; annual billing is $350. Team lists $119 monthly for five users, unlimited canvases and 500 GB video storage; annual billing is $1,190. Team also includes integrations and webhook export. A canvas covers a website. Our time-based video limits and shorter retention are not equivalent to those storage allowances. [12]</w:t>
      </w:r>
    </w:p>
    <w:p>
      <w:r>
        <w:t>Starter offers a lower entry price and more seats/sites; Agency offers a lower monthly price and six seats. Pastel retains advantages in established integrations, generous video storage and no-install review. Our first release must demonstrate reliable capture and version-specific verification history. The differentiated beta adds behavioral evidence and repeatable checks. Approvals, video, assignment and generic AI access alone are not exclusive selling points.</w:t>
      </w:r>
    </w:p>
    <w:p>
      <w:pPr>
        <w:pStyle w:val="Heading2"/>
      </w:pPr>
      <w:r>
        <w:t>Positioning for the launch</w:t>
      </w:r>
    </w:p>
    <w:p>
      <w:r>
        <w:t>Lead with clear review, actionable evidence and a documented verification step. Show which deployment and viewport were checked before approval. Once telemetry ships, show whether real users experience the same problem. Preserve original feedback and distinguish observed facts from AI hypotheses. Charge for shipped capabilities rather than promising the entire roadmap as current functionality.</w:t>
      </w:r>
    </w:p>
    <w:p>
      <w:pPr>
        <w:pStyle w:val="Heading1"/>
        <w:pageBreakBefore/>
      </w:pPr>
      <w:r>
        <w:t>Owner operated economics and cost controls</w:t>
      </w:r>
    </w:p>
    <w:p>
      <w:r>
        <w:t>A sole developer can run a lean business and price competitively. Infrastructure is not the only expense, and remaining revenue is not personal take-home income. Use the $1,000 operating assumption below for planning; payment fees, support, development time, marketing, taxes and other business expenses remain outside that figure.</w:t>
      </w:r>
    </w:p>
    <w:tbl>
      <w:tblPr>
        <w:tblW w:type="auto" w:w="0"/>
        <w:tblLayout w:type="fixed"/>
        <w:tblLook w:firstColumn="1" w:firstRow="1" w:lastColumn="0" w:lastRow="0" w:noHBand="0" w:noVBand="1" w:val="04A0"/>
      </w:tblPr>
      <w:tblGrid>
        <w:gridCol w:w="4320"/>
        <w:gridCol w:w="2592"/>
        <w:gridCol w:w="3168"/>
      </w:tblGrid>
      <w:tr>
        <w:trPr>
          <w:cantSplit/>
          <w:cantSplit/>
          <w:cantSplit/>
          <w:tblHeader/>
        </w:trPr>
        <w:tc>
          <w:tcPr>
            <w:tcW w:type="dxa" w:w="4320"/>
            <w:tcBorders>
              <w:top w:val="single" w:sz="4" w:color="D9D9D9"/>
              <w:left w:val="single" w:sz="4" w:color="D9D9D9"/>
              <w:bottom w:val="single" w:sz="4" w:color="D9D9D9"/>
              <w:right w:val="single" w:sz="4" w:color="D9D9D9"/>
            </w:tcBorders>
            <w:shd w:fill="E6EDF3"/>
          </w:tcPr>
          <w:p>
            <w:pPr>
              <w:spacing w:after="60" w:before="60"/>
            </w:pPr>
            <w:r>
              <w:rPr>
                <w:b/>
                <w:sz w:val="20"/>
              </w:rPr>
              <w:t>100 paying customers</w:t>
            </w:r>
          </w:p>
        </w:tc>
        <w:tc>
          <w:tcPr>
            <w:tcW w:type="dxa" w:w="2592"/>
            <w:tcBorders>
              <w:top w:val="single" w:sz="4" w:color="D9D9D9"/>
              <w:left w:val="single" w:sz="4" w:color="D9D9D9"/>
              <w:bottom w:val="single" w:sz="4" w:color="D9D9D9"/>
              <w:right w:val="single" w:sz="4" w:color="D9D9D9"/>
            </w:tcBorders>
            <w:shd w:fill="E6EDF3"/>
          </w:tcPr>
          <w:p>
            <w:pPr>
              <w:spacing w:after="60" w:before="60"/>
            </w:pPr>
            <w:r>
              <w:rPr>
                <w:b/>
                <w:sz w:val="20"/>
              </w:rPr>
              <w:t>Monthly revenue</w:t>
            </w:r>
          </w:p>
        </w:tc>
        <w:tc>
          <w:tcPr>
            <w:tcW w:type="dxa" w:w="3168"/>
            <w:tcBorders>
              <w:top w:val="single" w:sz="4" w:color="D9D9D9"/>
              <w:left w:val="single" w:sz="4" w:color="D9D9D9"/>
              <w:bottom w:val="single" w:sz="4" w:color="D9D9D9"/>
              <w:right w:val="single" w:sz="4" w:color="D9D9D9"/>
            </w:tcBorders>
            <w:shd w:fill="E6EDF3"/>
          </w:tcPr>
          <w:p>
            <w:pPr>
              <w:spacing w:after="60" w:before="60"/>
            </w:pPr>
            <w:r>
              <w:rPr>
                <w:b/>
                <w:sz w:val="20"/>
              </w:rPr>
              <w:t>After $1,000 operating costs</w:t>
            </w:r>
          </w:p>
        </w:tc>
      </w:tr>
      <w:tr>
        <w:trPr>
          <w:cantSplit/>
          <w:cantSplit/>
          <w:cantSplit/>
        </w:trPr>
        <w:tc>
          <w:tcPr>
            <w:tcW w:type="dxa" w:w="4320"/>
            <w:tcBorders>
              <w:top w:val="single" w:sz="4" w:color="D9D9D9"/>
              <w:left w:val="single" w:sz="4" w:color="D9D9D9"/>
              <w:bottom w:val="single" w:sz="4" w:color="D9D9D9"/>
              <w:right w:val="single" w:sz="4" w:color="D9D9D9"/>
            </w:tcBorders>
            <w:shd w:fill="FFFFFF"/>
          </w:tcPr>
          <w:p>
            <w:pPr>
              <w:spacing w:after="60" w:before="60"/>
            </w:pPr>
            <w:r>
              <w:rPr>
                <w:b w:val="0"/>
                <w:sz w:val="20"/>
              </w:rPr>
              <w:t>All at $29</w:t>
            </w:r>
          </w:p>
        </w:tc>
        <w:tc>
          <w:tcPr>
            <w:tcW w:type="dxa" w:w="2592"/>
            <w:tcBorders>
              <w:top w:val="single" w:sz="4" w:color="D9D9D9"/>
              <w:left w:val="single" w:sz="4" w:color="D9D9D9"/>
              <w:bottom w:val="single" w:sz="4" w:color="D9D9D9"/>
              <w:right w:val="single" w:sz="4" w:color="D9D9D9"/>
            </w:tcBorders>
            <w:shd w:fill="FFFFFF"/>
          </w:tcPr>
          <w:p>
            <w:pPr>
              <w:spacing w:after="60" w:before="60"/>
            </w:pPr>
            <w:r>
              <w:rPr>
                <w:b w:val="0"/>
                <w:sz w:val="20"/>
              </w:rPr>
              <w:t>$2,900</w:t>
            </w:r>
          </w:p>
        </w:tc>
        <w:tc>
          <w:tcPr>
            <w:tcW w:type="dxa" w:w="3168"/>
            <w:tcBorders>
              <w:top w:val="single" w:sz="4" w:color="D9D9D9"/>
              <w:left w:val="single" w:sz="4" w:color="D9D9D9"/>
              <w:bottom w:val="single" w:sz="4" w:color="D9D9D9"/>
              <w:right w:val="single" w:sz="4" w:color="D9D9D9"/>
            </w:tcBorders>
            <w:shd w:fill="FFFFFF"/>
          </w:tcPr>
          <w:p>
            <w:pPr>
              <w:spacing w:after="60" w:before="60"/>
            </w:pPr>
            <w:r>
              <w:rPr>
                <w:b w:val="0"/>
                <w:sz w:val="20"/>
              </w:rPr>
              <w:t>$1,900</w:t>
            </w:r>
          </w:p>
        </w:tc>
      </w:tr>
      <w:tr>
        <w:trPr>
          <w:cantSplit/>
          <w:cantSplit/>
          <w:cantSplit/>
        </w:trPr>
        <w:tc>
          <w:tcPr>
            <w:tcW w:type="dxa" w:w="4320"/>
            <w:tcBorders>
              <w:top w:val="single" w:sz="4" w:color="D9D9D9"/>
              <w:left w:val="single" w:sz="4" w:color="D9D9D9"/>
              <w:bottom w:val="single" w:sz="4" w:color="D9D9D9"/>
              <w:right w:val="single" w:sz="4" w:color="D9D9D9"/>
            </w:tcBorders>
            <w:shd w:fill="FFFFFF"/>
          </w:tcPr>
          <w:p>
            <w:pPr>
              <w:spacing w:after="60" w:before="60"/>
            </w:pPr>
            <w:r>
              <w:rPr>
                <w:b w:val="0"/>
                <w:sz w:val="20"/>
              </w:rPr>
              <w:t>All at $49 comparison only</w:t>
            </w:r>
          </w:p>
        </w:tc>
        <w:tc>
          <w:tcPr>
            <w:tcW w:type="dxa" w:w="2592"/>
            <w:tcBorders>
              <w:top w:val="single" w:sz="4" w:color="D9D9D9"/>
              <w:left w:val="single" w:sz="4" w:color="D9D9D9"/>
              <w:bottom w:val="single" w:sz="4" w:color="D9D9D9"/>
              <w:right w:val="single" w:sz="4" w:color="D9D9D9"/>
            </w:tcBorders>
            <w:shd w:fill="FFFFFF"/>
          </w:tcPr>
          <w:p>
            <w:pPr>
              <w:spacing w:after="60" w:before="60"/>
            </w:pPr>
            <w:r>
              <w:rPr>
                <w:b w:val="0"/>
                <w:sz w:val="20"/>
              </w:rPr>
              <w:t>$4,900</w:t>
            </w:r>
          </w:p>
        </w:tc>
        <w:tc>
          <w:tcPr>
            <w:tcW w:type="dxa" w:w="3168"/>
            <w:tcBorders>
              <w:top w:val="single" w:sz="4" w:color="D9D9D9"/>
              <w:left w:val="single" w:sz="4" w:color="D9D9D9"/>
              <w:bottom w:val="single" w:sz="4" w:color="D9D9D9"/>
              <w:right w:val="single" w:sz="4" w:color="D9D9D9"/>
            </w:tcBorders>
            <w:shd w:fill="FFFFFF"/>
          </w:tcPr>
          <w:p>
            <w:pPr>
              <w:spacing w:after="60" w:before="60"/>
            </w:pPr>
            <w:r>
              <w:rPr>
                <w:b w:val="0"/>
                <w:sz w:val="20"/>
              </w:rPr>
              <w:t>$3,900</w:t>
            </w:r>
          </w:p>
        </w:tc>
      </w:tr>
      <w:tr>
        <w:trPr>
          <w:cantSplit/>
          <w:cantSplit/>
          <w:cantSplit/>
        </w:trPr>
        <w:tc>
          <w:tcPr>
            <w:tcW w:type="dxa" w:w="4320"/>
            <w:tcBorders>
              <w:top w:val="single" w:sz="4" w:color="D9D9D9"/>
              <w:left w:val="single" w:sz="4" w:color="D9D9D9"/>
              <w:bottom w:val="single" w:sz="4" w:color="D9D9D9"/>
              <w:right w:val="single" w:sz="4" w:color="D9D9D9"/>
            </w:tcBorders>
            <w:shd w:fill="FFFFFF"/>
          </w:tcPr>
          <w:p>
            <w:pPr>
              <w:spacing w:after="60" w:before="60"/>
            </w:pPr>
            <w:r>
              <w:rPr>
                <w:b w:val="0"/>
                <w:sz w:val="20"/>
              </w:rPr>
              <w:t>All at $79</w:t>
            </w:r>
          </w:p>
        </w:tc>
        <w:tc>
          <w:tcPr>
            <w:tcW w:type="dxa" w:w="2592"/>
            <w:tcBorders>
              <w:top w:val="single" w:sz="4" w:color="D9D9D9"/>
              <w:left w:val="single" w:sz="4" w:color="D9D9D9"/>
              <w:bottom w:val="single" w:sz="4" w:color="D9D9D9"/>
              <w:right w:val="single" w:sz="4" w:color="D9D9D9"/>
            </w:tcBorders>
            <w:shd w:fill="FFFFFF"/>
          </w:tcPr>
          <w:p>
            <w:pPr>
              <w:spacing w:after="60" w:before="60"/>
            </w:pPr>
            <w:r>
              <w:rPr>
                <w:b w:val="0"/>
                <w:sz w:val="20"/>
              </w:rPr>
              <w:t>$7,900</w:t>
            </w:r>
          </w:p>
        </w:tc>
        <w:tc>
          <w:tcPr>
            <w:tcW w:type="dxa" w:w="3168"/>
            <w:tcBorders>
              <w:top w:val="single" w:sz="4" w:color="D9D9D9"/>
              <w:left w:val="single" w:sz="4" w:color="D9D9D9"/>
              <w:bottom w:val="single" w:sz="4" w:color="D9D9D9"/>
              <w:right w:val="single" w:sz="4" w:color="D9D9D9"/>
            </w:tcBorders>
            <w:shd w:fill="FFFFFF"/>
          </w:tcPr>
          <w:p>
            <w:pPr>
              <w:spacing w:after="60" w:before="60"/>
            </w:pPr>
            <w:r>
              <w:rPr>
                <w:b w:val="0"/>
                <w:sz w:val="20"/>
              </w:rPr>
              <w:t>$6,900</w:t>
            </w:r>
          </w:p>
        </w:tc>
      </w:tr>
      <w:tr>
        <w:trPr>
          <w:cantSplit/>
          <w:cantSplit/>
          <w:cantSplit/>
        </w:trPr>
        <w:tc>
          <w:tcPr>
            <w:tcW w:type="dxa" w:w="4320"/>
            <w:tcBorders>
              <w:top w:val="single" w:sz="4" w:color="D9D9D9"/>
              <w:left w:val="single" w:sz="4" w:color="D9D9D9"/>
              <w:bottom w:val="single" w:sz="4" w:color="D9D9D9"/>
              <w:right w:val="single" w:sz="4" w:color="D9D9D9"/>
            </w:tcBorders>
            <w:shd w:fill="FFFFFF"/>
          </w:tcPr>
          <w:p>
            <w:pPr>
              <w:spacing w:after="60" w:before="60"/>
            </w:pPr>
            <w:r>
              <w:rPr>
                <w:b w:val="0"/>
                <w:sz w:val="20"/>
              </w:rPr>
              <w:t>50 Starter and 50 Agency</w:t>
            </w:r>
          </w:p>
        </w:tc>
        <w:tc>
          <w:tcPr>
            <w:tcW w:type="dxa" w:w="2592"/>
            <w:tcBorders>
              <w:top w:val="single" w:sz="4" w:color="D9D9D9"/>
              <w:left w:val="single" w:sz="4" w:color="D9D9D9"/>
              <w:bottom w:val="single" w:sz="4" w:color="D9D9D9"/>
              <w:right w:val="single" w:sz="4" w:color="D9D9D9"/>
            </w:tcBorders>
            <w:shd w:fill="FFFFFF"/>
          </w:tcPr>
          <w:p>
            <w:pPr>
              <w:spacing w:after="60" w:before="60"/>
            </w:pPr>
            <w:r>
              <w:rPr>
                <w:b w:val="0"/>
                <w:sz w:val="20"/>
              </w:rPr>
              <w:t>$5,400</w:t>
            </w:r>
          </w:p>
        </w:tc>
        <w:tc>
          <w:tcPr>
            <w:tcW w:type="dxa" w:w="3168"/>
            <w:tcBorders>
              <w:top w:val="single" w:sz="4" w:color="D9D9D9"/>
              <w:left w:val="single" w:sz="4" w:color="D9D9D9"/>
              <w:bottom w:val="single" w:sz="4" w:color="D9D9D9"/>
              <w:right w:val="single" w:sz="4" w:color="D9D9D9"/>
            </w:tcBorders>
            <w:shd w:fill="FFFFFF"/>
          </w:tcPr>
          <w:p>
            <w:pPr>
              <w:spacing w:after="60" w:before="60"/>
            </w:pPr>
            <w:r>
              <w:rPr>
                <w:b w:val="0"/>
                <w:sz w:val="20"/>
              </w:rPr>
              <w:t>$4,400</w:t>
            </w:r>
          </w:p>
        </w:tc>
      </w:tr>
    </w:tbl>
    <w:p>
      <w:r>
        <w:t>The $49 row is a sensitivity example, not an additional agreed plan. With 100 Agency customers, $79 pricing generates $7,900 monthly; after the $750 first-release infrastructure budget, $7,150 remains before other expenses. At the $1,000 assumption, $6,900 remains. An agency using fewer websites does not necessarily cost less if it uploads more media or generates heavier telemetry.</w:t>
      </w:r>
    </w:p>
    <w:p>
      <w:pPr>
        <w:pStyle w:val="Heading2"/>
      </w:pPr>
      <w:r>
        <w:t>Commercial controls before launch</w:t>
      </w:r>
    </w:p>
    <w:p>
      <w:pPr>
        <w:pStyle w:val="ListBullet"/>
      </w:pPr>
      <w:r>
        <w:t>Keep usage pooled by workspace and publish each included allowance. Unlimited review projects do not imply unlimited telemetry, AI or video.</w:t>
      </w:r>
    </w:p>
    <w:p>
      <w:pPr>
        <w:pStyle w:val="ListBullet"/>
      </w:pPr>
      <w:r>
        <w:t>Define and implement Starter video limits before publishing the plan. Maintain explicit owner approval for higher usage; no surprise overage charges in the pilot.</w:t>
      </w:r>
    </w:p>
    <w:p>
      <w:pPr>
        <w:pStyle w:val="ListBullet"/>
      </w:pPr>
      <w:r>
        <w:t>Measure cost by workspace and by resource; report budget versus actual at 25, 50 and 100 paying agencies. Set alerts before exhausting provider credits or customer allowances.</w:t>
      </w:r>
    </w:p>
    <w:p>
      <w:pPr>
        <w:pStyle w:val="ListBullet"/>
      </w:pPr>
      <w:r>
        <w:t>Run paid pilots at the proposed prices. Evaluate installation completion, completed reviews, time spent supporting each agency, retention and willingness to upgrade.</w:t>
      </w:r>
    </w:p>
    <w:p>
      <w:pPr>
        <w:pStyle w:val="ListBullet"/>
      </w:pPr>
      <w:r>
        <w:t>Offer founding-customer discounts only with a stated duration and renewal price. Earlier $99 launch and $79 founding offers are superseded by the $29 Starter and $79 Agency working prices; no founding discount is currently finalized.</w:t>
      </w:r>
    </w:p>
    <w:p>
      <w:pPr>
        <w:pStyle w:val="Heading2"/>
      </w:pPr>
      <w:r>
        <w:t>Backlog additions</w:t>
      </w:r>
    </w:p>
    <w:p>
      <w:r>
        <w:t>Add A15 after A05 and A12: plan entitlements for seats, active-site limits, unlimited Agency review projects, workspace counters and explicit upgrade handling. Add A16 after A13–A15: cost dashboard and quota reconciliation, Starter video configuration, mixed-plan pilot scenarios and exportable unit-economics report. Re-estimate these commercial tasks before scheduling; the video-adjusted 19–30 engineer-week range is not an allowance for unlimited new scope.</w:t>
      </w:r>
    </w:p>
    <w:p>
      <w:pPr>
        <w:pStyle w:val="Heading2"/>
      </w:pPr>
      <w:r>
        <w:t>Pricing and storage references</w:t>
      </w:r>
    </w:p>
    <w:p>
      <w:r>
        <w:t>[7] https://developers.cloudflare.com/r2/pricing/</w:t>
        <w:br/>
        <w:t>[8] https://vercel.com/docs/vercel-blob/usage-and-pricing</w:t>
        <w:br/>
        <w:t>[9] https://vercel.com/docs/pricing/regional-pricing</w:t>
        <w:br/>
        <w:t>[10] https://vercel.com/docs/image-optimization/limits-and-pricing</w:t>
        <w:br/>
        <w:t>[11] https://vercel.com/docs/pricing/flat-rate-cdn</w:t>
        <w:br/>
        <w:t>[12] https://usepastel.com/plans</w:t>
      </w:r>
    </w:p>
    <w:p>
      <w:r>
        <w:t>Rates and competitor allowances checked October 4 2026. Verify again before purchase or publication. Estimates assume shared services and bounded usage; actual invoice treatment, cache behavior and vendor allowances can change.</w:t>
      </w:r>
    </w:p>
    <w:sectPr w:rsidR="00FC693F" w:rsidRPr="0006063C" w:rsidSect="00034616">
      <w:footerReference w:type="default" r:id="rId9"/>
      <w:pgSz w:w="12240" w:h="15840"/>
      <w:pgMar w:top="1008"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Pass off build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