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Wildlife Strike Status Report</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keepNext w:val="0"/>
            </w:pPr>
            <w:r>
              <w:t>Name</w:t>
            </w:r>
          </w:p>
        </w:tc>
        <w:tc>
          <w:tcPr>
            <w:tcW w:type="dxa" w:w="2160"/>
          </w:tcPr>
          <w:p>
            <w:pPr>
              <w:keepNext w:val="0"/>
            </w:pPr>
            <w:r>
              <w:t>Rabin Acharya</w:t>
            </w:r>
          </w:p>
        </w:tc>
        <w:tc>
          <w:tcPr>
            <w:tcW w:type="dxa" w:w="2160"/>
          </w:tcPr>
          <w:p>
            <w:pPr>
              <w:keepNext w:val="0"/>
            </w:pPr>
            <w:r>
              <w:t>Week and Date</w:t>
            </w:r>
          </w:p>
        </w:tc>
        <w:tc>
          <w:tcPr>
            <w:tcW w:type="dxa" w:w="2160"/>
          </w:tcPr>
          <w:p>
            <w:pPr>
              <w:keepNext w:val="0"/>
            </w:pPr>
            <w:r>
              <w:t>Week 7 October 11 2026</w:t>
            </w:r>
          </w:p>
        </w:tc>
      </w:tr>
    </w:tbl>
    <w:p>
      <w:pPr>
        <w:pStyle w:val="Heading1"/>
      </w:pPr>
      <w:r>
        <w:t>Project title</w:t>
      </w:r>
    </w:p>
    <w:p>
      <w:r>
        <w:t>Temporal Risk Modeling of Damaging Wildlife Strikes at Selected U.S. Airports</w:t>
      </w:r>
    </w:p>
    <w:p>
      <w:pPr>
        <w:pStyle w:val="Heading1"/>
      </w:pPr>
      <w:r>
        <w:t>Project summary</w:t>
      </w:r>
    </w:p>
    <w:p>
      <w:r>
        <w:t>I completed a retrospective airport-month forecasting analysis using the supplied FAA workbook. The final evaluation compares logistic regression, random forest, and a historical airport baseline at a fixed monthly review capacity. My recommendation is: Pilot logistic rankings for 11 monthly wildlife-management reviews across 53 selected airports while retaining routine prevention and checking report availability.</w:t>
      </w:r>
    </w:p>
    <w:p>
      <w:pPr>
        <w:pStyle w:val="Heading1"/>
      </w:pPr>
      <w:r>
        <w:t>Milestones</w:t>
      </w:r>
    </w:p>
    <w:p>
      <w:r>
        <w:t>DONE: source audit, descriptive damage analysis, airport eligibility, monthly panel, prior-history predictors, rolling training-year tuning, 2023 validation, 2024 test, baseline comparison, calibration, reproducible code, final report, ten-slide main presentation with appendix, talk script, and Q&amp;A preparation. PENDING: my recorded one-take rehearsal and observed self-assessment.</w:t>
      </w:r>
    </w:p>
    <w:p>
      <w:pPr>
        <w:pStyle w:val="Heading1"/>
      </w:pPr>
      <w:r>
        <w:t>Last weeks To Do</w:t>
      </w:r>
    </w:p>
    <w:p>
      <w:r>
        <w:t>Complete training-year tuning and coefficient checks, freeze the process, evaluate 2024, and clarify the stakeholder decision. These analytical tasks are complete in the new reproducible implementation.</w:t>
      </w:r>
    </w:p>
    <w:p>
      <w:pPr>
        <w:pStyle w:val="Heading1"/>
      </w:pPr>
      <w:r>
        <w:t>This weeks progress</w:t>
      </w:r>
    </w:p>
    <w:p>
      <w:r>
        <w:t>The workbook has 353,804 data rows, correcting the earlier total of 353,805. Removing 8 repeated incident identifiers leaves 353,796. The descriptive comparison includes 312,726 records. The training-only rule identifies 53 airports. I tuned models using 2020–2022 rolling yearly evaluations, fit through 2022, evaluated 2023, and opened the reserved 2024 test after recording the final specification. The final monthly rule reviews 11 airports each month, or 132 airport-months in 2024. Earlier reports used about 128 pooled yearly records. The new rule supports monthly review. Original code was unavailable, so this is a documented reconstruction with revised settings.</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keepNext/>
            </w:pPr>
            <w:r>
              <w:t>2024 method</w:t>
            </w:r>
          </w:p>
        </w:tc>
        <w:tc>
          <w:tcPr>
            <w:tcW w:type="dxa" w:w="1728"/>
          </w:tcPr>
          <w:p>
            <w:pPr>
              <w:keepNext/>
            </w:pPr>
            <w:r>
              <w:t>Captured</w:t>
            </w:r>
          </w:p>
        </w:tc>
        <w:tc>
          <w:tcPr>
            <w:tcW w:type="dxa" w:w="1728"/>
          </w:tcPr>
          <w:p>
            <w:pPr>
              <w:keepNext/>
            </w:pPr>
            <w:r>
              <w:t>Missed</w:t>
            </w:r>
          </w:p>
        </w:tc>
        <w:tc>
          <w:tcPr>
            <w:tcW w:type="dxa" w:w="1728"/>
          </w:tcPr>
          <w:p>
            <w:pPr>
              <w:keepNext/>
            </w:pPr>
            <w:r>
              <w:t>Precision</w:t>
            </w:r>
          </w:p>
        </w:tc>
        <w:tc>
          <w:tcPr>
            <w:tcW w:type="dxa" w:w="1728"/>
          </w:tcPr>
          <w:p>
            <w:pPr>
              <w:keepNext/>
            </w:pPr>
            <w:r>
              <w:t>Brier</w:t>
            </w:r>
          </w:p>
        </w:tc>
      </w:tr>
      <w:tr>
        <w:tc>
          <w:tcPr>
            <w:tcW w:type="dxa" w:w="1728"/>
          </w:tcPr>
          <w:p>
            <w:pPr>
              <w:keepNext/>
            </w:pPr>
            <w:r>
              <w:t>logistic</w:t>
            </w:r>
          </w:p>
        </w:tc>
        <w:tc>
          <w:tcPr>
            <w:tcW w:type="dxa" w:w="1728"/>
          </w:tcPr>
          <w:p>
            <w:pPr>
              <w:keepNext/>
            </w:pPr>
            <w:r>
              <w:t>69</w:t>
            </w:r>
          </w:p>
        </w:tc>
        <w:tc>
          <w:tcPr>
            <w:tcW w:type="dxa" w:w="1728"/>
          </w:tcPr>
          <w:p>
            <w:pPr>
              <w:keepNext/>
            </w:pPr>
            <w:r>
              <w:t>117</w:t>
            </w:r>
          </w:p>
        </w:tc>
        <w:tc>
          <w:tcPr>
            <w:tcW w:type="dxa" w:w="1728"/>
          </w:tcPr>
          <w:p>
            <w:pPr>
              <w:keepNext/>
            </w:pPr>
            <w:r>
              <w:t>52.3%</w:t>
            </w:r>
          </w:p>
        </w:tc>
        <w:tc>
          <w:tcPr>
            <w:tcW w:type="dxa" w:w="1728"/>
          </w:tcPr>
          <w:p>
            <w:pPr>
              <w:keepNext/>
            </w:pPr>
            <w:r>
              <w:t>0.191</w:t>
            </w:r>
          </w:p>
        </w:tc>
      </w:tr>
      <w:tr>
        <w:tc>
          <w:tcPr>
            <w:tcW w:type="dxa" w:w="1728"/>
          </w:tcPr>
          <w:p>
            <w:pPr>
              <w:keepNext/>
            </w:pPr>
            <w:r>
              <w:t>forest</w:t>
            </w:r>
          </w:p>
        </w:tc>
        <w:tc>
          <w:tcPr>
            <w:tcW w:type="dxa" w:w="1728"/>
          </w:tcPr>
          <w:p>
            <w:pPr>
              <w:keepNext/>
            </w:pPr>
            <w:r>
              <w:t>67</w:t>
            </w:r>
          </w:p>
        </w:tc>
        <w:tc>
          <w:tcPr>
            <w:tcW w:type="dxa" w:w="1728"/>
          </w:tcPr>
          <w:p>
            <w:pPr>
              <w:keepNext/>
            </w:pPr>
            <w:r>
              <w:t>119</w:t>
            </w:r>
          </w:p>
        </w:tc>
        <w:tc>
          <w:tcPr>
            <w:tcW w:type="dxa" w:w="1728"/>
          </w:tcPr>
          <w:p>
            <w:pPr>
              <w:keepNext/>
            </w:pPr>
            <w:r>
              <w:t>50.8%</w:t>
            </w:r>
          </w:p>
        </w:tc>
        <w:tc>
          <w:tcPr>
            <w:tcW w:type="dxa" w:w="1728"/>
          </w:tcPr>
          <w:p>
            <w:pPr>
              <w:keepNext/>
            </w:pPr>
            <w:r>
              <w:t>0.185</w:t>
            </w:r>
          </w:p>
        </w:tc>
      </w:tr>
      <w:tr>
        <w:tc>
          <w:tcPr>
            <w:tcW w:type="dxa" w:w="1728"/>
          </w:tcPr>
          <w:p>
            <w:pPr>
              <w:keepNext w:val="0"/>
            </w:pPr>
            <w:r>
              <w:t>airport_history</w:t>
            </w:r>
          </w:p>
        </w:tc>
        <w:tc>
          <w:tcPr>
            <w:tcW w:type="dxa" w:w="1728"/>
          </w:tcPr>
          <w:p>
            <w:pPr>
              <w:keepNext w:val="0"/>
            </w:pPr>
            <w:r>
              <w:t>61</w:t>
            </w:r>
          </w:p>
        </w:tc>
        <w:tc>
          <w:tcPr>
            <w:tcW w:type="dxa" w:w="1728"/>
          </w:tcPr>
          <w:p>
            <w:pPr>
              <w:keepNext w:val="0"/>
            </w:pPr>
            <w:r>
              <w:t>125</w:t>
            </w:r>
          </w:p>
        </w:tc>
        <w:tc>
          <w:tcPr>
            <w:tcW w:type="dxa" w:w="1728"/>
          </w:tcPr>
          <w:p>
            <w:pPr>
              <w:keepNext w:val="0"/>
            </w:pPr>
            <w:r>
              <w:t>46.2%</w:t>
            </w:r>
          </w:p>
        </w:tc>
        <w:tc>
          <w:tcPr>
            <w:tcW w:type="dxa" w:w="1728"/>
          </w:tcPr>
          <w:p>
            <w:pPr>
              <w:keepNext w:val="0"/>
            </w:pPr>
            <w:r>
              <w:t>0.194</w:t>
            </w:r>
          </w:p>
        </w:tc>
      </w:tr>
    </w:tbl>
    <w:p>
      <w:pPr>
        <w:pStyle w:val="Heading1"/>
      </w:pPr>
      <w:r>
        <w:t>BLUF sentence</w:t>
      </w:r>
    </w:p>
    <w:p>
      <w:r>
        <w:t>Pilot logistic rankings for 11 monthly wildlife-management reviews across 53 selected airports while retaining routine prevention and checking report availability.</w:t>
      </w:r>
    </w:p>
    <w:p>
      <w:pPr>
        <w:pStyle w:val="Heading1"/>
      </w:pPr>
      <w:r>
        <w:t>Slide headlines in presentation order</w:t>
      </w:r>
    </w:p>
    <w:p>
      <w:r>
        <w:t>1. Pilot logistic rankings for 11 monthly wildlife-management reviews across 53 selected airports while retaining routine prevention and checking report availability.</w:t>
      </w:r>
    </w:p>
    <w:p>
      <w:r>
        <w:t>2. Airport teams need a monthly priority list that preserves routine prevention</w:t>
      </w:r>
    </w:p>
    <w:p>
      <w:r>
        <w:t>3. Damaging reports identify a management burden but do not establish preventable costs</w:t>
      </w:r>
    </w:p>
    <w:p>
      <w:r>
        <w:t>4. Small wildlife dominates report counts while large wildlife has a higher damage percentage</w:t>
      </w:r>
    </w:p>
    <w:p>
      <w:r>
        <w:t>5. The forecast uses past incident history for 53 consistently reporting airports</w:t>
      </w:r>
    </w:p>
    <w:p>
      <w:r>
        <w:t>6. The 2024 test captured 69 of 186 damaging months in 132 reviews</w:t>
      </w:r>
    </w:p>
    <w:p>
      <w:r>
        <w:t>7. The historical airport baseline captured 61 damaging months at the same workload</w:t>
      </w:r>
    </w:p>
    <w:p>
      <w:r>
        <w:t>8. The review list still missed 117 damaging months</w:t>
      </w:r>
    </w:p>
    <w:p>
      <w:r>
        <w:t>9. Reporting gaps and unavailable flight counts limit the decision</w:t>
      </w:r>
    </w:p>
    <w:p>
      <w:r>
        <w:t>10. A monitored pilot must verify report timing and measure added value</w:t>
      </w:r>
    </w:p>
    <w:p>
      <w:pPr>
        <w:pStyle w:val="Heading1"/>
      </w:pPr>
      <w:r>
        <w:t>What I cut and where it went</w:t>
      </w:r>
    </w:p>
    <w:p>
      <w:r>
        <w:t>I expanded the Week 6 storyboard into ten main slides. The conditional working-model opening now uses completed test evidence. I combined the two overlapping wildlife-size messages into one descriptive slide and added the management burden, test result, historical baseline, missed outcomes, limits, and next step. Detailed cleaning and eligibility rules moved to appendix slide 11. Differences from earlier results moved to slide 12. Additional probability metrics moved to slide 13. Stakeholder questions moved to slide 14. Individual tuning trials, all coefficients, and duplicate supporting charts remain in the code and results rather than the talk. I removed unsupported cost-saving claims. The recommendation and limits remain in the main deck.</w:t>
      </w:r>
    </w:p>
    <w:p>
      <w:pPr>
        <w:pStyle w:val="Heading1"/>
      </w:pPr>
      <w:r>
        <w:t>Issues and discussion</w:t>
      </w:r>
    </w:p>
    <w:p>
      <w:r>
        <w:t>The model ranks reported damaging months, not individual-flight risk. A zero does not establish absence of an incident. Results apply to selected consistently reporting airports. The selected ranking missed 117 damaging months. Historical incident dates do not establish when reports became available, so real-time usefulness needs an availability audit. The comparison shows neither prevention effects nor financial savings. Model choice uses the previously proposed holdout switch rule, which makes 2024 part of final model selection; a later untouched period or prospective pilot is needed to assess that selected decision independently.</w:t>
      </w:r>
    </w:p>
    <w:p>
      <w:pPr>
        <w:pStyle w:val="Heading1"/>
      </w:pPr>
      <w:r>
        <w:t>Next weeks To Do</w:t>
      </w:r>
    </w:p>
    <w:p>
      <w:r>
        <w:t>Record the full ten-minute talk once from the main slides, observe its actual duration, and complete the self-assessment from that recording. Keep appendix slides for questions. Verify report availability before any operational forecast and compare the proposed pilot with the historical baseline at equal monthly capacity.</w:t>
      </w:r>
    </w:p>
    <w:p>
      <w:pPr>
        <w:pStyle w:val="Heading1"/>
      </w:pPr>
      <w:r>
        <w:t>LLM collaboration entry</w:t>
      </w:r>
    </w:p>
    <w:p>
      <w:r>
        <w:t>Tag: Modified</w:t>
      </w:r>
    </w:p>
    <w:p>
      <w:pPr>
        <w:pStyle w:val="Heading1"/>
      </w:pPr>
      <w:r>
        <w:t>The exchange that mattered</w:t>
      </w:r>
    </w:p>
    <w:p>
      <w:r>
        <w:t>I used ChatGPT to review the weekly reports, complete the analysis, and structure the presentation around a stakeholder decision. The useful exchange concerned whether a top-twenty-percent result represented a workable monthly review list. The earlier reports described a pooled annual selection. I adopted a separate monthly selection rule so the workload matches a decision made before each month. ChatGPT also proposed comparing the models with a historical airport baseline. I kept that comparison because a forecast needs to justify its complexity against a method an airport team could explain easily. The revised deck puts the recommendation first and keeps the final evidence close to the operational workload.</w:t>
      </w:r>
    </w:p>
    <w:p>
      <w:pPr>
        <w:pStyle w:val="Heading1"/>
      </w:pPr>
      <w:r>
        <w:t>Where I did not take it</w:t>
      </w:r>
    </w:p>
    <w:p>
      <w:r>
        <w:t>I did not treat a forecast ranking as proof that wildlife reviews prevent damage or save money. The extract cannot establish those effects. I also did not omit missed damaging months to make the model look stronger. The limits slide remains in the main talk, including missing flight exposure, reporting gaps, airport selection, and uncertain report availability. Detailed tuning and cleaning moved to the appendix or reproducible outputs, rather than pushing out the recommendation. I did not claim the recreated code exactly reproduces the earlier model because the original implementation was not supplied.</w:t>
      </w:r>
    </w:p>
    <w:p>
      <w:pPr>
        <w:pStyle w:val="Heading1"/>
      </w:pPr>
      <w:r>
        <w:t>How I know</w:t>
      </w:r>
    </w:p>
    <w:p>
      <w:r>
        <w:t>The new run saves the source audit, airport eligibility table, frozen specification, rolling validation results, 2024 predictions, and model comparison. Those outputs support the numbers in the report and deck. The script applies the review rule separately each month and uses shifted history features. The final recommendation follows measured capture and the stated model-switch rule. I still need my own recorded rehearsal to establish the actual delivery time.</w:t>
      </w:r>
    </w:p>
    <w:p>
      <w:pPr>
        <w:pStyle w:val="Heading1"/>
      </w:pPr>
      <w:r>
        <w:t>Resources</w:t>
      </w:r>
    </w:p>
    <w:p>
      <w:r>
        <w:t>Analysis source: supplied Public(1).xlsx FAA Wildlife Strike Database extract. Prior context: supplied Rabin Acharya Weeks 2–6 reports. FAA database: https://wildlife.faa.gov/search. The official MSDS692_Status_Report_Template.docx was not supplied; this report preserves the existing weekly-report section structure.</w:t>
      </w:r>
    </w:p>
    <w:sectPr w:rsidR="00FC693F" w:rsidRPr="0006063C" w:rsidSect="00034616">
      <w:footerReference w:type="default" r:id="rId9"/>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