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B4A1" w14:textId="77777777" w:rsidR="009A5CE4" w:rsidRPr="009A5CE4" w:rsidRDefault="00445857">
      <w:pPr>
        <w:jc w:val="center"/>
        <w:rPr>
          <w:i/>
          <w:sz w:val="26"/>
          <w:lang w:val="es-ES"/>
        </w:rPr>
      </w:pPr>
      <w:r w:rsidRPr="009A5CE4">
        <w:rPr>
          <w:b/>
          <w:sz w:val="32"/>
          <w:lang w:val="es-ES"/>
        </w:rPr>
        <w:t>Propuesta de temas de charla final</w:t>
      </w:r>
      <w:r w:rsidRPr="009A5CE4">
        <w:rPr>
          <w:b/>
          <w:sz w:val="32"/>
          <w:lang w:val="es-ES"/>
        </w:rPr>
        <w:br/>
      </w:r>
      <w:r w:rsidRPr="009A5CE4">
        <w:rPr>
          <w:i/>
          <w:sz w:val="26"/>
          <w:lang w:val="es-ES"/>
        </w:rPr>
        <w:t>Mecánica Estadística</w:t>
      </w:r>
    </w:p>
    <w:p w14:paraId="5EF721C1" w14:textId="17C03613" w:rsidR="00625E24" w:rsidRPr="009A5CE4" w:rsidRDefault="009A5CE4">
      <w:pPr>
        <w:jc w:val="center"/>
        <w:rPr>
          <w:lang w:val="es-ES"/>
        </w:rPr>
      </w:pPr>
      <w:r>
        <w:rPr>
          <w:i/>
          <w:sz w:val="26"/>
          <w:lang w:val="es-ES"/>
        </w:rPr>
        <w:t>LFIS414</w:t>
      </w:r>
      <w:r w:rsidRPr="009A5CE4">
        <w:rPr>
          <w:i/>
          <w:sz w:val="26"/>
          <w:lang w:val="es-ES"/>
        </w:rPr>
        <w:br/>
      </w:r>
    </w:p>
    <w:p w14:paraId="49D6D28A" w14:textId="1745F1EC" w:rsidR="00625E24" w:rsidRPr="009A5CE4" w:rsidRDefault="00445857">
      <w:pPr>
        <w:jc w:val="both"/>
        <w:rPr>
          <w:lang w:val="es-ES"/>
        </w:rPr>
      </w:pPr>
      <w:r w:rsidRPr="009A5CE4">
        <w:rPr>
          <w:b/>
          <w:lang w:val="es-ES"/>
        </w:rPr>
        <w:t xml:space="preserve">Objetivo. </w:t>
      </w:r>
      <w:r w:rsidRPr="009A5CE4">
        <w:rPr>
          <w:lang w:val="es-ES"/>
        </w:rPr>
        <w:t>La siguiente propuesta reúne 15 temas de charla orientados a aplicaciones de la mecánica estadística fuera de la física tradicional. La idea es que cada tema pueda conectarse con herramientas ya vistas en el curso, como entropía, microestados y macrostados, función partición, ocupación de estados, indistinguibilidad, ensembles y distribuciones de equilibrio.</w:t>
      </w:r>
    </w:p>
    <w:p w14:paraId="5157C169" w14:textId="77777777" w:rsidR="00625E24" w:rsidRPr="009A5CE4" w:rsidRDefault="00445857">
      <w:pPr>
        <w:jc w:val="both"/>
        <w:rPr>
          <w:lang w:val="es-ES"/>
        </w:rPr>
      </w:pPr>
      <w:r w:rsidRPr="009A5CE4">
        <w:rPr>
          <w:b/>
          <w:lang w:val="es-ES"/>
        </w:rPr>
        <w:t xml:space="preserve">Sugerencia de uso. </w:t>
      </w:r>
      <w:r w:rsidRPr="009A5CE4">
        <w:rPr>
          <w:lang w:val="es-ES"/>
        </w:rPr>
        <w:t>Cada charla puede organizarse en torno a cuatro preguntas: (i) ¿cuáles son los microestados del problema?, (ii) ¿qué restricciones macroscópicas hay?, (iii) ¿qué distribución o ensemble resulta natural?, (iv) ¿qué predicción o interpretación útil entrega la mecánica estadística?</w:t>
      </w:r>
    </w:p>
    <w:p w14:paraId="2EA3CBB6" w14:textId="77777777" w:rsidR="00625E24" w:rsidRDefault="00445857">
      <w:pPr>
        <w:pStyle w:val="Ttulo1"/>
      </w:pPr>
      <w:r>
        <w:t>Temas sugeridos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3384"/>
        <w:gridCol w:w="3391"/>
        <w:gridCol w:w="1045"/>
      </w:tblGrid>
      <w:tr w:rsidR="00625E24" w14:paraId="3979B72B" w14:textId="77777777" w:rsidTr="009A5CE4">
        <w:trPr>
          <w:jc w:val="center"/>
        </w:trPr>
        <w:tc>
          <w:tcPr>
            <w:tcW w:w="2142" w:type="dxa"/>
            <w:vAlign w:val="center"/>
          </w:tcPr>
          <w:p w14:paraId="5CCAD48A" w14:textId="77777777" w:rsidR="00625E24" w:rsidRDefault="00445857">
            <w:pPr>
              <w:jc w:val="center"/>
            </w:pPr>
            <w:r>
              <w:rPr>
                <w:b/>
              </w:rPr>
              <w:t>Tema</w:t>
            </w:r>
          </w:p>
        </w:tc>
        <w:tc>
          <w:tcPr>
            <w:tcW w:w="3384" w:type="dxa"/>
            <w:vAlign w:val="center"/>
          </w:tcPr>
          <w:p w14:paraId="6C48A0A6" w14:textId="77777777" w:rsidR="00625E24" w:rsidRDefault="00445857">
            <w:pPr>
              <w:jc w:val="center"/>
            </w:pPr>
            <w:r>
              <w:rPr>
                <w:b/>
              </w:rPr>
              <w:t>Descripción breve</w:t>
            </w:r>
          </w:p>
        </w:tc>
        <w:tc>
          <w:tcPr>
            <w:tcW w:w="3391" w:type="dxa"/>
            <w:vAlign w:val="center"/>
          </w:tcPr>
          <w:p w14:paraId="3947FD70" w14:textId="77777777" w:rsidR="00625E24" w:rsidRPr="009A5CE4" w:rsidRDefault="00445857">
            <w:pPr>
              <w:jc w:val="center"/>
              <w:rPr>
                <w:lang w:val="es-ES"/>
              </w:rPr>
            </w:pPr>
            <w:r w:rsidRPr="009A5CE4">
              <w:rPr>
                <w:b/>
                <w:lang w:val="es-ES"/>
              </w:rPr>
              <w:t>Conexión con temas vistos en clases</w:t>
            </w:r>
          </w:p>
        </w:tc>
        <w:tc>
          <w:tcPr>
            <w:tcW w:w="1045" w:type="dxa"/>
            <w:vAlign w:val="center"/>
          </w:tcPr>
          <w:p w14:paraId="19D2725A" w14:textId="6AE4713C" w:rsidR="00625E24" w:rsidRPr="00B54CF8" w:rsidRDefault="00B54CF8">
            <w:pPr>
              <w:jc w:val="center"/>
              <w:rPr>
                <w:b/>
                <w:bCs/>
              </w:rPr>
            </w:pPr>
            <w:r w:rsidRPr="00B54CF8">
              <w:rPr>
                <w:b/>
                <w:bCs/>
              </w:rPr>
              <w:t>Orden</w:t>
            </w:r>
          </w:p>
        </w:tc>
      </w:tr>
      <w:tr w:rsidR="00625E24" w14:paraId="48A72488" w14:textId="77777777" w:rsidTr="009A5CE4">
        <w:trPr>
          <w:jc w:val="center"/>
        </w:trPr>
        <w:tc>
          <w:tcPr>
            <w:tcW w:w="2142" w:type="dxa"/>
            <w:vAlign w:val="center"/>
          </w:tcPr>
          <w:p w14:paraId="0D74C99C" w14:textId="77777777" w:rsidR="00625E24" w:rsidRPr="009A5CE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Entropía e información en teoría de la comunicación</w:t>
            </w:r>
          </w:p>
        </w:tc>
        <w:tc>
          <w:tcPr>
            <w:tcW w:w="3384" w:type="dxa"/>
            <w:vAlign w:val="center"/>
          </w:tcPr>
          <w:p w14:paraId="5467291B" w14:textId="77777777" w:rsidR="00625E24" w:rsidRPr="009A5CE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Explorar la relación entre la entropía de Boltzmann y la entropía de Shannon, mostrando cómo ambas cuantifican la falta de información compatible con un conjunto de restricciones. La charla puede discutir compresión, codificación y transmisión de mensajes.</w:t>
            </w:r>
          </w:p>
        </w:tc>
        <w:tc>
          <w:tcPr>
            <w:tcW w:w="3391" w:type="dxa"/>
            <w:vAlign w:val="center"/>
          </w:tcPr>
          <w:p w14:paraId="209BF171" w14:textId="77777777" w:rsidR="00625E2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Se conecta directamente con el concepto de entropía, multiplicidad de microestados y conteo de configuraciones accesibles.</w:t>
            </w:r>
          </w:p>
          <w:p w14:paraId="6598DC5A" w14:textId="77777777" w:rsidR="00D9198E" w:rsidRDefault="00D9198E">
            <w:pPr>
              <w:rPr>
                <w:lang w:val="es-ES"/>
              </w:rPr>
            </w:pPr>
          </w:p>
          <w:p w14:paraId="14A0DCEF" w14:textId="260961AA" w:rsidR="00D9198E" w:rsidRPr="00D9198E" w:rsidRDefault="00D9198E">
            <w:pPr>
              <w:rPr>
                <w:color w:val="EE0000"/>
                <w:lang w:val="es-ES"/>
              </w:rPr>
            </w:pPr>
            <w:r>
              <w:rPr>
                <w:color w:val="EE0000"/>
                <w:lang w:val="es-ES"/>
              </w:rPr>
              <w:t>Martín Pérez/ Joaquin Saldaño</w:t>
            </w:r>
          </w:p>
        </w:tc>
        <w:tc>
          <w:tcPr>
            <w:tcW w:w="1045" w:type="dxa"/>
            <w:vAlign w:val="center"/>
          </w:tcPr>
          <w:p w14:paraId="7A48746B" w14:textId="58D90813" w:rsidR="00625E24" w:rsidRDefault="00625E24"/>
        </w:tc>
      </w:tr>
      <w:tr w:rsidR="00625E24" w14:paraId="562C90DB" w14:textId="77777777" w:rsidTr="009A5CE4">
        <w:trPr>
          <w:jc w:val="center"/>
        </w:trPr>
        <w:tc>
          <w:tcPr>
            <w:tcW w:w="2142" w:type="dxa"/>
            <w:vAlign w:val="center"/>
          </w:tcPr>
          <w:p w14:paraId="3A29A9C5" w14:textId="77777777" w:rsidR="00625E24" w:rsidRPr="009A5CE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Toma de decisiones y elección probabilística</w:t>
            </w:r>
          </w:p>
        </w:tc>
        <w:tc>
          <w:tcPr>
            <w:tcW w:w="3384" w:type="dxa"/>
            <w:vAlign w:val="center"/>
          </w:tcPr>
          <w:p w14:paraId="6B62CFF1" w14:textId="77777777" w:rsidR="00625E24" w:rsidRDefault="00445857">
            <w:r w:rsidRPr="009A5CE4">
              <w:rPr>
                <w:lang w:val="es-ES"/>
              </w:rPr>
              <w:t xml:space="preserve">Presentar modelos donde distintas alternativas tienen costos o utilidades y la probabilidad de elección sigue una forma tipo Boltzmann. </w:t>
            </w:r>
            <w:r>
              <w:t>Puede aplicarse a consumo, transporte o decisiones cotidianas.</w:t>
            </w:r>
          </w:p>
        </w:tc>
        <w:tc>
          <w:tcPr>
            <w:tcW w:w="3391" w:type="dxa"/>
            <w:vAlign w:val="center"/>
          </w:tcPr>
          <w:p w14:paraId="41ED38AC" w14:textId="77777777" w:rsidR="00625E2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Se relaciona con la distribución canónica, pesos relativos dados por energías efectivas y el papel de la temperatura como medida de dispersión en la elección.</w:t>
            </w:r>
          </w:p>
          <w:p w14:paraId="5E77FC7B" w14:textId="77777777" w:rsidR="00A618CF" w:rsidRDefault="00A618CF">
            <w:pPr>
              <w:rPr>
                <w:lang w:val="es-ES"/>
              </w:rPr>
            </w:pPr>
          </w:p>
          <w:p w14:paraId="5CF2BBBC" w14:textId="77777777" w:rsidR="00A618CF" w:rsidRDefault="00A618CF">
            <w:pPr>
              <w:rPr>
                <w:color w:val="EE0000"/>
                <w:lang w:val="es-ES"/>
              </w:rPr>
            </w:pPr>
            <w:r>
              <w:rPr>
                <w:color w:val="EE0000"/>
                <w:lang w:val="es-ES"/>
              </w:rPr>
              <w:t>Pia Barria/ Macarena Carvajal</w:t>
            </w:r>
          </w:p>
          <w:p w14:paraId="48D04789" w14:textId="67F855E4" w:rsidR="00A618CF" w:rsidRPr="00A618CF" w:rsidRDefault="00A618CF">
            <w:pPr>
              <w:rPr>
                <w:color w:val="EE0000"/>
                <w:lang w:val="es-ES"/>
              </w:rPr>
            </w:pPr>
          </w:p>
        </w:tc>
        <w:tc>
          <w:tcPr>
            <w:tcW w:w="1045" w:type="dxa"/>
            <w:vAlign w:val="center"/>
          </w:tcPr>
          <w:p w14:paraId="79553DB0" w14:textId="1917B5B8" w:rsidR="00625E24" w:rsidRDefault="00625E24"/>
        </w:tc>
      </w:tr>
      <w:tr w:rsidR="00625E24" w14:paraId="622BF56F" w14:textId="77777777" w:rsidTr="009A5CE4">
        <w:trPr>
          <w:jc w:val="center"/>
        </w:trPr>
        <w:tc>
          <w:tcPr>
            <w:tcW w:w="2142" w:type="dxa"/>
            <w:vAlign w:val="center"/>
          </w:tcPr>
          <w:p w14:paraId="06BE0E95" w14:textId="77777777" w:rsidR="00625E24" w:rsidRPr="009A5CE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Movilidad urbana y ocupación de rutas</w:t>
            </w:r>
          </w:p>
        </w:tc>
        <w:tc>
          <w:tcPr>
            <w:tcW w:w="3384" w:type="dxa"/>
            <w:vAlign w:val="center"/>
          </w:tcPr>
          <w:p w14:paraId="4442289F" w14:textId="77777777" w:rsidR="00625E24" w:rsidRDefault="00445857">
            <w:r w:rsidRPr="009A5CE4">
              <w:rPr>
                <w:lang w:val="es-ES"/>
              </w:rPr>
              <w:t xml:space="preserve">Modelar rutas posibles en una ciudad como estados accesibles y discutir cómo se distribuyen los flujos de usuarios cuando las rutas tienen costos distintos. </w:t>
            </w:r>
            <w:r>
              <w:t>Puede incluir ejemplos de transporte público o desplazamiento diario.</w:t>
            </w:r>
          </w:p>
        </w:tc>
        <w:tc>
          <w:tcPr>
            <w:tcW w:w="3391" w:type="dxa"/>
            <w:vAlign w:val="center"/>
          </w:tcPr>
          <w:p w14:paraId="4CF821D2" w14:textId="77777777" w:rsidR="00625E2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Se conecta con ensembles, función partición y ocupación de estados con diferentes energías o costos generalizados.</w:t>
            </w:r>
          </w:p>
          <w:p w14:paraId="4C78174E" w14:textId="77777777" w:rsidR="00D9198E" w:rsidRDefault="00D9198E">
            <w:pPr>
              <w:rPr>
                <w:lang w:val="es-ES"/>
              </w:rPr>
            </w:pPr>
          </w:p>
          <w:p w14:paraId="391D21F8" w14:textId="4D38AF33" w:rsidR="00D9198E" w:rsidRPr="00D9198E" w:rsidRDefault="00D9198E">
            <w:pPr>
              <w:rPr>
                <w:color w:val="EE0000"/>
                <w:lang w:val="es-ES"/>
              </w:rPr>
            </w:pPr>
            <w:r>
              <w:rPr>
                <w:color w:val="EE0000"/>
                <w:lang w:val="es-ES"/>
              </w:rPr>
              <w:t>Joaquin Gómez/ Emilio Callejas</w:t>
            </w:r>
          </w:p>
        </w:tc>
        <w:tc>
          <w:tcPr>
            <w:tcW w:w="1045" w:type="dxa"/>
            <w:vAlign w:val="center"/>
          </w:tcPr>
          <w:p w14:paraId="2DAD0881" w14:textId="3DA30E23" w:rsidR="00625E24" w:rsidRDefault="00625E24"/>
        </w:tc>
      </w:tr>
      <w:tr w:rsidR="00625E24" w14:paraId="31D51F30" w14:textId="77777777" w:rsidTr="009A5CE4">
        <w:trPr>
          <w:jc w:val="center"/>
        </w:trPr>
        <w:tc>
          <w:tcPr>
            <w:tcW w:w="2142" w:type="dxa"/>
            <w:vAlign w:val="center"/>
          </w:tcPr>
          <w:p w14:paraId="4B73827C" w14:textId="77777777" w:rsidR="00625E24" w:rsidRPr="009A5CE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Adsorción de moléculas en superficies y sensores químicos</w:t>
            </w:r>
          </w:p>
        </w:tc>
        <w:tc>
          <w:tcPr>
            <w:tcW w:w="3384" w:type="dxa"/>
            <w:vAlign w:val="center"/>
          </w:tcPr>
          <w:p w14:paraId="29619CC0" w14:textId="77777777" w:rsidR="00625E24" w:rsidRDefault="00445857">
            <w:r w:rsidRPr="009A5CE4">
              <w:rPr>
                <w:lang w:val="es-ES"/>
              </w:rPr>
              <w:t xml:space="preserve">Describir cómo moléculas de un gas ocupan sitios de adsorción sobre una superficie y cómo de allí surgen curvas de ocupación usadas en sensores y materiales porosos. </w:t>
            </w:r>
            <w:r>
              <w:t>Es una aplicación muy directa y concreta.</w:t>
            </w:r>
          </w:p>
        </w:tc>
        <w:tc>
          <w:tcPr>
            <w:tcW w:w="3391" w:type="dxa"/>
            <w:vAlign w:val="center"/>
          </w:tcPr>
          <w:p w14:paraId="05FE0B75" w14:textId="77777777" w:rsidR="00625E2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Se conecta con el ensemble gran canónico, números de ocupación, potencial químico y funciones de partición de sitios independientes.</w:t>
            </w:r>
          </w:p>
          <w:p w14:paraId="684C2EF3" w14:textId="77777777" w:rsidR="00D9198E" w:rsidRDefault="00D9198E">
            <w:pPr>
              <w:rPr>
                <w:lang w:val="es-ES"/>
              </w:rPr>
            </w:pPr>
          </w:p>
          <w:p w14:paraId="20C73317" w14:textId="66F93171" w:rsidR="00D9198E" w:rsidRPr="00D9198E" w:rsidRDefault="00D9198E">
            <w:pPr>
              <w:rPr>
                <w:color w:val="EE0000"/>
                <w:lang w:val="es-ES"/>
              </w:rPr>
            </w:pPr>
            <w:r>
              <w:rPr>
                <w:color w:val="EE0000"/>
                <w:lang w:val="es-ES"/>
              </w:rPr>
              <w:t xml:space="preserve">Jovanny Jara/ Nicolás Gatica </w:t>
            </w:r>
          </w:p>
        </w:tc>
        <w:tc>
          <w:tcPr>
            <w:tcW w:w="1045" w:type="dxa"/>
            <w:vAlign w:val="center"/>
          </w:tcPr>
          <w:p w14:paraId="14FFBBD2" w14:textId="33623AB1" w:rsidR="00625E24" w:rsidRDefault="00625E24"/>
        </w:tc>
      </w:tr>
      <w:tr w:rsidR="00625E24" w14:paraId="24172367" w14:textId="77777777" w:rsidTr="009A5CE4">
        <w:trPr>
          <w:jc w:val="center"/>
        </w:trPr>
        <w:tc>
          <w:tcPr>
            <w:tcW w:w="2142" w:type="dxa"/>
            <w:vAlign w:val="center"/>
          </w:tcPr>
          <w:p w14:paraId="581A3B3E" w14:textId="0EC33466" w:rsidR="00625E24" w:rsidRPr="009A5CE4" w:rsidRDefault="00625E24">
            <w:pPr>
              <w:rPr>
                <w:lang w:val="es-ES"/>
              </w:rPr>
            </w:pPr>
          </w:p>
        </w:tc>
        <w:tc>
          <w:tcPr>
            <w:tcW w:w="3384" w:type="dxa"/>
            <w:vAlign w:val="center"/>
          </w:tcPr>
          <w:p w14:paraId="015FAC51" w14:textId="7CEF98BB" w:rsidR="00625E24" w:rsidRPr="009A5CE4" w:rsidRDefault="00625E24">
            <w:pPr>
              <w:rPr>
                <w:lang w:val="es-ES"/>
              </w:rPr>
            </w:pPr>
          </w:p>
        </w:tc>
        <w:tc>
          <w:tcPr>
            <w:tcW w:w="3391" w:type="dxa"/>
            <w:vAlign w:val="center"/>
          </w:tcPr>
          <w:p w14:paraId="4E625D64" w14:textId="10A09E8F" w:rsidR="00625E24" w:rsidRPr="009A5CE4" w:rsidRDefault="00625E24">
            <w:pPr>
              <w:rPr>
                <w:lang w:val="es-ES"/>
              </w:rPr>
            </w:pPr>
          </w:p>
        </w:tc>
        <w:tc>
          <w:tcPr>
            <w:tcW w:w="1045" w:type="dxa"/>
            <w:vAlign w:val="center"/>
          </w:tcPr>
          <w:p w14:paraId="2EA5A77D" w14:textId="04C83B89" w:rsidR="00625E24" w:rsidRDefault="00625E24"/>
        </w:tc>
      </w:tr>
      <w:tr w:rsidR="00625E24" w14:paraId="63C6D146" w14:textId="77777777" w:rsidTr="009A5CE4">
        <w:trPr>
          <w:jc w:val="center"/>
        </w:trPr>
        <w:tc>
          <w:tcPr>
            <w:tcW w:w="2142" w:type="dxa"/>
            <w:vAlign w:val="center"/>
          </w:tcPr>
          <w:p w14:paraId="26B5FAB7" w14:textId="77777777" w:rsidR="00625E24" w:rsidRPr="009A5CE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Canales iónicos y ocupación de estados en membranas celulares</w:t>
            </w:r>
          </w:p>
        </w:tc>
        <w:tc>
          <w:tcPr>
            <w:tcW w:w="3384" w:type="dxa"/>
            <w:vAlign w:val="center"/>
          </w:tcPr>
          <w:p w14:paraId="2E5FFF38" w14:textId="77777777" w:rsidR="00625E24" w:rsidRDefault="00445857">
            <w:r w:rsidRPr="009A5CE4">
              <w:rPr>
                <w:lang w:val="es-ES"/>
              </w:rPr>
              <w:t xml:space="preserve">Analizar de manera simplificada cómo un canal puede estar abierto, cerrado u ocupado, y cómo las probabilidades de esos estados dependen de la energía y del entorno químico. </w:t>
            </w:r>
            <w:r>
              <w:t>Buena aplicación hacia biología y medicina.</w:t>
            </w:r>
          </w:p>
        </w:tc>
        <w:tc>
          <w:tcPr>
            <w:tcW w:w="3391" w:type="dxa"/>
            <w:vAlign w:val="center"/>
          </w:tcPr>
          <w:p w14:paraId="46003569" w14:textId="77777777" w:rsidR="00625E2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Se relaciona con sistemas de pocos niveles, función partición y distribuciones de ocupación en equilibrio.</w:t>
            </w:r>
          </w:p>
          <w:p w14:paraId="59317360" w14:textId="77777777" w:rsidR="00D9198E" w:rsidRDefault="00D9198E">
            <w:pPr>
              <w:rPr>
                <w:lang w:val="es-ES"/>
              </w:rPr>
            </w:pPr>
          </w:p>
          <w:p w14:paraId="33CEDEC9" w14:textId="73FCB116" w:rsidR="00D9198E" w:rsidRPr="00D9198E" w:rsidRDefault="00D9198E">
            <w:pPr>
              <w:rPr>
                <w:color w:val="EE0000"/>
                <w:lang w:val="es-ES"/>
              </w:rPr>
            </w:pPr>
            <w:r>
              <w:rPr>
                <w:color w:val="EE0000"/>
                <w:lang w:val="es-ES"/>
              </w:rPr>
              <w:t>Rafael Mercado/ Christopher Zanetta</w:t>
            </w:r>
          </w:p>
        </w:tc>
        <w:tc>
          <w:tcPr>
            <w:tcW w:w="1045" w:type="dxa"/>
            <w:vAlign w:val="center"/>
          </w:tcPr>
          <w:p w14:paraId="22459DE3" w14:textId="5A727A4E" w:rsidR="00625E24" w:rsidRDefault="00625E24"/>
        </w:tc>
      </w:tr>
      <w:tr w:rsidR="00625E24" w14:paraId="20487C7C" w14:textId="77777777" w:rsidTr="009A5CE4">
        <w:trPr>
          <w:jc w:val="center"/>
        </w:trPr>
        <w:tc>
          <w:tcPr>
            <w:tcW w:w="2142" w:type="dxa"/>
            <w:vAlign w:val="center"/>
          </w:tcPr>
          <w:p w14:paraId="5C6D253B" w14:textId="77777777" w:rsidR="00625E24" w:rsidRPr="009A5CE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Diversidad biológica y entropía en ecología</w:t>
            </w:r>
          </w:p>
        </w:tc>
        <w:tc>
          <w:tcPr>
            <w:tcW w:w="3384" w:type="dxa"/>
            <w:vAlign w:val="center"/>
          </w:tcPr>
          <w:p w14:paraId="623A41D1" w14:textId="77777777" w:rsidR="00625E24" w:rsidRDefault="00445857">
            <w:r w:rsidRPr="009A5CE4">
              <w:rPr>
                <w:lang w:val="es-ES"/>
              </w:rPr>
              <w:t xml:space="preserve">Mostrar cómo la entropía puede usarse para cuantificar diversidad de especies, distribución de abundancias y heterogeneidad de ecosistemas. </w:t>
            </w:r>
            <w:r>
              <w:t>Es una aplicación muy extendida fuera de la física.</w:t>
            </w:r>
          </w:p>
        </w:tc>
        <w:tc>
          <w:tcPr>
            <w:tcW w:w="3391" w:type="dxa"/>
            <w:vAlign w:val="center"/>
          </w:tcPr>
          <w:p w14:paraId="0B86D777" w14:textId="77777777" w:rsidR="00625E2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Se conecta con la interpretación de la entropía como medida de distribución de ocupaciones entre categorías o estados posibles.</w:t>
            </w:r>
          </w:p>
          <w:p w14:paraId="0006488F" w14:textId="77777777" w:rsidR="00D9198E" w:rsidRDefault="00D9198E">
            <w:pPr>
              <w:rPr>
                <w:lang w:val="es-ES"/>
              </w:rPr>
            </w:pPr>
          </w:p>
          <w:p w14:paraId="6FFBD2A7" w14:textId="5F831DA8" w:rsidR="00D9198E" w:rsidRPr="00D9198E" w:rsidRDefault="00D9198E">
            <w:pPr>
              <w:rPr>
                <w:color w:val="EE0000"/>
                <w:lang w:val="es-ES"/>
              </w:rPr>
            </w:pPr>
            <w:r>
              <w:rPr>
                <w:color w:val="EE0000"/>
                <w:lang w:val="es-ES"/>
              </w:rPr>
              <w:t>Andrés Cerda/ Alfonso Herrera</w:t>
            </w:r>
          </w:p>
        </w:tc>
        <w:tc>
          <w:tcPr>
            <w:tcW w:w="1045" w:type="dxa"/>
            <w:vAlign w:val="center"/>
          </w:tcPr>
          <w:p w14:paraId="2ACD47CE" w14:textId="74CAF2A7" w:rsidR="00625E24" w:rsidRDefault="00625E24"/>
        </w:tc>
      </w:tr>
      <w:tr w:rsidR="00625E24" w14:paraId="52B968DE" w14:textId="77777777" w:rsidTr="009A5CE4">
        <w:trPr>
          <w:jc w:val="center"/>
        </w:trPr>
        <w:tc>
          <w:tcPr>
            <w:tcW w:w="2142" w:type="dxa"/>
            <w:vAlign w:val="center"/>
          </w:tcPr>
          <w:p w14:paraId="2CB47AE7" w14:textId="77777777" w:rsidR="00625E24" w:rsidRPr="009A5CE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Máquinas de Boltzmann y el puente entre física e inteligencia artificial</w:t>
            </w:r>
          </w:p>
        </w:tc>
        <w:tc>
          <w:tcPr>
            <w:tcW w:w="3384" w:type="dxa"/>
            <w:vAlign w:val="center"/>
          </w:tcPr>
          <w:p w14:paraId="22DBB0CF" w14:textId="77777777" w:rsidR="00625E24" w:rsidRPr="009A5CE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Presentar de forma conceptual cómo ciertos modelos probabilísticos en aprendizaje automático usan ideas de energía, función partición y muestreo estadístico. La charla puede enfatizar la inspiración física sin entrar en detalles técnicos excesivos.</w:t>
            </w:r>
          </w:p>
        </w:tc>
        <w:tc>
          <w:tcPr>
            <w:tcW w:w="3391" w:type="dxa"/>
            <w:vAlign w:val="center"/>
          </w:tcPr>
          <w:p w14:paraId="57C1F437" w14:textId="77777777" w:rsidR="00625E24" w:rsidRDefault="00445857">
            <w:pPr>
              <w:rPr>
                <w:lang w:val="es-ES"/>
              </w:rPr>
            </w:pPr>
            <w:r w:rsidRPr="009A5CE4">
              <w:rPr>
                <w:lang w:val="es-ES"/>
              </w:rPr>
              <w:t>Se conecta con distribución de Boltzmann, pesos probabilísticos, función partición y ensembles como lenguaje de inferencia.</w:t>
            </w:r>
          </w:p>
          <w:p w14:paraId="36956582" w14:textId="77777777" w:rsidR="00F84B1F" w:rsidRDefault="00F84B1F">
            <w:pPr>
              <w:rPr>
                <w:lang w:val="es-ES"/>
              </w:rPr>
            </w:pPr>
          </w:p>
          <w:p w14:paraId="611AB436" w14:textId="39A5224F" w:rsidR="00F84B1F" w:rsidRPr="00F84B1F" w:rsidRDefault="00F84B1F">
            <w:pPr>
              <w:rPr>
                <w:color w:val="EE0000"/>
                <w:lang w:val="es-ES"/>
              </w:rPr>
            </w:pPr>
            <w:r>
              <w:rPr>
                <w:color w:val="EE0000"/>
                <w:lang w:val="es-ES"/>
              </w:rPr>
              <w:t>Mauro Jeves/Carlos Pincheira</w:t>
            </w:r>
          </w:p>
        </w:tc>
        <w:tc>
          <w:tcPr>
            <w:tcW w:w="1045" w:type="dxa"/>
            <w:vAlign w:val="center"/>
          </w:tcPr>
          <w:p w14:paraId="5880729A" w14:textId="28CBD539" w:rsidR="00625E24" w:rsidRDefault="00625E24"/>
        </w:tc>
      </w:tr>
    </w:tbl>
    <w:p w14:paraId="2DF8EE35" w14:textId="77777777" w:rsidR="00625E24" w:rsidRDefault="00625E24"/>
    <w:p w14:paraId="41D72DC3" w14:textId="77777777" w:rsidR="00625E24" w:rsidRPr="009A5CE4" w:rsidRDefault="00445857">
      <w:pPr>
        <w:pStyle w:val="Ttulo1"/>
        <w:rPr>
          <w:lang w:val="es-ES"/>
        </w:rPr>
      </w:pPr>
      <w:r w:rsidRPr="009A5CE4">
        <w:rPr>
          <w:lang w:val="es-ES"/>
        </w:rPr>
        <w:t>Observaciones para orientar la elección del tema</w:t>
      </w:r>
    </w:p>
    <w:p w14:paraId="770368C1" w14:textId="77777777" w:rsidR="00625E24" w:rsidRPr="009A5CE4" w:rsidRDefault="00445857">
      <w:pPr>
        <w:pStyle w:val="Listaconvietas"/>
        <w:rPr>
          <w:lang w:val="es-ES"/>
        </w:rPr>
      </w:pPr>
      <w:r w:rsidRPr="009A5CE4">
        <w:rPr>
          <w:lang w:val="es-ES"/>
        </w:rPr>
        <w:t>Los temas de nivel 1 son los más recomendables si se quiere privilegiar una presentación conceptual, clara y bien conectada con el curso.</w:t>
      </w:r>
    </w:p>
    <w:p w14:paraId="58D6A8ED" w14:textId="77777777" w:rsidR="00625E24" w:rsidRPr="009A5CE4" w:rsidRDefault="00445857">
      <w:pPr>
        <w:pStyle w:val="Listaconvietas"/>
        <w:rPr>
          <w:lang w:val="es-ES"/>
        </w:rPr>
      </w:pPr>
      <w:r w:rsidRPr="009A5CE4">
        <w:rPr>
          <w:lang w:val="es-ES"/>
        </w:rPr>
        <w:t>Los temas de nivel 2 requieren un poco más de elaboración y una conexión más explícita entre el problema aplicado y las herramientas estadísticas.</w:t>
      </w:r>
    </w:p>
    <w:p w14:paraId="3E1B6CD5" w14:textId="77777777" w:rsidR="00625E24" w:rsidRPr="009A5CE4" w:rsidRDefault="00445857">
      <w:pPr>
        <w:pStyle w:val="Listaconvietas"/>
        <w:rPr>
          <w:lang w:val="es-ES"/>
        </w:rPr>
      </w:pPr>
      <w:r w:rsidRPr="009A5CE4">
        <w:rPr>
          <w:lang w:val="es-ES"/>
        </w:rPr>
        <w:t>Los temas de nivel 3 son apropiados para grupos que quieran explorar aplicaciones más cercanas a tecnología, información o sistemas cuánticos.</w:t>
      </w:r>
    </w:p>
    <w:p w14:paraId="3D2AEDF6" w14:textId="77777777" w:rsidR="00625E24" w:rsidRDefault="00445857">
      <w:pPr>
        <w:pStyle w:val="Listaconvietas"/>
        <w:rPr>
          <w:lang w:val="es-ES"/>
        </w:rPr>
      </w:pPr>
      <w:r w:rsidRPr="009A5CE4">
        <w:rPr>
          <w:lang w:val="es-ES"/>
        </w:rPr>
        <w:t>En todos los casos, la charla debería identificar con claridad cuáles serían los microestados, cuáles son las variables macroscópicas relevantes y qué distribución o principio estadístico permite organizar el problema.</w:t>
      </w:r>
    </w:p>
    <w:p w14:paraId="2D3F86FC" w14:textId="0457F305" w:rsidR="003E0EDD" w:rsidRDefault="003E0EDD">
      <w:pPr>
        <w:pStyle w:val="Listaconvietas"/>
        <w:rPr>
          <w:lang w:val="es-ES"/>
        </w:rPr>
      </w:pPr>
      <w:r>
        <w:rPr>
          <w:lang w:val="es-ES"/>
        </w:rPr>
        <w:t xml:space="preserve">Me envían un correo a </w:t>
      </w:r>
      <w:hyperlink r:id="rId6" w:history="1">
        <w:r w:rsidRPr="00D35DF0">
          <w:rPr>
            <w:rStyle w:val="Hipervnculo"/>
            <w:lang w:val="es-ES"/>
          </w:rPr>
          <w:t>victor.cardenas@uv.cl</w:t>
        </w:r>
      </w:hyperlink>
      <w:r>
        <w:rPr>
          <w:lang w:val="es-ES"/>
        </w:rPr>
        <w:t xml:space="preserve"> indicando:</w:t>
      </w:r>
    </w:p>
    <w:p w14:paraId="1430CD86" w14:textId="40684EAF" w:rsidR="003E0EDD" w:rsidRDefault="003E0EDD" w:rsidP="003E0EDD">
      <w:pPr>
        <w:pStyle w:val="Listaconvietas"/>
        <w:tabs>
          <w:tab w:val="clear" w:pos="360"/>
          <w:tab w:val="num" w:pos="720"/>
        </w:tabs>
        <w:ind w:left="720"/>
        <w:rPr>
          <w:lang w:val="es-ES"/>
        </w:rPr>
      </w:pPr>
      <w:r>
        <w:rPr>
          <w:lang w:val="es-ES"/>
        </w:rPr>
        <w:t>Grupo: identificar los DOS integrantes</w:t>
      </w:r>
    </w:p>
    <w:p w14:paraId="0AA758AA" w14:textId="517ACBE9" w:rsidR="003E0EDD" w:rsidRPr="009A5CE4" w:rsidRDefault="003E0EDD" w:rsidP="003E0EDD">
      <w:pPr>
        <w:pStyle w:val="Listaconvietas"/>
        <w:tabs>
          <w:tab w:val="clear" w:pos="360"/>
          <w:tab w:val="num" w:pos="720"/>
        </w:tabs>
        <w:ind w:left="720"/>
        <w:rPr>
          <w:lang w:val="es-ES"/>
        </w:rPr>
      </w:pPr>
      <w:r>
        <w:rPr>
          <w:lang w:val="es-ES"/>
        </w:rPr>
        <w:t>Lista de CINCO temas ordenados desde el mas interesante 1 hacia abajo (hasta el 5).</w:t>
      </w:r>
    </w:p>
    <w:sectPr w:rsidR="003E0EDD" w:rsidRPr="009A5CE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45867">
    <w:abstractNumId w:val="8"/>
  </w:num>
  <w:num w:numId="2" w16cid:durableId="1304508184">
    <w:abstractNumId w:val="6"/>
  </w:num>
  <w:num w:numId="3" w16cid:durableId="281890128">
    <w:abstractNumId w:val="5"/>
  </w:num>
  <w:num w:numId="4" w16cid:durableId="800272604">
    <w:abstractNumId w:val="4"/>
  </w:num>
  <w:num w:numId="5" w16cid:durableId="664669625">
    <w:abstractNumId w:val="7"/>
  </w:num>
  <w:num w:numId="6" w16cid:durableId="716587980">
    <w:abstractNumId w:val="3"/>
  </w:num>
  <w:num w:numId="7" w16cid:durableId="1890992191">
    <w:abstractNumId w:val="2"/>
  </w:num>
  <w:num w:numId="8" w16cid:durableId="709916513">
    <w:abstractNumId w:val="1"/>
  </w:num>
  <w:num w:numId="9" w16cid:durableId="130137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F79"/>
    <w:rsid w:val="0029639D"/>
    <w:rsid w:val="00326F90"/>
    <w:rsid w:val="003E0EDD"/>
    <w:rsid w:val="00445857"/>
    <w:rsid w:val="0046018F"/>
    <w:rsid w:val="00625E24"/>
    <w:rsid w:val="009A5CE4"/>
    <w:rsid w:val="00A618CF"/>
    <w:rsid w:val="00A74F70"/>
    <w:rsid w:val="00AA1D8D"/>
    <w:rsid w:val="00B47730"/>
    <w:rsid w:val="00B54CF8"/>
    <w:rsid w:val="00CB0664"/>
    <w:rsid w:val="00D9198E"/>
    <w:rsid w:val="00DE51A0"/>
    <w:rsid w:val="00F84B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759F96"/>
  <w14:defaultImageDpi w14:val="300"/>
  <w15:docId w15:val="{8FBC2FC3-DA63-4919-9F41-85C904A2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E0ED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ctor.cardenas@uv.c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714</Words>
  <Characters>4076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Victor Cardenas</cp:lastModifiedBy>
  <cp:revision>1</cp:revision>
  <cp:lastPrinted>2026-06-18T20:16:00Z</cp:lastPrinted>
  <dcterms:created xsi:type="dcterms:W3CDTF">2013-12-23T23:15:00Z</dcterms:created>
  <dcterms:modified xsi:type="dcterms:W3CDTF">2026-06-24T12:54:00Z</dcterms:modified>
  <cp:category/>
</cp:coreProperties>
</file>