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4"/>
          <w:szCs w:val="44"/>
        </w:rPr>
        <w:t xml:space="preserve">U.S. CPI Inflation Analysis</w:t>
      </w:r>
    </w:p>
    <w:p>
      <w:pPr>
        <w:spacing w:after="60" w:before="0"/>
      </w:pPr>
      <w:r>
        <w:rPr>
          <w:rFonts w:ascii="Arial" w:cs="Arial" w:eastAsia="Arial" w:hAnsi="Arial"/>
          <w:color w:val="595959"/>
          <w:sz w:val="28"/>
          <w:szCs w:val="28"/>
        </w:rPr>
        <w:t xml:space="preserve">January 2020 – Mid 2025</w:t>
      </w:r>
    </w:p>
    <w:p>
      <w:pPr>
        <w:pBdr>
          <w:bottom w:val="single" w:color="1F4E79" w:sz="12" w:space="6"/>
        </w:pBdr>
        <w:spacing w:after="20" w:before="0"/>
      </w:pPr>
      <w:r>
        <w:rPr>
          <w:rFonts w:ascii="Arial" w:cs="Arial" w:eastAsia="Arial" w:hAnsi="Arial"/>
          <w:color w:val="2E4057"/>
          <w:sz w:val="22"/>
          <w:szCs w:val="22"/>
        </w:rPr>
        <w:t xml:space="preserve">Food  ·  Gasoline  ·  Shelter  ·  California (LA Metro)</w:t>
      </w:r>
    </w:p>
    <w:p>
      <w:pPr>
        <w:spacing w:after="80" w:before="80"/>
      </w:pPr>
      <w:r>
        <w:t xml:space="preserve"/>
      </w:r>
    </w:p>
    <w:p>
      <w:pPr>
        <w:spacing w:after="40" w:before="60"/>
      </w:pPr>
      <w:r>
        <w:rPr>
          <w:rFonts w:ascii="Arial" w:cs="Arial" w:eastAsia="Arial" w:hAnsi="Arial"/>
          <w:b/>
          <w:bCs/>
          <w:color w:val="595959"/>
          <w:sz w:val="20"/>
          <w:szCs w:val="20"/>
        </w:rPr>
        <w:t xml:space="preserve">Author: </w:t>
      </w:r>
      <w:r>
        <w:rPr>
          <w:rFonts w:ascii="Arial" w:cs="Arial" w:eastAsia="Arial" w:hAnsi="Arial"/>
          <w:color w:val="595959"/>
          <w:sz w:val="20"/>
          <w:szCs w:val="20"/>
        </w:rPr>
        <w:t xml:space="preserve">Robby Deffo</w:t>
      </w:r>
      <w:r>
        <w:rPr>
          <w:rFonts w:ascii="Arial" w:cs="Arial" w:eastAsia="Arial" w:hAnsi="Arial"/>
          <w:color w:val="BBBBBB"/>
          <w:sz w:val="20"/>
          <w:szCs w:val="20"/>
        </w:rPr>
        <w:t xml:space="preserve">    |    </w:t>
      </w:r>
      <w:r>
        <w:rPr>
          <w:rFonts w:ascii="Arial" w:cs="Arial" w:eastAsia="Arial" w:hAnsi="Arial"/>
          <w:b/>
          <w:bCs/>
          <w:color w:val="595959"/>
          <w:sz w:val="20"/>
          <w:szCs w:val="20"/>
        </w:rPr>
        <w:t xml:space="preserve">Program: </w:t>
      </w:r>
      <w:r>
        <w:rPr>
          <w:rFonts w:ascii="Arial" w:cs="Arial" w:eastAsia="Arial" w:hAnsi="Arial"/>
          <w:color w:val="595959"/>
          <w:sz w:val="20"/>
          <w:szCs w:val="20"/>
        </w:rPr>
        <w:t xml:space="preserve">M.S. Business Analytics — CSUN (May 2026)</w:t>
      </w:r>
    </w:p>
    <w:p>
      <w:pPr>
        <w:spacing w:after="40" w:before="0"/>
      </w:pPr>
      <w:r>
        <w:rPr>
          <w:rFonts w:ascii="Arial" w:cs="Arial" w:eastAsia="Arial" w:hAnsi="Arial"/>
          <w:b/>
          <w:bCs/>
          <w:color w:val="595959"/>
          <w:sz w:val="20"/>
          <w:szCs w:val="20"/>
        </w:rPr>
        <w:t xml:space="preserve">Data: </w:t>
      </w:r>
      <w:r>
        <w:rPr>
          <w:rFonts w:ascii="Arial" w:cs="Arial" w:eastAsia="Arial" w:hAnsi="Arial"/>
          <w:color w:val="595959"/>
          <w:sz w:val="20"/>
          <w:szCs w:val="20"/>
        </w:rPr>
        <w:t xml:space="preserve">U.S. Bureau of Labor Statistics  ·  </w:t>
      </w:r>
      <w:r>
        <w:rPr>
          <w:rFonts w:ascii="Arial" w:cs="Arial" w:eastAsia="Arial" w:hAnsi="Arial"/>
          <w:b/>
          <w:bCs/>
          <w:color w:val="595959"/>
          <w:sz w:val="20"/>
          <w:szCs w:val="20"/>
        </w:rPr>
        <w:t xml:space="preserve">Tools: </w:t>
      </w:r>
      <w:r>
        <w:rPr>
          <w:rFonts w:ascii="Arial" w:cs="Arial" w:eastAsia="Arial" w:hAnsi="Arial"/>
          <w:color w:val="595959"/>
          <w:sz w:val="20"/>
          <w:szCs w:val="20"/>
        </w:rPr>
        <w:t xml:space="preserve">Python, Pandas, Matplotlib, Seaborn, Jupyter</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1. Purpose</w:t>
      </w:r>
    </w:p>
    <w:p>
      <w:pPr>
        <w:spacing w:after="60" w:before="60"/>
      </w:pPr>
      <w:r>
        <w:rPr>
          <w:rFonts w:ascii="Arial" w:cs="Arial" w:eastAsia="Arial" w:hAnsi="Arial"/>
          <w:color w:val="595959"/>
          <w:sz w:val="22"/>
          <w:szCs w:val="22"/>
        </w:rPr>
        <w:t xml:space="preserve">This project investigates U.S. consumer price trends since January 2020 using BLS CPI-U (Not Seasonally Adjusted) data. It focuses on three essential spending categories — Food &amp; Beverages, Gasoline, and Shelter — and provides a regional comparison with the Los Angeles metro area. All values are expressed as cumulative percent change from the January 2020 baseline, allowing direct comparison across categories with different index levels.</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2. Data &amp; Sources</w:t>
      </w:r>
    </w:p>
    <w:p>
      <w:pPr>
        <w:spacing w:after="60" w:before="60"/>
      </w:pPr>
      <w:r>
        <w:rPr>
          <w:rFonts w:ascii="Arial" w:cs="Arial" w:eastAsia="Arial" w:hAnsi="Arial"/>
          <w:color w:val="595959"/>
          <w:sz w:val="22"/>
          <w:szCs w:val="22"/>
        </w:rPr>
        <w:t xml:space="preserve">All data retrieved from the U.S. Bureau of Labor Statistics (BLS). CPI-U, Not Seasonally Adjusted.</w:t>
      </w:r>
    </w:p>
    <w:p>
      <w:pPr>
        <w:spacing w:after="60" w:before="60"/>
      </w:pPr>
      <w:r>
        <w:rPr>
          <w:rFonts w:ascii="Arial" w:cs="Arial" w:eastAsia="Arial" w:hAnsi="Arial"/>
          <w:i/>
          <w:iCs/>
          <w:color w:val="0563C1"/>
          <w:sz w:val="22"/>
          <w:szCs w:val="22"/>
        </w:rPr>
        <w:t xml:space="preserve">URL: https://www.bls.gov/cpi/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Series 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CUUR0000SAF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CPI_U.S-Food.csv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Food &amp; Beverages, U.S. City Average (NSA)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CUUR0000SETB01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CPI_U.S-Gas.csv</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Gasoline (All Types), U.S. City Average (NSA)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CUUR0000SAH1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CPI_U.S-Shltr.csv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Shelter, U.S. City Average (NSA)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CUURS49ASA0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CPI_CA-LA.csv</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All Items, Los Angeles–Long Beach–Anaheim, CA (NSA)</w:t>
            </w:r>
          </w:p>
        </w:tc>
      </w:tr>
    </w:tbl>
    <w:p>
      <w:pPr>
        <w:spacing w:after="80" w:before="80"/>
      </w:pPr>
      <w:r>
        <w:t xml:space="preserve"/>
      </w:r>
    </w:p>
    <w:p>
      <w:pPr>
        <w:pStyle w:val="Heading2"/>
        <w:spacing w:after="80" w:before="240"/>
      </w:pPr>
      <w:r>
        <w:rPr>
          <w:rFonts w:ascii="Arial" w:cs="Arial" w:eastAsia="Arial" w:hAnsi="Arial"/>
          <w:b/>
          <w:bCs/>
          <w:color w:val="2E4057"/>
          <w:sz w:val="24"/>
          <w:szCs w:val="24"/>
        </w:rPr>
        <w:t xml:space="preserve">CPI Interpretation</w:t>
      </w:r>
    </w:p>
    <w:p>
      <w:pPr>
        <w:spacing w:after="60" w:before="60"/>
      </w:pPr>
      <w:r>
        <w:rPr>
          <w:rFonts w:ascii="Arial" w:cs="Arial" w:eastAsia="Arial" w:hAnsi="Arial"/>
          <w:color w:val="595959"/>
          <w:sz w:val="22"/>
          <w:szCs w:val="22"/>
        </w:rPr>
        <w:t xml:space="preserve">The CPI measures average price changes over time for a fixed basket of goods and services. It does not represent actual dollar prices — it reflects an index relative to a reference base period (1982–1984 = 100). For this analysis, all series are re-indexed to January 2020 = 0%, isolating post-pandemic cumulative inflation.</w:t>
      </w:r>
    </w:p>
    <w:p>
      <w:pPr>
        <w:spacing w:after="80" w:before="80"/>
      </w:pPr>
      <w:r>
        <w:t xml:space="preserve"/>
      </w:r>
    </w:p>
    <w:p>
      <w:pPr>
        <w:spacing w:after="60" w:before="60"/>
      </w:pPr>
      <w:r>
        <w:rPr>
          <w:rFonts w:ascii="Arial" w:cs="Arial" w:eastAsia="Arial" w:hAnsi="Arial"/>
          <w:color w:val="595959"/>
          <w:sz w:val="22"/>
          <w:szCs w:val="22"/>
        </w:rPr>
        <w:t xml:space="preserve">Example:</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Food CPI</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vs Jan 2020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Jan 2020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0.00%</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Dec 2024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312.0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+20.00%</w:t>
            </w:r>
          </w:p>
        </w:tc>
      </w:tr>
    </w:tbl>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3. Methodology</w:t>
      </w:r>
    </w:p>
    <w:p>
      <w:pPr>
        <w:pStyle w:val="ListParagraph"/>
        <w:numPr>
          <w:ilvl w:val="0"/>
          <w:numId w:val="2"/>
        </w:numPr>
        <w:spacing w:after="40" w:before="40"/>
      </w:pPr>
      <w:r>
        <w:rPr>
          <w:rFonts w:ascii="Arial" w:cs="Arial" w:eastAsia="Arial" w:hAnsi="Arial"/>
          <w:b/>
          <w:bCs/>
          <w:color w:val="595959"/>
          <w:sz w:val="22"/>
          <w:szCs w:val="22"/>
        </w:rPr>
        <w:t xml:space="preserve">Data Retrieval &amp; Cleaning:</w:t>
      </w:r>
      <w:r>
        <w:rPr>
          <w:rFonts w:ascii="Arial" w:cs="Arial" w:eastAsia="Arial" w:hAnsi="Arial"/>
          <w:color w:val="595959"/>
          <w:sz w:val="22"/>
          <w:szCs w:val="22"/>
        </w:rPr>
        <w:t xml:space="preserve"> Download CSVs from BLS, parse dates, handle any missing values, align to a common monthly date range</w:t>
      </w:r>
    </w:p>
    <w:p>
      <w:pPr>
        <w:pStyle w:val="ListParagraph"/>
        <w:numPr>
          <w:ilvl w:val="0"/>
          <w:numId w:val="2"/>
        </w:numPr>
        <w:spacing w:after="40" w:before="40"/>
      </w:pPr>
      <w:r>
        <w:rPr>
          <w:rFonts w:ascii="Arial" w:cs="Arial" w:eastAsia="Arial" w:hAnsi="Arial"/>
          <w:b/>
          <w:bCs/>
          <w:color w:val="595959"/>
          <w:sz w:val="22"/>
          <w:szCs w:val="22"/>
        </w:rPr>
        <w:t xml:space="preserve">Baseline Indexing:</w:t>
      </w:r>
      <w:r>
        <w:rPr>
          <w:rFonts w:ascii="Arial" w:cs="Arial" w:eastAsia="Arial" w:hAnsi="Arial"/>
          <w:color w:val="595959"/>
          <w:sz w:val="22"/>
          <w:szCs w:val="22"/>
        </w:rPr>
        <w:t xml:space="preserve"> Compute cumulative % change from January 2020 for all four series</w:t>
      </w:r>
    </w:p>
    <w:p>
      <w:pPr>
        <w:pStyle w:val="ListParagraph"/>
        <w:numPr>
          <w:ilvl w:val="0"/>
          <w:numId w:val="2"/>
        </w:numPr>
        <w:spacing w:after="40" w:before="40"/>
      </w:pPr>
      <w:r>
        <w:rPr>
          <w:rFonts w:ascii="Arial" w:cs="Arial" w:eastAsia="Arial" w:hAnsi="Arial"/>
          <w:b/>
          <w:bCs/>
          <w:color w:val="595959"/>
          <w:sz w:val="22"/>
          <w:szCs w:val="22"/>
        </w:rPr>
        <w:t xml:space="preserve">Statistical Summary:</w:t>
      </w:r>
      <w:r>
        <w:rPr>
          <w:rFonts w:ascii="Arial" w:cs="Arial" w:eastAsia="Arial" w:hAnsi="Arial"/>
          <w:color w:val="595959"/>
          <w:sz w:val="22"/>
          <w:szCs w:val="22"/>
        </w:rPr>
        <w:t xml:space="preserve"> Mean, median, 75th percentile, maximum, standard deviation per category</w:t>
      </w:r>
    </w:p>
    <w:p>
      <w:pPr>
        <w:pStyle w:val="ListParagraph"/>
        <w:numPr>
          <w:ilvl w:val="0"/>
          <w:numId w:val="2"/>
        </w:numPr>
        <w:spacing w:after="40" w:before="40"/>
      </w:pPr>
      <w:r>
        <w:rPr>
          <w:rFonts w:ascii="Arial" w:cs="Arial" w:eastAsia="Arial" w:hAnsi="Arial"/>
          <w:b/>
          <w:bCs/>
          <w:color w:val="595959"/>
          <w:sz w:val="22"/>
          <w:szCs w:val="22"/>
        </w:rPr>
        <w:t xml:space="preserve">Visualization:</w:t>
      </w:r>
      <w:r>
        <w:rPr>
          <w:rFonts w:ascii="Arial" w:cs="Arial" w:eastAsia="Arial" w:hAnsi="Arial"/>
          <w:color w:val="595959"/>
          <w:sz w:val="22"/>
          <w:szCs w:val="22"/>
        </w:rPr>
        <w:t xml:space="preserve"> Individual line charts per category, combined overlay chart, Pearson correlation heatmap</w:t>
      </w:r>
    </w:p>
    <w:p>
      <w:pPr>
        <w:pStyle w:val="ListParagraph"/>
        <w:numPr>
          <w:ilvl w:val="0"/>
          <w:numId w:val="2"/>
        </w:numPr>
        <w:spacing w:after="40" w:before="40"/>
      </w:pPr>
      <w:r>
        <w:rPr>
          <w:rFonts w:ascii="Arial" w:cs="Arial" w:eastAsia="Arial" w:hAnsi="Arial"/>
          <w:b/>
          <w:bCs/>
          <w:color w:val="595959"/>
          <w:sz w:val="22"/>
          <w:szCs w:val="22"/>
        </w:rPr>
        <w:t xml:space="preserve">Output:</w:t>
      </w:r>
      <w:r>
        <w:rPr>
          <w:rFonts w:ascii="Arial" w:cs="Arial" w:eastAsia="Arial" w:hAnsi="Arial"/>
          <w:color w:val="595959"/>
          <w:sz w:val="22"/>
          <w:szCs w:val="22"/>
        </w:rPr>
        <w:t xml:space="preserve"> Export cleaned dataset to CSV; save all figures as PNG</w:t>
      </w:r>
    </w:p>
    <w:p>
      <w:pPr>
        <w:spacing w:after="80" w:before="80"/>
      </w:pPr>
      <w:r>
        <w:t xml:space="preserve"/>
      </w:r>
    </w:p>
    <w:p>
      <w:pPr>
        <w:spacing w:after="60" w:before="60"/>
      </w:pPr>
      <w:r>
        <w:rPr>
          <w:rFonts w:ascii="Arial" w:cs="Arial" w:eastAsia="Arial" w:hAnsi="Arial"/>
          <w:color w:val="595959"/>
          <w:sz w:val="22"/>
          <w:szCs w:val="22"/>
        </w:rPr>
        <w:t xml:space="preserve">Percent change formula applied to each series:</w:t>
      </w:r>
    </w:p>
    <w:p>
      <w:pPr>
        <w:spacing w:after="80" w:before="80"/>
        <w:ind w:left="720"/>
      </w:pPr>
      <w:r>
        <w:rPr>
          <w:rFonts w:ascii="Courier New" w:cs="Courier New" w:eastAsia="Courier New" w:hAnsi="Courier New"/>
          <w:color w:val="2C2C2C"/>
          <w:sz w:val="22"/>
          <w:szCs w:val="22"/>
        </w:rPr>
        <w:t xml:space="preserve">PctChange(t) = [ CPI(t) − CPI(Jan 2020) ] / CPI(Jan 2020) × 100</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4. Statistical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Median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75th Pctl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Dev</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Food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15.75%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19.20%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24.61%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28.79%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9.75</w:t>
            </w:r>
          </w:p>
        </w:tc>
      </w:tr>
      <w:tr>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Gasoline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24.40%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26.47%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39.31%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89.48%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24.69</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Shelter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12.44%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11.35%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21.31%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28.37%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9.59</w:t>
            </w:r>
          </w:p>
        </w:tc>
      </w:tr>
      <w:tr>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California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11.28%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13.08%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17.60%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23.49%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7.79</w:t>
            </w:r>
          </w:p>
        </w:tc>
      </w:tr>
    </w:tbl>
    <w:p>
      <w:pPr>
        <w:spacing w:after="80" w:before="80"/>
      </w:pPr>
      <w:r>
        <w:t xml:space="preserve"/>
      </w:r>
    </w:p>
    <w:p>
      <w:pPr>
        <w:pStyle w:val="Heading2"/>
        <w:spacing w:after="80" w:before="240"/>
      </w:pPr>
      <w:r>
        <w:rPr>
          <w:rFonts w:ascii="Arial" w:cs="Arial" w:eastAsia="Arial" w:hAnsi="Arial"/>
          <w:b/>
          <w:bCs/>
          <w:color w:val="2E4057"/>
          <w:sz w:val="24"/>
          <w:szCs w:val="24"/>
        </w:rPr>
        <w:t xml:space="preserve">Gasoline</w:t>
      </w:r>
    </w:p>
    <w:p>
      <w:pPr>
        <w:spacing w:after="60" w:before="60"/>
      </w:pPr>
      <w:r>
        <w:rPr>
          <w:rFonts w:ascii="Arial" w:cs="Arial" w:eastAsia="Arial" w:hAnsi="Arial"/>
          <w:color w:val="595959"/>
          <w:sz w:val="22"/>
          <w:szCs w:val="22"/>
        </w:rPr>
        <w:t xml:space="preserve">The most volatile category (σ = 24.69). Prices collapsed in early 2020 as pandemic lockdowns eliminated travel demand, falling over 25% below baseline. From 2021, prices reversed sharply. The 2022 peak — over 89% above baseline — was driven by the Russia-Ukraine conflict and downstream refinery capacity constraints. Prices have partially corrected but remain approximately 20–25% above the January 2020 level through mid-2025.</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Food</w:t>
      </w:r>
    </w:p>
    <w:p>
      <w:pPr>
        <w:spacing w:after="60" w:before="60"/>
      </w:pPr>
      <w:r>
        <w:rPr>
          <w:rFonts w:ascii="Arial" w:cs="Arial" w:eastAsia="Arial" w:hAnsi="Arial"/>
          <w:color w:val="595959"/>
          <w:sz w:val="22"/>
          <w:szCs w:val="22"/>
        </w:rPr>
        <w:t xml:space="preserve">Steady cumulative inflation (σ = 9.75). Grocery prices barely moved in 2020, then accelerated through 2021–2022 as supply chain disruptions and commodity cost increases passed through to consumers. By mid-2025, food costs are approximately 29% above January 2020 levels — a meaningful compression of real household purchasing power, particularly for lower-income households where food represents a higher budget share.</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Shelter</w:t>
      </w:r>
    </w:p>
    <w:p>
      <w:pPr>
        <w:spacing w:after="60" w:before="60"/>
      </w:pPr>
      <w:r>
        <w:rPr>
          <w:rFonts w:ascii="Arial" w:cs="Arial" w:eastAsia="Arial" w:hAnsi="Arial"/>
          <w:color w:val="595959"/>
          <w:sz w:val="22"/>
          <w:szCs w:val="22"/>
        </w:rPr>
        <w:t xml:space="preserve">The most persistent category. Shelter prices never declined across the entire observation window. The cumulative increase exceeds 28% by mid-2025, with no visible reversal. This stickiness reflects structural housing undersupply, lease renewal lags, and the construction of Owners' Equivalent Rent (OER) in BLS methodology, which captures market rent changes with a significant delay.</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California (LA Metro)</w:t>
      </w:r>
    </w:p>
    <w:p>
      <w:pPr>
        <w:spacing w:after="60" w:before="60"/>
      </w:pPr>
      <w:r>
        <w:rPr>
          <w:rFonts w:ascii="Arial" w:cs="Arial" w:eastAsia="Arial" w:hAnsi="Arial"/>
          <w:color w:val="595959"/>
          <w:sz w:val="22"/>
          <w:szCs w:val="22"/>
        </w:rPr>
        <w:t xml:space="preserve">The Los Angeles metro CPI tracked consistently above national averages throughout the period, reaching approximately 23.5% above baseline by mid-2025. High correlations with national Food (r = 0.99) and Shelter (r = 0.98) series confirm that California's elevated inflation reflects an amplification of the same structural forces, compounded by severe pre-existing housing shortage and high land costs.</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5. Correlation Analysis</w:t>
      </w:r>
    </w:p>
    <w:p>
      <w:pPr>
        <w:spacing w:after="60" w:before="60"/>
      </w:pPr>
      <w:r>
        <w:rPr>
          <w:rFonts w:ascii="Arial" w:cs="Arial" w:eastAsia="Arial" w:hAnsi="Arial"/>
          <w:color w:val="595959"/>
          <w:sz w:val="22"/>
          <w:szCs w:val="22"/>
        </w:rPr>
        <w:t xml:space="preserve">Pearson correlation coefficients computed across all four series for the full observation period (Jan 2020 – mid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r²</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Food ↔ California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Very Strong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Food inflation mirrors LA metro basket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Food ↔ Shelter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0.97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0.94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Very Strong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Both reflect persistent structural trends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Shelter ↔ California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Very Strong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Housing dominates the CA metro index</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Gasoline ↔ California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0.63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0.40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Moderate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Transport costs are a significant basket item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Gasoline ↔ Food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0.36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Fuel costs partially pass through to food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Gasoline ↔ Shelter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0.46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0.21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Weak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Energy shocks don't drive housing costs</w:t>
            </w:r>
          </w:p>
        </w:tc>
      </w:tr>
    </w:tbl>
    <w:p>
      <w:pPr>
        <w:spacing w:after="80" w:before="80"/>
      </w:pPr>
      <w:r>
        <w:t xml:space="preserve"/>
      </w:r>
    </w:p>
    <w:p>
      <w:pPr>
        <w:spacing w:after="60" w:before="60"/>
      </w:pPr>
      <w:r>
        <w:rPr>
          <w:rFonts w:ascii="Arial" w:cs="Arial" w:eastAsia="Arial" w:hAnsi="Arial"/>
          <w:color w:val="595959"/>
          <w:sz w:val="22"/>
          <w:szCs w:val="22"/>
        </w:rPr>
        <w:t xml:space="preserve">Food and Shelter exhibit the highest co-movement (r = 0.97), both reflecting persistent structural cost trends rather than commodity shocks. Gasoline is weakly correlated with Shelter (r = 0.46), confirming that energy price volatility does not directly translate into housing cost pressure. The California metro index is most strongly correlated with Food (r = 0.99) and Shelter (r = 0.98), consistent with those two categories dominating the urban household basket.</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6. Implications</w:t>
      </w:r>
    </w:p>
    <w:p>
      <w:pPr>
        <w:pStyle w:val="Heading2"/>
        <w:spacing w:after="80" w:before="240"/>
      </w:pPr>
      <w:r>
        <w:rPr>
          <w:rFonts w:ascii="Arial" w:cs="Arial" w:eastAsia="Arial" w:hAnsi="Arial"/>
          <w:b/>
          <w:bCs/>
          <w:color w:val="2E4057"/>
          <w:sz w:val="24"/>
          <w:szCs w:val="24"/>
        </w:rPr>
        <w:t xml:space="preserve">Households</w:t>
      </w:r>
    </w:p>
    <w:p>
      <w:pPr>
        <w:spacing w:after="60" w:before="60"/>
      </w:pPr>
      <w:r>
        <w:rPr>
          <w:rFonts w:ascii="Arial" w:cs="Arial" w:eastAsia="Arial" w:hAnsi="Arial"/>
          <w:color w:val="595959"/>
          <w:sz w:val="22"/>
          <w:szCs w:val="22"/>
        </w:rPr>
        <w:t xml:space="preserve">Real purchasing power has eroded substantially since 2020. Food (+29%) and Shelter (+28%) are non-discretionary categories with inelastic demand — households cannot easily substitute away from them. Combined, they represent a lasting structural decline in real wages for any household that did not experience equivalent income growth over the same period.</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Business &amp; Operations</w:t>
      </w:r>
    </w:p>
    <w:p>
      <w:pPr>
        <w:spacing w:after="60" w:before="60"/>
      </w:pPr>
      <w:r>
        <w:rPr>
          <w:rFonts w:ascii="Arial" w:cs="Arial" w:eastAsia="Arial" w:hAnsi="Arial"/>
          <w:color w:val="595959"/>
          <w:sz w:val="22"/>
          <w:szCs w:val="22"/>
        </w:rPr>
        <w:t xml:space="preserve">Cost planning must distinguish between mean-reverting inflation (gasoline) and structural inflation (food, shelter). Long-term supply contracts and labor agreements priced before 2022 are likely underpriced relative to current input costs. Scenario planning should model both continued shelter stickiness and potential energy normalization independently.</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Monetary Policy</w:t>
      </w:r>
    </w:p>
    <w:p>
      <w:pPr>
        <w:spacing w:after="60" w:before="60"/>
      </w:pPr>
      <w:r>
        <w:rPr>
          <w:rFonts w:ascii="Arial" w:cs="Arial" w:eastAsia="Arial" w:hAnsi="Arial"/>
          <w:color w:val="595959"/>
          <w:sz w:val="22"/>
          <w:szCs w:val="22"/>
        </w:rPr>
        <w:t xml:space="preserve">The Federal Reserve's 2022–2023 rate hiking cycle was effective at dampening demand-side inflation and reducing energy price pressure. However, its impact on shelter inflation was constrained by OER's methodological lag and structural supply shortfalls. Monetary policy has diminishing returns against inelastic, supply-constrained spending categories.</w:t>
      </w:r>
    </w:p>
    <w:p>
      <w:pPr>
        <w:spacing w:after="80" w:before="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7. Limitations</w:t>
      </w:r>
    </w:p>
    <w:p>
      <w:pPr>
        <w:pStyle w:val="ListParagraph"/>
        <w:numPr>
          <w:ilvl w:val="0"/>
          <w:numId w:val="2"/>
        </w:numPr>
        <w:spacing w:after="40" w:before="40"/>
      </w:pPr>
      <w:r>
        <w:rPr>
          <w:rFonts w:ascii="Arial" w:cs="Arial" w:eastAsia="Arial" w:hAnsi="Arial"/>
          <w:color w:val="595959"/>
          <w:sz w:val="22"/>
          <w:szCs w:val="22"/>
        </w:rPr>
        <w:t xml:space="preserve">Broad categories only: subcategories (e.g., meats vs. dairy, electricity vs. natural gas) are not disaggregated</w:t>
      </w:r>
    </w:p>
    <w:p>
      <w:pPr>
        <w:pStyle w:val="ListParagraph"/>
        <w:numPr>
          <w:ilvl w:val="0"/>
          <w:numId w:val="2"/>
        </w:numPr>
        <w:spacing w:after="40" w:before="40"/>
      </w:pPr>
      <w:r>
        <w:rPr>
          <w:rFonts w:ascii="Arial" w:cs="Arial" w:eastAsia="Arial" w:hAnsi="Arial"/>
          <w:color w:val="595959"/>
          <w:sz w:val="22"/>
          <w:szCs w:val="22"/>
        </w:rPr>
        <w:t xml:space="preserve">Not Seasonally Adjusted data: seasonal patterns may affect month-to-month interpretation</w:t>
      </w:r>
    </w:p>
    <w:p>
      <w:pPr>
        <w:pStyle w:val="ListParagraph"/>
        <w:numPr>
          <w:ilvl w:val="0"/>
          <w:numId w:val="2"/>
        </w:numPr>
        <w:spacing w:after="40" w:before="40"/>
      </w:pPr>
      <w:r>
        <w:rPr>
          <w:rFonts w:ascii="Arial" w:cs="Arial" w:eastAsia="Arial" w:hAnsi="Arial"/>
          <w:color w:val="595959"/>
          <w:sz w:val="22"/>
          <w:szCs w:val="22"/>
        </w:rPr>
        <w:t xml:space="preserve">Regional scope limited to Los Angeles metro; other high-cost metros (New York, San Francisco) may differ</w:t>
      </w:r>
    </w:p>
    <w:p>
      <w:pPr>
        <w:pStyle w:val="ListParagraph"/>
        <w:numPr>
          <w:ilvl w:val="0"/>
          <w:numId w:val="2"/>
        </w:numPr>
        <w:spacing w:after="40" w:before="40"/>
      </w:pPr>
      <w:r>
        <w:rPr>
          <w:rFonts w:ascii="Arial" w:cs="Arial" w:eastAsia="Arial" w:hAnsi="Arial"/>
          <w:color w:val="595959"/>
          <w:sz w:val="22"/>
          <w:szCs w:val="22"/>
        </w:rPr>
        <w:t xml:space="preserve">Macroeconomic drivers (interest rates, M2, unemployment) are not modeled in this phase of analysis</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tabs>
        <w:tab w:val="right" w:pos="9360"/>
      </w:tabs>
      <w:spacing w:before="0"/>
    </w:pPr>
    <w:r>
      <w:rPr>
        <w:rFonts w:ascii="Arial" w:cs="Arial" w:eastAsia="Arial" w:hAnsi="Arial"/>
        <w:color w:val="999999"/>
        <w:sz w:val="16"/>
        <w:szCs w:val="16"/>
      </w:rPr>
      <w:t xml:space="preserve">Bureau of Labor Statistics — CPI-U, Not Seasonally Adjusted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spacing w:after="0"/>
    </w:pPr>
    <w:r>
      <w:rPr>
        <w:rFonts w:ascii="Arial" w:cs="Arial" w:eastAsia="Arial" w:hAnsi="Arial"/>
        <w:color w:val="595959"/>
        <w:sz w:val="18"/>
        <w:szCs w:val="18"/>
      </w:rPr>
      <w:t xml:space="preserve">U.S. CPI Inflation Analysis  |  2020 – 2025</w:t>
    </w:r>
    <w:r>
      <w:rPr>
        <w:rFonts w:ascii="Arial" w:cs="Arial" w:eastAsia="Arial" w:hAnsi="Arial"/>
        <w:sz w:val="18"/>
        <w:szCs w:val="18"/>
      </w:rPr>
      <w:t xml:space="preserve">	</w:t>
    </w:r>
    <w:r>
      <w:rPr>
        <w:rFonts w:ascii="Arial" w:cs="Arial" w:eastAsia="Arial" w:hAnsi="Arial"/>
        <w:color w:val="595959"/>
        <w:sz w:val="18"/>
        <w:szCs w:val="18"/>
      </w:rPr>
      <w:t xml:space="preserve">Robby Deffo  ·  CSUN MSBA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2026-04-23T19:06:34.293Z</dcterms:created>
  <dcterms:modified xsi:type="dcterms:W3CDTF">2026-04-23T19:06:34.294Z</dcterms:modified>
</cp:coreProperties>
</file>

<file path=docProps/custom.xml><?xml version="1.0" encoding="utf-8"?>
<Properties xmlns="http://schemas.openxmlformats.org/officeDocument/2006/custom-properties" xmlns:vt="http://schemas.openxmlformats.org/officeDocument/2006/docPropsVTypes"/>
</file>