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rPr>
          <w:lang w:val="nl-NL"/>
        </w:rPr>
      </w:pPr>
      <w:r>
        <w:rPr>
          <w:rtl w:val="0"/>
          <w:lang w:val="nl-NL"/>
        </w:rPr>
        <w:t>Brainstorm Studiebegeleiding</w:t>
      </w:r>
    </w:p>
    <w:p>
      <w:pPr>
        <w:pStyle w:val="Title"/>
        <w:rPr>
          <w:lang w:val="nl-NL"/>
        </w:rPr>
      </w:pPr>
      <w:r>
        <w:rPr>
          <w:rtl w:val="0"/>
          <w:lang w:val="nl-NL"/>
        </w:rPr>
        <w:t xml:space="preserve">Even voorstellen  </w:t>
      </w:r>
      <w:r>
        <w:rPr>
          <w:lang w:val="nl-NL"/>
        </w:rPr>
        <w:br w:type="textWrapping"/>
      </w:r>
      <w:r>
        <w:rPr>
          <w:rtl w:val="0"/>
          <w:lang w:val="nl-NL"/>
        </w:rPr>
        <w:t>INGANGS</w:t>
      </w:r>
      <w:r>
        <w:rPr>
          <w:rtl w:val="0"/>
          <w:lang w:val="nl-NL"/>
        </w:rPr>
        <w:t>PROEF</w:t>
      </w:r>
      <w:r>
        <w:rPr>
          <w:rtl w:val="0"/>
          <w:lang w:val="nl-NL"/>
        </w:rPr>
        <w:t xml:space="preserve"> ARTS/TANDARTS</w:t>
      </w:r>
    </w:p>
    <w:tbl>
      <w:tblPr>
        <w:tblW w:w="6487"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668"/>
        <w:gridCol w:w="4819"/>
      </w:tblGrid>
      <w:tr>
        <w:tblPrEx>
          <w:shd w:val="clear" w:color="auto" w:fill="ced7e7"/>
        </w:tblPrEx>
        <w:trPr>
          <w:trHeight w:val="2581" w:hRule="atLeast"/>
        </w:trPr>
        <w:tc>
          <w:tcPr>
            <w:tcW w:type="dxa" w:w="1668"/>
            <w:tcBorders>
              <w:top w:val="nil"/>
              <w:left w:val="nil"/>
              <w:bottom w:val="nil"/>
              <w:right w:val="nil"/>
            </w:tcBorders>
            <w:shd w:val="clear" w:color="auto" w:fill="auto"/>
            <w:tcMar>
              <w:top w:type="dxa" w:w="80"/>
              <w:left w:type="dxa" w:w="80"/>
              <w:bottom w:type="dxa" w:w="80"/>
              <w:right w:type="dxa" w:w="80"/>
            </w:tcMar>
            <w:vAlign w:val="top"/>
          </w:tcPr>
          <w:p>
            <w:pPr>
              <w:pStyle w:val="Normal.0"/>
            </w:pPr>
            <w:r>
              <w:drawing xmlns:a="http://schemas.openxmlformats.org/drawingml/2006/main">
                <wp:inline distT="0" distB="0" distL="0" distR="0">
                  <wp:extent cx="921087" cy="1602172"/>
                  <wp:effectExtent l="0" t="0" r="0" b="0"/>
                  <wp:docPr id="1073741826" name="officeArt object" descr="Afbeelding"/>
                  <wp:cNvGraphicFramePr/>
                  <a:graphic xmlns:a="http://schemas.openxmlformats.org/drawingml/2006/main">
                    <a:graphicData uri="http://schemas.openxmlformats.org/drawingml/2006/picture">
                      <pic:pic xmlns:pic="http://schemas.openxmlformats.org/drawingml/2006/picture">
                        <pic:nvPicPr>
                          <pic:cNvPr id="1073741826" name="Afbeelding" descr="Afbeelding"/>
                          <pic:cNvPicPr>
                            <a:picLocks noChangeAspect="1"/>
                          </pic:cNvPicPr>
                        </pic:nvPicPr>
                        <pic:blipFill>
                          <a:blip r:embed="rId4">
                            <a:extLst/>
                          </a:blip>
                          <a:stretch>
                            <a:fillRect/>
                          </a:stretch>
                        </pic:blipFill>
                        <pic:spPr>
                          <a:xfrm>
                            <a:off x="0" y="0"/>
                            <a:ext cx="921087" cy="1602172"/>
                          </a:xfrm>
                          <a:prstGeom prst="rect">
                            <a:avLst/>
                          </a:prstGeom>
                          <a:ln w="12700" cap="flat">
                            <a:noFill/>
                            <a:miter lim="400000"/>
                          </a:ln>
                          <a:effectLst/>
                        </pic:spPr>
                      </pic:pic>
                    </a:graphicData>
                  </a:graphic>
                </wp:inline>
              </w:drawing>
            </w:r>
            <w:r>
              <w:rPr>
                <w:rtl w:val="0"/>
                <w:lang w:val="nl-NL"/>
              </w:rPr>
              <w:t xml:space="preserve">  </w:t>
            </w:r>
          </w:p>
        </w:tc>
        <w:tc>
          <w:tcPr>
            <w:tcW w:type="dxa" w:w="4819"/>
            <w:tcBorders>
              <w:top w:val="nil"/>
              <w:left w:val="nil"/>
              <w:bottom w:val="nil"/>
              <w:right w:val="nil"/>
            </w:tcBorders>
            <w:shd w:val="clear" w:color="auto" w:fill="auto"/>
            <w:tcMar>
              <w:top w:type="dxa" w:w="80"/>
              <w:left w:type="dxa" w:w="80"/>
              <w:bottom w:type="dxa" w:w="80"/>
              <w:right w:type="dxa" w:w="80"/>
            </w:tcMar>
            <w:vAlign w:val="top"/>
          </w:tcPr>
          <w:p>
            <w:pPr>
              <w:pStyle w:val="Normal.0"/>
            </w:pPr>
            <w:r>
              <w:drawing xmlns:a="http://schemas.openxmlformats.org/drawingml/2006/main">
                <wp:inline distT="0" distB="0" distL="0" distR="0">
                  <wp:extent cx="2466404" cy="1588142"/>
                  <wp:effectExtent l="0" t="0" r="0" b="0"/>
                  <wp:docPr id="1073741827" name="officeArt object" descr="Afbeelding"/>
                  <wp:cNvGraphicFramePr/>
                  <a:graphic xmlns:a="http://schemas.openxmlformats.org/drawingml/2006/main">
                    <a:graphicData uri="http://schemas.openxmlformats.org/drawingml/2006/picture">
                      <pic:pic xmlns:pic="http://schemas.openxmlformats.org/drawingml/2006/picture">
                        <pic:nvPicPr>
                          <pic:cNvPr id="1073741827" name="Afbeelding" descr="Afbeelding"/>
                          <pic:cNvPicPr>
                            <a:picLocks noChangeAspect="1"/>
                          </pic:cNvPicPr>
                        </pic:nvPicPr>
                        <pic:blipFill>
                          <a:blip r:embed="rId5">
                            <a:extLst/>
                          </a:blip>
                          <a:stretch>
                            <a:fillRect/>
                          </a:stretch>
                        </pic:blipFill>
                        <pic:spPr>
                          <a:xfrm>
                            <a:off x="0" y="0"/>
                            <a:ext cx="2466404" cy="1588142"/>
                          </a:xfrm>
                          <a:prstGeom prst="rect">
                            <a:avLst/>
                          </a:prstGeom>
                          <a:ln w="12700" cap="flat">
                            <a:noFill/>
                            <a:miter lim="400000"/>
                          </a:ln>
                          <a:effectLst/>
                        </pic:spPr>
                      </pic:pic>
                    </a:graphicData>
                  </a:graphic>
                </wp:inline>
              </w:drawing>
            </w:r>
            <w:r>
              <w:rPr>
                <w:rtl w:val="0"/>
              </w:rPr>
              <w:t xml:space="preserve"> </w:t>
            </w:r>
          </w:p>
        </w:tc>
      </w:tr>
    </w:tbl>
    <w:p>
      <w:pPr>
        <w:pStyle w:val="Title"/>
        <w:widowControl w:val="0"/>
        <w:rPr>
          <w:lang w:val="nl-NL"/>
        </w:rPr>
      </w:pPr>
    </w:p>
    <w:p>
      <w:pPr>
        <w:pStyle w:val="List Bullet"/>
        <w:numPr>
          <w:ilvl w:val="0"/>
          <w:numId w:val="2"/>
        </w:numPr>
        <w:rPr>
          <w:lang w:val="nl-NL"/>
        </w:rPr>
      </w:pPr>
      <w:r>
        <w:rPr>
          <w:b w:val="1"/>
          <w:bCs w:val="1"/>
          <w:rtl w:val="0"/>
          <w:lang w:val="nl-NL"/>
        </w:rPr>
        <w:t>Adres</w:t>
      </w:r>
      <w:r>
        <w:rPr>
          <w:rtl w:val="0"/>
          <w:lang w:val="nl-NL"/>
        </w:rPr>
        <w:t>: Martelaarslaan 80, 9000 Gent</w:t>
      </w:r>
    </w:p>
    <w:p>
      <w:pPr>
        <w:pStyle w:val="List Bullet"/>
        <w:numPr>
          <w:ilvl w:val="0"/>
          <w:numId w:val="2"/>
        </w:numPr>
        <w:rPr>
          <w:lang w:val="nl-NL"/>
        </w:rPr>
      </w:pPr>
      <w:r>
        <w:rPr>
          <w:b w:val="1"/>
          <w:bCs w:val="1"/>
          <w:rtl w:val="0"/>
          <w:lang w:val="nl-NL"/>
        </w:rPr>
        <w:t>Telefoon</w:t>
      </w:r>
      <w:r>
        <w:rPr>
          <w:rtl w:val="0"/>
          <w:lang w:val="nl-NL"/>
        </w:rPr>
        <w:t xml:space="preserve">:   GSM: 0475/76.67.28                       </w:t>
      </w:r>
    </w:p>
    <w:p>
      <w:pPr>
        <w:pStyle w:val="List Bullet"/>
        <w:numPr>
          <w:ilvl w:val="0"/>
          <w:numId w:val="2"/>
        </w:numPr>
        <w:rPr>
          <w:lang w:val="nl-NL"/>
        </w:rPr>
      </w:pPr>
      <w:r>
        <w:rPr>
          <w:b w:val="1"/>
          <w:bCs w:val="1"/>
          <w:rtl w:val="0"/>
          <w:lang w:val="nl-NL"/>
        </w:rPr>
        <w:t>E-mail</w:t>
      </w:r>
      <w:r>
        <w:rPr>
          <w:rtl w:val="0"/>
          <w:lang w:val="nl-NL"/>
        </w:rPr>
        <w:t xml:space="preserve">: </w:t>
      </w:r>
      <w:r>
        <w:rPr>
          <w:rStyle w:val="Hyperlink.0"/>
          <w:lang w:val="nl-NL"/>
        </w:rPr>
        <w:fldChar w:fldCharType="begin" w:fldLock="0"/>
      </w:r>
      <w:r>
        <w:rPr>
          <w:rStyle w:val="Hyperlink.0"/>
          <w:lang w:val="nl-NL"/>
        </w:rPr>
        <w:instrText xml:space="preserve"> HYPERLINK "mailto:info@brainstorm-studiebegeleiding.be"</w:instrText>
      </w:r>
      <w:r>
        <w:rPr>
          <w:rStyle w:val="Hyperlink.0"/>
          <w:lang w:val="nl-NL"/>
        </w:rPr>
        <w:fldChar w:fldCharType="separate" w:fldLock="0"/>
      </w:r>
      <w:r>
        <w:rPr>
          <w:rStyle w:val="Hyperlink.0"/>
          <w:rtl w:val="0"/>
          <w:lang w:val="nl-NL"/>
        </w:rPr>
        <w:t>info@brainstorm-studiebegeleiding.be</w:t>
      </w:r>
      <w:r>
        <w:rPr>
          <w:lang w:val="nl-NL"/>
        </w:rPr>
        <w:fldChar w:fldCharType="end" w:fldLock="0"/>
      </w:r>
      <w:r>
        <w:rPr>
          <w:outline w:val="0"/>
          <w:color w:val="000000"/>
          <w:u w:color="000000"/>
          <w:rtl w:val="0"/>
          <w:lang w:val="nl-NL"/>
          <w14:textFill>
            <w14:solidFill>
              <w14:srgbClr w14:val="000000"/>
            </w14:solidFill>
          </w14:textFill>
        </w:rPr>
        <w:t xml:space="preserve"> (beter dan bellen)</w:t>
      </w:r>
    </w:p>
    <w:p>
      <w:pPr>
        <w:pStyle w:val="List Bullet"/>
        <w:numPr>
          <w:ilvl w:val="0"/>
          <w:numId w:val="2"/>
        </w:numPr>
        <w:rPr>
          <w:lang w:val="nl-NL"/>
        </w:rPr>
      </w:pPr>
      <w:r>
        <w:rPr>
          <w:b w:val="1"/>
          <w:bCs w:val="1"/>
          <w:rtl w:val="0"/>
          <w:lang w:val="nl-NL"/>
        </w:rPr>
        <w:t>Oprichters</w:t>
      </w:r>
      <w:r>
        <w:rPr>
          <w:rtl w:val="0"/>
          <w:lang w:val="nl-NL"/>
        </w:rPr>
        <w:t xml:space="preserve">: Claeys Toon (Bio-Ingenieur, Licentiaat Informatica) en Van Hauwermeiren Griet (Apotheker, Master Biologie, Lerarenopleiding, Master psychologie, </w:t>
      </w:r>
      <w:r>
        <w:rPr>
          <w:rtl w:val="0"/>
          <w:lang w:val="nl-NL"/>
        </w:rPr>
        <w:t>Basisarts Master geneeskunde</w:t>
      </w:r>
      <w:r>
        <w:rPr>
          <w:rtl w:val="0"/>
          <w:lang w:val="nl-NL"/>
        </w:rPr>
        <w:t>)</w:t>
      </w:r>
    </w:p>
    <w:p>
      <w:pPr>
        <w:pStyle w:val="List Bullet"/>
        <w:numPr>
          <w:ilvl w:val="0"/>
          <w:numId w:val="2"/>
        </w:numPr>
        <w:rPr>
          <w:lang w:val="nl-NL"/>
        </w:rPr>
      </w:pPr>
      <w:r>
        <w:rPr>
          <w:b w:val="1"/>
          <w:bCs w:val="1"/>
          <w:rtl w:val="0"/>
          <w:lang w:val="nl-NL"/>
        </w:rPr>
        <w:t>Lesgevers</w:t>
      </w:r>
      <w:r>
        <w:rPr>
          <w:rtl w:val="0"/>
          <w:lang w:val="nl-NL"/>
        </w:rPr>
        <w:t>: groep van 30-tal masters, bio-ingenieurs en burgerlijk-ingenieurs, met ervaring in lesgeven en priv</w:t>
      </w:r>
      <w:r>
        <w:rPr>
          <w:rtl w:val="0"/>
          <w:lang w:val="nl-NL"/>
        </w:rPr>
        <w:t>é</w:t>
      </w:r>
      <w:r>
        <w:rPr>
          <w:rtl w:val="0"/>
          <w:lang w:val="nl-NL"/>
        </w:rPr>
        <w:t>-begeleiding, meestal met aggregaatsdiploma</w:t>
      </w:r>
    </w:p>
    <w:p>
      <w:pPr>
        <w:pStyle w:val="List Bullet"/>
        <w:numPr>
          <w:ilvl w:val="0"/>
          <w:numId w:val="2"/>
        </w:numPr>
        <w:rPr>
          <w:lang w:val="nl-NL"/>
        </w:rPr>
      </w:pPr>
      <w:r>
        <w:rPr>
          <w:b w:val="1"/>
          <w:bCs w:val="1"/>
          <w:rtl w:val="0"/>
          <w:lang w:val="nl-NL"/>
        </w:rPr>
        <w:t>Specialisatie</w:t>
      </w:r>
      <w:r>
        <w:rPr>
          <w:rtl w:val="0"/>
          <w:lang w:val="nl-NL"/>
        </w:rPr>
        <w:t>: Informatica, Medische wetenschappen, Wetenschappen, Humaniora (alle vakken), Toelatingsexamen arts/tandarts</w:t>
      </w:r>
    </w:p>
    <w:p>
      <w:pPr>
        <w:pStyle w:val="List Bullet"/>
        <w:numPr>
          <w:ilvl w:val="0"/>
          <w:numId w:val="2"/>
        </w:numPr>
        <w:rPr>
          <w:lang w:val="nl-NL"/>
        </w:rPr>
      </w:pPr>
      <w:r>
        <w:rPr>
          <w:b w:val="1"/>
          <w:bCs w:val="1"/>
          <w:rtl w:val="0"/>
          <w:lang w:val="nl-NL"/>
        </w:rPr>
        <w:t>Voorbereiding Toelatings</w:t>
      </w:r>
      <w:r>
        <w:rPr>
          <w:b w:val="1"/>
          <w:bCs w:val="1"/>
          <w:rtl w:val="0"/>
          <w:lang w:val="nl-NL"/>
        </w:rPr>
        <w:t>proef</w:t>
      </w:r>
      <w:r>
        <w:rPr>
          <w:b w:val="1"/>
          <w:bCs w:val="1"/>
          <w:rtl w:val="0"/>
          <w:lang w:val="nl-NL"/>
        </w:rPr>
        <w:t xml:space="preserve"> arts en tandarts</w:t>
      </w:r>
      <w:r>
        <w:rPr>
          <w:rtl w:val="0"/>
          <w:lang w:val="nl-NL"/>
        </w:rPr>
        <w:t xml:space="preserve">: </w:t>
      </w:r>
      <w:r>
        <w:rPr>
          <w:lang w:val="nl-NL"/>
        </w:rPr>
        <w:br w:type="textWrapping"/>
      </w:r>
      <w:r>
        <w:rPr>
          <w:rtl w:val="0"/>
          <w:lang w:val="nl-NL"/>
        </w:rPr>
        <w:t xml:space="preserve">Speciaal voor schoolverlaters met het voornemen om volgend jaar de studies geneeskunde of tandheelkunde aan te vatten, heeft Brainstorm een product samengesteld dat hun slaagkansen voor het toelatingsexamen gevoelig verhoogt! Het betreft een pakket waarin zijn begrepen: algemene studiemethode, een gedrukte cursus (elk jaar updating!), extra uitleg bij </w:t>
      </w:r>
      <w:r>
        <w:rPr>
          <w:rtl w:val="0"/>
          <w:lang w:val="nl-NL"/>
        </w:rPr>
        <w:t xml:space="preserve">theorie in </w:t>
      </w:r>
      <w:r>
        <w:rPr>
          <w:rtl w:val="0"/>
          <w:lang w:val="nl-NL"/>
        </w:rPr>
        <w:t>cursus, oefeningenlessen en  up to date proefexamens (max 3 per vak) met gepersonaliseerde feedback.</w:t>
      </w:r>
    </w:p>
    <w:p>
      <w:pPr>
        <w:pStyle w:val="List Bullet"/>
        <w:numPr>
          <w:ilvl w:val="0"/>
          <w:numId w:val="2"/>
        </w:numPr>
        <w:rPr>
          <w:lang w:val="nl-NL"/>
        </w:rPr>
      </w:pPr>
      <w:r>
        <w:rPr>
          <w:rtl w:val="0"/>
          <w:lang w:val="nl-NL"/>
        </w:rPr>
        <w:t>We bestaan intussen 25 jaar en hebben meer dan 20jaar ervaring bij de  toelatingsproef. Onze eerste studenten zijn al enkele jaren huisarts, tandarts of specialist in ziekenhuizen over geheel Vlaanderen.</w:t>
      </w:r>
    </w:p>
    <w:p>
      <w:pPr>
        <w:pStyle w:val="List Bullet"/>
        <w:numPr>
          <w:ilvl w:val="0"/>
          <w:numId w:val="2"/>
        </w:numPr>
        <w:rPr>
          <w:lang w:val="nl-NL"/>
        </w:rPr>
      </w:pPr>
      <w:r>
        <w:rPr>
          <w:rtl w:val="0"/>
          <w:lang w:val="nl-NL"/>
        </w:rPr>
        <w:t>We overwegen online-lessen vanaf 2023 voor wie niet fysiek aanwezig kan zijn.</w:t>
      </w:r>
    </w:p>
    <w:p>
      <w:pPr>
        <w:pStyle w:val="List Bullet"/>
        <w:numPr>
          <w:ilvl w:val="0"/>
          <w:numId w:val="2"/>
        </w:numPr>
        <w:rPr>
          <w:lang w:val="nl-NL"/>
        </w:rPr>
      </w:pPr>
      <w:r>
        <w:rPr>
          <w:rtl w:val="0"/>
          <w:lang w:val="nl-NL"/>
        </w:rPr>
        <w:t>We starten dit jaar ook met een pakket voor toelatingsproef diergeneeskunde.</w:t>
      </w:r>
    </w:p>
    <w:tbl>
      <w:tblPr>
        <w:tblW w:w="7669" w:type="dxa"/>
        <w:jc w:val="center"/>
        <w:tblInd w:w="33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30"/>
        <w:gridCol w:w="2321"/>
        <w:gridCol w:w="3118"/>
      </w:tblGrid>
      <w:tr>
        <w:tblPrEx>
          <w:shd w:val="clear" w:color="auto" w:fill="ced7e7"/>
        </w:tblPrEx>
        <w:trPr>
          <w:trHeight w:val="570" w:hRule="atLeast"/>
        </w:trPr>
        <w:tc>
          <w:tcPr>
            <w:tcW w:type="dxa" w:w="22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pPr>
            <w:r>
              <w:rPr>
                <w:b w:val="1"/>
                <w:bCs w:val="1"/>
                <w:rtl w:val="0"/>
                <w:lang w:val="nl-NL"/>
              </w:rPr>
              <w:t>Pakket</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pPr>
            <w:r>
              <w:rPr>
                <w:b w:val="1"/>
                <w:bCs w:val="1"/>
                <w:rtl w:val="0"/>
                <w:lang w:val="nl-NL"/>
              </w:rPr>
              <w:t xml:space="preserve">Eenheidsprijs (EUR) </w:t>
            </w:r>
            <w:r>
              <w:rPr>
                <w:b w:val="1"/>
                <w:bCs w:val="1"/>
              </w:rPr>
            </w:r>
          </w:p>
        </w:tc>
        <w:tc>
          <w:tcPr>
            <w:tcW w:type="dxa" w:w="3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jc w:val="right"/>
            </w:pPr>
            <w:r>
              <w:rPr>
                <w:b w:val="1"/>
                <w:bCs w:val="1"/>
                <w:rtl w:val="0"/>
                <w:lang w:val="nl-NL"/>
              </w:rPr>
              <w:t>TIJD</w:t>
            </w:r>
          </w:p>
        </w:tc>
      </w:tr>
      <w:tr>
        <w:tblPrEx>
          <w:shd w:val="clear" w:color="auto" w:fill="ced7e7"/>
        </w:tblPrEx>
        <w:trPr>
          <w:trHeight w:val="290" w:hRule="atLeast"/>
        </w:trPr>
        <w:tc>
          <w:tcPr>
            <w:tcW w:type="dxa" w:w="22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pPr>
            <w:r>
              <w:rPr>
                <w:rtl w:val="0"/>
                <w:lang w:val="nl-NL"/>
              </w:rPr>
              <w:t>Biologie</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jc w:val="right"/>
            </w:pPr>
            <w:r>
              <w:rPr>
                <w:rtl w:val="0"/>
                <w:lang w:val="nl-NL"/>
              </w:rPr>
              <w:t>540</w:t>
            </w:r>
          </w:p>
        </w:tc>
        <w:tc>
          <w:tcPr>
            <w:tcW w:type="dxa" w:w="3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jc w:val="right"/>
            </w:pPr>
            <w:r>
              <w:rPr>
                <w:rtl w:val="0"/>
                <w:lang w:val="nl-NL"/>
              </w:rPr>
              <w:t xml:space="preserve">ongeveer 18 </w:t>
            </w:r>
            <w:r>
              <w:rPr>
                <w:rtl w:val="0"/>
                <w:lang w:val="nl-NL"/>
              </w:rPr>
              <w:t xml:space="preserve">à </w:t>
            </w:r>
            <w:r>
              <w:rPr>
                <w:rtl w:val="0"/>
                <w:lang w:val="nl-NL"/>
              </w:rPr>
              <w:t xml:space="preserve">20 uur; max 22u      </w:t>
            </w:r>
          </w:p>
        </w:tc>
      </w:tr>
      <w:tr>
        <w:tblPrEx>
          <w:shd w:val="clear" w:color="auto" w:fill="ced7e7"/>
        </w:tblPrEx>
        <w:trPr>
          <w:trHeight w:val="290" w:hRule="atLeast"/>
        </w:trPr>
        <w:tc>
          <w:tcPr>
            <w:tcW w:type="dxa" w:w="22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pPr>
            <w:r>
              <w:rPr>
                <w:rtl w:val="0"/>
                <w:lang w:val="nl-NL"/>
              </w:rPr>
              <w:t>Chemie</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jc w:val="right"/>
            </w:pPr>
            <w:r>
              <w:rPr>
                <w:rtl w:val="0"/>
                <w:lang w:val="nl-NL"/>
              </w:rPr>
              <w:t>540</w:t>
            </w:r>
          </w:p>
        </w:tc>
        <w:tc>
          <w:tcPr>
            <w:tcW w:type="dxa" w:w="3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jc w:val="right"/>
            </w:pPr>
            <w:r>
              <w:rPr>
                <w:rtl w:val="0"/>
                <w:lang w:val="nl-NL"/>
              </w:rPr>
              <w:t xml:space="preserve">ongeveer 18 </w:t>
            </w:r>
            <w:r>
              <w:rPr>
                <w:rtl w:val="0"/>
                <w:lang w:val="nl-NL"/>
              </w:rPr>
              <w:t xml:space="preserve">à </w:t>
            </w:r>
            <w:r>
              <w:rPr>
                <w:rtl w:val="0"/>
                <w:lang w:val="nl-NL"/>
              </w:rPr>
              <w:t>20 uur; max 22u</w:t>
            </w:r>
          </w:p>
        </w:tc>
      </w:tr>
      <w:tr>
        <w:tblPrEx>
          <w:shd w:val="clear" w:color="auto" w:fill="ced7e7"/>
        </w:tblPrEx>
        <w:trPr>
          <w:trHeight w:val="290" w:hRule="atLeast"/>
        </w:trPr>
        <w:tc>
          <w:tcPr>
            <w:tcW w:type="dxa" w:w="22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pPr>
            <w:r>
              <w:rPr>
                <w:rtl w:val="0"/>
                <w:lang w:val="nl-NL"/>
              </w:rPr>
              <w:t>Fysica</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jc w:val="right"/>
            </w:pPr>
            <w:r>
              <w:rPr>
                <w:rtl w:val="0"/>
                <w:lang w:val="nl-NL"/>
              </w:rPr>
              <w:t xml:space="preserve">660 </w:t>
            </w:r>
          </w:p>
        </w:tc>
        <w:tc>
          <w:tcPr>
            <w:tcW w:type="dxa" w:w="3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jc w:val="right"/>
            </w:pPr>
            <w:r>
              <w:rPr>
                <w:rtl w:val="0"/>
                <w:lang w:val="nl-NL"/>
              </w:rPr>
              <w:t xml:space="preserve">ongeveer 22 </w:t>
            </w:r>
            <w:r>
              <w:rPr>
                <w:rtl w:val="0"/>
                <w:lang w:val="nl-NL"/>
              </w:rPr>
              <w:t xml:space="preserve">à </w:t>
            </w:r>
            <w:r>
              <w:rPr>
                <w:rtl w:val="0"/>
                <w:lang w:val="nl-NL"/>
              </w:rPr>
              <w:t>24 uur; max 25u</w:t>
            </w:r>
          </w:p>
        </w:tc>
      </w:tr>
      <w:tr>
        <w:tblPrEx>
          <w:shd w:val="clear" w:color="auto" w:fill="ced7e7"/>
        </w:tblPrEx>
        <w:trPr>
          <w:trHeight w:val="290" w:hRule="atLeast"/>
        </w:trPr>
        <w:tc>
          <w:tcPr>
            <w:tcW w:type="dxa" w:w="22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pPr>
            <w:r>
              <w:rPr>
                <w:rtl w:val="0"/>
                <w:lang w:val="nl-NL"/>
              </w:rPr>
              <w:t>Wiskunde</w:t>
            </w:r>
          </w:p>
        </w:tc>
        <w:tc>
          <w:tcPr>
            <w:tcW w:type="dxa" w:w="23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jc w:val="right"/>
            </w:pPr>
            <w:r>
              <w:rPr>
                <w:rtl w:val="0"/>
                <w:lang w:val="nl-NL"/>
              </w:rPr>
              <w:t>600</w:t>
            </w:r>
          </w:p>
        </w:tc>
        <w:tc>
          <w:tcPr>
            <w:tcW w:type="dxa" w:w="31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jc w:val="center"/>
            </w:pPr>
            <w:r>
              <w:rPr>
                <w:rtl w:val="0"/>
                <w:lang w:val="nl-NL"/>
              </w:rPr>
              <w:t xml:space="preserve">ongeveer 20 </w:t>
            </w:r>
            <w:r>
              <w:rPr>
                <w:rtl w:val="0"/>
                <w:lang w:val="nl-NL"/>
              </w:rPr>
              <w:t xml:space="preserve">à </w:t>
            </w:r>
            <w:r>
              <w:rPr>
                <w:rtl w:val="0"/>
                <w:lang w:val="nl-NL"/>
              </w:rPr>
              <w:t xml:space="preserve">22 uur; max 24u </w:t>
            </w:r>
          </w:p>
        </w:tc>
      </w:tr>
    </w:tbl>
    <w:p>
      <w:pPr>
        <w:pStyle w:val="List Bullet"/>
        <w:widowControl w:val="0"/>
        <w:numPr>
          <w:ilvl w:val="0"/>
          <w:numId w:val="3"/>
        </w:numPr>
        <w:jc w:val="center"/>
        <w:rPr>
          <w:lang w:val="nl-NL"/>
        </w:rPr>
      </w:pPr>
    </w:p>
    <w:p>
      <w:pPr>
        <w:pStyle w:val="Normal.0"/>
        <w:numPr>
          <w:ilvl w:val="0"/>
          <w:numId w:val="5"/>
        </w:numPr>
        <w:rPr>
          <w:lang w:val="nl-NL"/>
        </w:rPr>
      </w:pPr>
      <w:r>
        <w:rPr>
          <w:rtl w:val="0"/>
          <w:lang w:val="nl-NL"/>
        </w:rPr>
        <w:t xml:space="preserve">Ook mogelijkheid tot voorbereiding op </w:t>
      </w:r>
      <w:r>
        <w:rPr>
          <w:b w:val="1"/>
          <w:bCs w:val="1"/>
          <w:rtl w:val="0"/>
          <w:lang w:val="nl-NL"/>
        </w:rPr>
        <w:t>stilleestekst</w:t>
      </w:r>
      <w:r>
        <w:rPr>
          <w:b w:val="1"/>
          <w:bCs w:val="1"/>
          <w:rtl w:val="0"/>
          <w:lang w:val="nl-NL"/>
        </w:rPr>
        <w:t xml:space="preserve"> en </w:t>
      </w:r>
      <w:r>
        <w:rPr>
          <w:b w:val="1"/>
          <w:bCs w:val="1"/>
          <w:rtl w:val="0"/>
          <w:lang w:val="nl-NL"/>
        </w:rPr>
        <w:t xml:space="preserve">communicatietechnieken: </w:t>
      </w:r>
      <w:r>
        <w:rPr>
          <w:rtl w:val="0"/>
          <w:lang w:val="nl-NL"/>
        </w:rPr>
        <w:t>uitleg</w:t>
      </w:r>
      <w:r>
        <w:rPr>
          <w:rtl w:val="0"/>
          <w:lang w:val="nl-NL"/>
        </w:rPr>
        <w:t xml:space="preserve"> aanpak, </w:t>
      </w:r>
      <w:r>
        <w:rPr>
          <w:rtl w:val="0"/>
          <w:lang w:val="nl-NL"/>
        </w:rPr>
        <w:t>veel documentatie</w:t>
      </w:r>
      <w:r>
        <w:rPr>
          <w:rtl w:val="0"/>
          <w:lang w:val="nl-NL"/>
        </w:rPr>
        <w:t xml:space="preserve"> en extra voorbeelden, </w:t>
      </w:r>
      <w:r>
        <w:rPr>
          <w:rtl w:val="0"/>
          <w:lang w:val="nl-NL"/>
        </w:rPr>
        <w:t>toets ter plekke</w:t>
      </w:r>
      <w:r>
        <w:rPr>
          <w:lang w:val="nl-NL"/>
        </w:rPr>
        <w:br w:type="textWrapping"/>
      </w:r>
      <w:r>
        <w:rPr>
          <w:b w:val="1"/>
          <w:bCs w:val="1"/>
          <w:rtl w:val="0"/>
          <w:lang w:val="nl-NL"/>
        </w:rPr>
        <w:t>(1 voormiddag in groep; prijs: 100 euro)</w:t>
      </w:r>
      <w:r>
        <w:rPr>
          <w:rtl w:val="0"/>
          <w:lang w:val="nl-NL"/>
        </w:rPr>
        <w:t xml:space="preserve"> </w:t>
      </w:r>
    </w:p>
    <w:sectPr>
      <w:headerReference w:type="default" r:id="rId6"/>
      <w:footerReference w:type="default" r:id="rId7"/>
      <w:pgSz w:w="11900" w:h="16840" w:orient="portrait"/>
      <w:pgMar w:top="1440" w:right="1797" w:bottom="1440" w:left="1797"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omic Sans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Kop- en voettekst"/>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8286"/>
        <w:tab w:val="clear" w:pos="8640"/>
      </w:tabs>
      <w:jc w:val="center"/>
    </w:pPr>
    <w:r>
      <w:drawing xmlns:a="http://schemas.openxmlformats.org/drawingml/2006/main">
        <wp:inline distT="0" distB="0" distL="0" distR="0">
          <wp:extent cx="695402" cy="519024"/>
          <wp:effectExtent l="0" t="0" r="0" b="0"/>
          <wp:docPr id="1073741825" name="officeArt object" descr="Afbeelding"/>
          <wp:cNvGraphicFramePr/>
          <a:graphic xmlns:a="http://schemas.openxmlformats.org/drawingml/2006/main">
            <a:graphicData uri="http://schemas.openxmlformats.org/drawingml/2006/picture">
              <pic:pic xmlns:pic="http://schemas.openxmlformats.org/drawingml/2006/picture">
                <pic:nvPicPr>
                  <pic:cNvPr id="1073741825" name="Afbeelding" descr="Afbeelding"/>
                  <pic:cNvPicPr>
                    <a:picLocks noChangeAspect="1"/>
                  </pic:cNvPicPr>
                </pic:nvPicPr>
                <pic:blipFill>
                  <a:blip r:embed="rId1">
                    <a:extLst/>
                  </a:blip>
                  <a:stretch>
                    <a:fillRect/>
                  </a:stretch>
                </pic:blipFill>
                <pic:spPr>
                  <a:xfrm>
                    <a:off x="0" y="0"/>
                    <a:ext cx="695402" cy="519024"/>
                  </a:xfrm>
                  <a:prstGeom prst="rect">
                    <a:avLst/>
                  </a:prstGeom>
                  <a:ln w="12700" cap="flat">
                    <a:noFill/>
                    <a:miter lim="400000"/>
                  </a:ln>
                  <a:effectLst/>
                </pic:spPr>
              </pic:pic>
            </a:graphicData>
          </a:graphic>
        </wp:inline>
      </w:drawing>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Geïmporteerde stijl 1"/>
  </w:abstractNum>
  <w:abstractNum w:abstractNumId="1">
    <w:multiLevelType w:val="hybridMultilevel"/>
    <w:styleLink w:val="Geïmporteerde stijl 1"/>
    <w:lvl w:ilvl="0">
      <w:start w:val="1"/>
      <w:numFmt w:val="bullet"/>
      <w:suff w:val="tab"/>
      <w:lvlText w:val="❑"/>
      <w:lvlJc w:val="left"/>
      <w:pPr>
        <w:tabs>
          <w:tab w:val="clear" w:pos="360"/>
        </w:tabs>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clear" w:pos="360"/>
        </w:tabs>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clear" w:pos="360"/>
        </w:tabs>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clear" w:pos="360"/>
        </w:tabs>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clear" w:pos="360"/>
        </w:tabs>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clear" w:pos="360"/>
        </w:tabs>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clear" w:pos="360"/>
        </w:tabs>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clear" w:pos="360"/>
        </w:tabs>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clear" w:pos="360"/>
        </w:tabs>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Geïmporteerde stijl 2"/>
  </w:abstractNum>
  <w:abstractNum w:abstractNumId="3">
    <w:multiLevelType w:val="hybridMultilevel"/>
    <w:styleLink w:val="Geïmporteerde stijl 2"/>
    <w:lvl w:ilvl="0">
      <w:start w:val="1"/>
      <w:numFmt w:val="bullet"/>
      <w:suff w:val="tab"/>
      <w:lvlText w:val="❑"/>
      <w:lvlJc w:val="left"/>
      <w:pPr>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tabs>
            <w:tab w:val="num" w:pos="360"/>
          </w:tabs>
          <w:ind w:left="586" w:hanging="58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num" w:pos="360"/>
          </w:tabs>
          <w:ind w:left="586" w:hanging="58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num" w:pos="360"/>
          </w:tabs>
          <w:ind w:left="586" w:hanging="58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num" w:pos="360"/>
          </w:tabs>
          <w:ind w:left="586" w:hanging="58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num" w:pos="360"/>
          </w:tabs>
          <w:ind w:left="586" w:hanging="58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num" w:pos="360"/>
          </w:tabs>
          <w:ind w:left="586" w:hanging="58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num" w:pos="360"/>
          </w:tabs>
          <w:ind w:left="586" w:hanging="58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num" w:pos="360"/>
          </w:tabs>
          <w:ind w:left="586" w:hanging="58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num" w:pos="360"/>
          </w:tabs>
          <w:ind w:left="586" w:hanging="58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Nederlands" w:val="‘“(〔[{〈《「『【⦅〘〖«〝︵︷︹︻︽︿﹁﹃﹇﹙﹛﹝｢"/>
  <w:noLineBreaksBefore w:lang="Nederlands"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320"/>
        <w:tab w:val="right" w:pos="8640"/>
      </w:tabs>
      <w:suppressAutoHyphens w:val="0"/>
      <w:bidi w:val="0"/>
      <w:spacing w:before="0" w:after="120" w:line="240" w:lineRule="auto"/>
      <w:ind w:left="0" w:right="0" w:firstLine="0"/>
      <w:jc w:val="left"/>
      <w:outlineLvl w:val="9"/>
    </w:pPr>
    <w:rPr>
      <w:rFonts w:ascii="Comic Sans MS" w:cs="Arial Unicode MS" w:hAnsi="Comic Sans MS"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noFill/>
      </w14:textOutline>
      <w14:textFill>
        <w14:solidFill>
          <w14:srgbClr w14:val="000000"/>
        </w14:solidFill>
      </w14:textFill>
    </w:rPr>
  </w:style>
  <w:style w:type="paragraph" w:styleId="Kop- en voettekst">
    <w:name w:val="Kop- en voettekst"/>
    <w:next w:val="Kop- en voettekst"/>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Title"/>
    <w:pPr>
      <w:keepNext w:val="0"/>
      <w:keepLines w:val="0"/>
      <w:pageBreakBefore w:val="0"/>
      <w:widowControl w:val="1"/>
      <w:shd w:val="clear" w:color="auto" w:fill="auto"/>
      <w:suppressAutoHyphens w:val="0"/>
      <w:bidi w:val="0"/>
      <w:spacing w:before="240" w:after="60" w:line="240" w:lineRule="auto"/>
      <w:ind w:left="0" w:right="0" w:firstLine="0"/>
      <w:jc w:val="center"/>
      <w:outlineLvl w:val="0"/>
    </w:pPr>
    <w:rPr>
      <w:rFonts w:ascii="Comic Sans MS" w:cs="Arial Unicode MS" w:hAnsi="Comic Sans MS" w:eastAsia="Arial Unicode MS"/>
      <w:b w:val="1"/>
      <w:bCs w:val="1"/>
      <w:i w:val="0"/>
      <w:iCs w:val="0"/>
      <w:caps w:val="0"/>
      <w:smallCaps w:val="0"/>
      <w:strike w:val="0"/>
      <w:dstrike w:val="0"/>
      <w:outline w:val="0"/>
      <w:color w:val="000000"/>
      <w:spacing w:val="0"/>
      <w:kern w:val="28"/>
      <w:position w:val="0"/>
      <w:sz w:val="32"/>
      <w:szCs w:val="32"/>
      <w:u w:val="none" w:color="000000"/>
      <w:shd w:val="nil" w:color="auto" w:fill="auto"/>
      <w:vertAlign w:val="baseline"/>
      <w:lang w:val="en-US"/>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120" w:line="240" w:lineRule="auto"/>
      <w:ind w:left="0" w:right="0" w:firstLine="0"/>
      <w:jc w:val="left"/>
      <w:outlineLvl w:val="9"/>
    </w:pPr>
    <w:rPr>
      <w:rFonts w:ascii="Comic Sans MS" w:cs="Comic Sans MS" w:hAnsi="Comic Sans MS" w:eastAsia="Comic Sans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noFill/>
      </w14:textOutline>
      <w14:textFill>
        <w14:solidFill>
          <w14:srgbClr w14:val="000000"/>
        </w14:solidFill>
      </w14:textFill>
    </w:rPr>
  </w:style>
  <w:style w:type="paragraph" w:styleId="List Bullet">
    <w:name w:val="List Bullet"/>
    <w:next w:val="List Bullet"/>
    <w:pPr>
      <w:keepNext w:val="0"/>
      <w:keepLines w:val="0"/>
      <w:pageBreakBefore w:val="0"/>
      <w:widowControl w:val="1"/>
      <w:shd w:val="clear" w:color="auto" w:fill="auto"/>
      <w:tabs>
        <w:tab w:val="left" w:pos="360"/>
      </w:tabs>
      <w:suppressAutoHyphens w:val="0"/>
      <w:bidi w:val="0"/>
      <w:spacing w:before="0" w:after="120" w:line="240" w:lineRule="auto"/>
      <w:ind w:left="0" w:right="0" w:firstLine="0"/>
      <w:jc w:val="left"/>
      <w:outlineLvl w:val="9"/>
    </w:pPr>
    <w:rPr>
      <w:rFonts w:ascii="Comic Sans MS" w:cs="Arial Unicode MS" w:hAnsi="Comic Sans MS"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noFill/>
      </w14:textOutline>
      <w14:textFill>
        <w14:solidFill>
          <w14:srgbClr w14:val="000000"/>
        </w14:solidFill>
      </w14:textFill>
    </w:rPr>
  </w:style>
  <w:style w:type="numbering" w:styleId="Geïmporteerde stijl 1">
    <w:name w:val="Geïmporteerde stijl 1"/>
    <w:pPr>
      <w:numPr>
        <w:numId w:val="1"/>
      </w:numPr>
    </w:pPr>
  </w:style>
  <w:style w:type="character" w:styleId="Koppeling">
    <w:name w:val="Koppeling"/>
    <w:rPr>
      <w:outline w:val="0"/>
      <w:color w:val="0000ff"/>
      <w:u w:val="single" w:color="0000ff"/>
      <w14:textFill>
        <w14:solidFill>
          <w14:srgbClr w14:val="0000FF"/>
        </w14:solidFill>
      </w14:textFill>
    </w:rPr>
  </w:style>
  <w:style w:type="character" w:styleId="Hyperlink.0">
    <w:name w:val="Hyperlink.0"/>
    <w:basedOn w:val="Koppeling"/>
    <w:next w:val="Hyperlink.0"/>
    <w:rPr>
      <w:lang w:val="nl-NL"/>
    </w:rPr>
  </w:style>
  <w:style w:type="numbering" w:styleId="Geïmporteerde stijl 2">
    <w:name w:val="Geïmporteerde stijl 2"/>
    <w:pPr>
      <w:numPr>
        <w:numId w:val="4"/>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