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, RG n.º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{{VALORREAIS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, 30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A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