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2D5B0" w14:textId="77777777" w:rsidR="001E0E9D" w:rsidRDefault="00000000">
      <w:pPr>
        <w:jc w:val="center"/>
      </w:pPr>
      <w:r>
        <w:rPr>
          <w:b/>
          <w:sz w:val="32"/>
        </w:rPr>
        <w:t>RELATÓRIO DE APONTAMENTOS DO PROFESSOR E ADEQUAÇÕES REALIZADAS</w:t>
      </w:r>
    </w:p>
    <w:p w14:paraId="198C84E6" w14:textId="77777777" w:rsidR="001E0E9D" w:rsidRDefault="00000000">
      <w:pPr>
        <w:jc w:val="center"/>
      </w:pPr>
      <w:r>
        <w:rPr>
          <w:sz w:val="24"/>
        </w:rPr>
        <w:t>Projeto Integrador de Inteligência Artificial – Entrega 1 (E1)</w:t>
      </w:r>
    </w:p>
    <w:p w14:paraId="3ED33BBA" w14:textId="77777777" w:rsidR="001E0E9D" w:rsidRDefault="00000000">
      <w:pPr>
        <w:jc w:val="center"/>
      </w:pPr>
      <w:r>
        <w:t>Requisitos e Arquitetura de um Protótipo Acadêmico de Apoio à Decisão para Risco de Readmissão Hospitalar em Idosos</w:t>
      </w:r>
    </w:p>
    <w:p w14:paraId="48A7360C" w14:textId="77777777" w:rsidR="001E0E9D" w:rsidRDefault="001E0E9D"/>
    <w:p w14:paraId="51D13E47" w14:textId="77777777" w:rsidR="001E0E9D" w:rsidRPr="00986F51" w:rsidRDefault="00000000" w:rsidP="00986F51">
      <w:pPr>
        <w:pStyle w:val="Ttulo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6F51">
        <w:rPr>
          <w:rFonts w:ascii="Arial" w:hAnsi="Arial" w:cs="Arial"/>
          <w:sz w:val="24"/>
          <w:szCs w:val="24"/>
        </w:rPr>
        <w:t>1 Objetivo deste relatório</w:t>
      </w:r>
    </w:p>
    <w:p w14:paraId="634F146A" w14:textId="77777777" w:rsidR="001E0E9D" w:rsidRPr="00986F51" w:rsidRDefault="00000000" w:rsidP="00986F51">
      <w:pPr>
        <w:spacing w:line="360" w:lineRule="auto"/>
        <w:jc w:val="both"/>
        <w:rPr>
          <w:rFonts w:cs="Arial"/>
          <w:sz w:val="24"/>
          <w:szCs w:val="24"/>
        </w:rPr>
      </w:pPr>
      <w:r w:rsidRPr="00986F51">
        <w:rPr>
          <w:rFonts w:cs="Arial"/>
          <w:sz w:val="24"/>
          <w:szCs w:val="24"/>
        </w:rPr>
        <w:t>Este relatório consolida os principais apontamentos realizados pelo professor sobre a versão da Entrega 1 (E1) e registra as adequações efetuadas no documento. O objetivo é apresentar ao grupo, de forma organizada e rastreável, quais problemas foram identificados, qual foi a orientação recebida e como cada ponto foi corrigido.</w:t>
      </w:r>
    </w:p>
    <w:p w14:paraId="6BCF128D" w14:textId="77777777" w:rsidR="001E0E9D" w:rsidRPr="00986F51" w:rsidRDefault="00000000" w:rsidP="00986F51">
      <w:pPr>
        <w:pStyle w:val="Ttulo1"/>
        <w:spacing w:line="360" w:lineRule="auto"/>
        <w:jc w:val="both"/>
        <w:rPr>
          <w:rFonts w:ascii="Arial" w:hAnsi="Arial" w:cs="Arial"/>
        </w:rPr>
      </w:pPr>
      <w:r w:rsidRPr="00986F51">
        <w:rPr>
          <w:rFonts w:ascii="Arial" w:hAnsi="Arial" w:cs="Arial"/>
        </w:rPr>
        <w:t>2 Síntese dos critérios observados nos apontamentos</w:t>
      </w:r>
    </w:p>
    <w:p w14:paraId="0207A895" w14:textId="77777777" w:rsidR="001E0E9D" w:rsidRPr="00986F51" w:rsidRDefault="00000000" w:rsidP="00986F51">
      <w:pPr>
        <w:spacing w:line="360" w:lineRule="auto"/>
        <w:jc w:val="both"/>
        <w:rPr>
          <w:rFonts w:cs="Arial"/>
          <w:sz w:val="24"/>
          <w:szCs w:val="24"/>
        </w:rPr>
      </w:pPr>
      <w:r w:rsidRPr="00986F51">
        <w:rPr>
          <w:rFonts w:cs="Arial"/>
          <w:sz w:val="24"/>
          <w:szCs w:val="24"/>
        </w:rPr>
        <w:t>Os comentários do professor revelam um padrão de melhoria documental: cada capítulo ou subitem deve ser introduzido antes do conteúdo técnico; quadros e tabelas precisam ser mencionados e contextualizados no texto; siglas devem ser expandidas na primeira ocorrência; títulos precisam ser claros e coerentes com o conteúdo; e o sumário deve refletir corretamente a hierarquia e o alinhamento dos itens.</w:t>
      </w:r>
    </w:p>
    <w:p w14:paraId="7ADB0B41" w14:textId="77777777" w:rsidR="001E0E9D" w:rsidRDefault="00000000">
      <w:pPr>
        <w:pStyle w:val="Ttulo1"/>
        <w:rPr>
          <w:rFonts w:ascii="Arial" w:hAnsi="Arial" w:cs="Arial"/>
        </w:rPr>
      </w:pPr>
      <w:r w:rsidRPr="00986F51">
        <w:rPr>
          <w:rFonts w:ascii="Arial" w:hAnsi="Arial" w:cs="Arial"/>
        </w:rPr>
        <w:t>3 Apontamentos e adequações realizadas</w:t>
      </w:r>
    </w:p>
    <w:p w14:paraId="32FD64B6" w14:textId="77777777" w:rsidR="00986F51" w:rsidRPr="00986F51" w:rsidRDefault="00986F51" w:rsidP="00986F51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35"/>
        <w:gridCol w:w="2470"/>
        <w:gridCol w:w="2175"/>
        <w:gridCol w:w="3041"/>
      </w:tblGrid>
      <w:tr w:rsidR="001E0E9D" w14:paraId="009E9162" w14:textId="77777777">
        <w:trPr>
          <w:cantSplit/>
          <w:tblHeader/>
          <w:jc w:val="center"/>
        </w:trPr>
        <w:tc>
          <w:tcPr>
            <w:tcW w:w="2041" w:type="dxa"/>
            <w:shd w:val="clear" w:color="auto" w:fill="D9E2F3"/>
            <w:vAlign w:val="center"/>
          </w:tcPr>
          <w:p w14:paraId="404BC67C" w14:textId="77777777" w:rsidR="001E0E9D" w:rsidRDefault="00000000">
            <w:r>
              <w:rPr>
                <w:b/>
                <w:sz w:val="19"/>
              </w:rPr>
              <w:t>Item / tema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360A55FE" w14:textId="77777777" w:rsidR="001E0E9D" w:rsidRDefault="00000000">
            <w:r>
              <w:rPr>
                <w:b/>
                <w:sz w:val="19"/>
              </w:rPr>
              <w:t>Problemática apontada</w:t>
            </w:r>
          </w:p>
        </w:tc>
        <w:tc>
          <w:tcPr>
            <w:tcW w:w="2494" w:type="dxa"/>
            <w:shd w:val="clear" w:color="auto" w:fill="D9E2F3"/>
            <w:vAlign w:val="center"/>
          </w:tcPr>
          <w:p w14:paraId="4591CE09" w14:textId="77777777" w:rsidR="001E0E9D" w:rsidRDefault="00000000">
            <w:r>
              <w:rPr>
                <w:b/>
                <w:sz w:val="19"/>
              </w:rPr>
              <w:t>Orientação do professor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059A042B" w14:textId="77777777" w:rsidR="001E0E9D" w:rsidRDefault="00000000">
            <w:r>
              <w:rPr>
                <w:b/>
                <w:sz w:val="19"/>
              </w:rPr>
              <w:t>Adequação realizada</w:t>
            </w:r>
          </w:p>
        </w:tc>
      </w:tr>
      <w:tr w:rsidR="001E0E9D" w14:paraId="178C6B0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E3C1313" w14:textId="77777777" w:rsidR="001E0E9D" w:rsidRDefault="00000000">
            <w:r>
              <w:rPr>
                <w:b/>
                <w:sz w:val="18"/>
              </w:rPr>
              <w:t>1. Síntese e objetivo</w:t>
            </w:r>
          </w:p>
        </w:tc>
        <w:tc>
          <w:tcPr>
            <w:tcW w:w="2835" w:type="dxa"/>
            <w:vAlign w:val="center"/>
          </w:tcPr>
          <w:p w14:paraId="41B49BC4" w14:textId="77777777" w:rsidR="001E0E9D" w:rsidRDefault="00000000">
            <w:r>
              <w:rPr>
                <w:sz w:val="18"/>
              </w:rPr>
              <w:t>O item reunia, no mesmo capítulo, a síntese do que o sistema fará e os objetivos do projeto.</w:t>
            </w:r>
          </w:p>
        </w:tc>
        <w:tc>
          <w:tcPr>
            <w:tcW w:w="2494" w:type="dxa"/>
            <w:vAlign w:val="center"/>
          </w:tcPr>
          <w:p w14:paraId="48C887AB" w14:textId="77777777" w:rsidR="001E0E9D" w:rsidRDefault="00000000">
            <w:r>
              <w:rPr>
                <w:sz w:val="18"/>
              </w:rPr>
              <w:t>Separar o resumo funcional da solução dos objetivos geral e específicos.</w:t>
            </w:r>
          </w:p>
        </w:tc>
        <w:tc>
          <w:tcPr>
            <w:tcW w:w="3402" w:type="dxa"/>
            <w:vAlign w:val="center"/>
          </w:tcPr>
          <w:p w14:paraId="50098050" w14:textId="77777777" w:rsidR="001E0E9D" w:rsidRDefault="00000000">
            <w:r>
              <w:rPr>
                <w:sz w:val="18"/>
              </w:rPr>
              <w:t>O capítulo foi reorganizado em “Síntese da solução”, “Objetivo geral”, “Objetivos específicos” e “Limites do Produto Mínimo Viável (MVP)”.</w:t>
            </w:r>
          </w:p>
        </w:tc>
      </w:tr>
      <w:tr w:rsidR="001E0E9D" w14:paraId="074996C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0F3EACE" w14:textId="77777777" w:rsidR="001E0E9D" w:rsidRDefault="00000000">
            <w:r>
              <w:rPr>
                <w:b/>
                <w:sz w:val="18"/>
              </w:rPr>
              <w:t>2. Abertura do capítulo Discovery</w:t>
            </w:r>
          </w:p>
        </w:tc>
        <w:tc>
          <w:tcPr>
            <w:tcW w:w="2835" w:type="dxa"/>
            <w:vAlign w:val="center"/>
          </w:tcPr>
          <w:p w14:paraId="288397D6" w14:textId="77777777" w:rsidR="001E0E9D" w:rsidRDefault="00000000">
            <w:r>
              <w:rPr>
                <w:sz w:val="18"/>
              </w:rPr>
              <w:t>A seção iniciava diretamente pela descrição do método de simulação dos stakeholders.</w:t>
            </w:r>
          </w:p>
        </w:tc>
        <w:tc>
          <w:tcPr>
            <w:tcW w:w="2494" w:type="dxa"/>
            <w:vAlign w:val="center"/>
          </w:tcPr>
          <w:p w14:paraId="5B64ACA8" w14:textId="77777777" w:rsidR="001E0E9D" w:rsidRDefault="00000000">
            <w:r>
              <w:rPr>
                <w:sz w:val="18"/>
              </w:rPr>
              <w:t>Introduzir o conteúdo de forma mais didática antes da explicação metodológica.</w:t>
            </w:r>
          </w:p>
        </w:tc>
        <w:tc>
          <w:tcPr>
            <w:tcW w:w="3402" w:type="dxa"/>
            <w:vAlign w:val="center"/>
          </w:tcPr>
          <w:p w14:paraId="40408C0D" w14:textId="77777777" w:rsidR="001E0E9D" w:rsidRDefault="00000000">
            <w:r>
              <w:rPr>
                <w:sz w:val="18"/>
              </w:rPr>
              <w:t>Foram incluídos parágrafos explicando a finalidade do Discovery, a identificação de stakeholders, as histórias de usuário e sua relação com os requisitos.</w:t>
            </w:r>
          </w:p>
        </w:tc>
      </w:tr>
      <w:tr w:rsidR="001E0E9D" w14:paraId="4F8DB15C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D2B2CA3" w14:textId="77777777" w:rsidR="001E0E9D" w:rsidRDefault="00000000">
            <w:r>
              <w:rPr>
                <w:b/>
                <w:sz w:val="18"/>
              </w:rPr>
              <w:lastRenderedPageBreak/>
              <w:t>2.1.1. Atores internos</w:t>
            </w:r>
          </w:p>
        </w:tc>
        <w:tc>
          <w:tcPr>
            <w:tcW w:w="2835" w:type="dxa"/>
            <w:vAlign w:val="center"/>
          </w:tcPr>
          <w:p w14:paraId="6C5C2DD9" w14:textId="77777777" w:rsidR="001E0E9D" w:rsidRDefault="00000000">
            <w:r>
              <w:rPr>
                <w:sz w:val="18"/>
              </w:rPr>
              <w:t>O subitem começava diretamente pela lista de atores internos.</w:t>
            </w:r>
          </w:p>
        </w:tc>
        <w:tc>
          <w:tcPr>
            <w:tcW w:w="2494" w:type="dxa"/>
            <w:vAlign w:val="center"/>
          </w:tcPr>
          <w:p w14:paraId="2757C65C" w14:textId="77777777" w:rsidR="001E0E9D" w:rsidRDefault="00000000">
            <w:r>
              <w:rPr>
                <w:sz w:val="18"/>
              </w:rPr>
              <w:t>Sempre que iniciar capítulo ou subitem, explicar previamente o que será apresentado.</w:t>
            </w:r>
          </w:p>
        </w:tc>
        <w:tc>
          <w:tcPr>
            <w:tcW w:w="3402" w:type="dxa"/>
            <w:vAlign w:val="center"/>
          </w:tcPr>
          <w:p w14:paraId="6D6179E1" w14:textId="77777777" w:rsidR="001E0E9D" w:rsidRDefault="00000000">
            <w:r>
              <w:rPr>
                <w:sz w:val="18"/>
              </w:rPr>
              <w:t>Foi acrescentado texto introdutório caracterizando os atores internos e sua relação com o uso, desenvolvimento e acompanhamento da solução.</w:t>
            </w:r>
          </w:p>
        </w:tc>
      </w:tr>
      <w:tr w:rsidR="001E0E9D" w14:paraId="08272657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9DA03BF" w14:textId="77777777" w:rsidR="001E0E9D" w:rsidRDefault="00000000">
            <w:r>
              <w:rPr>
                <w:b/>
                <w:sz w:val="18"/>
              </w:rPr>
              <w:t>3.1. Definições operacionais para o MVP</w:t>
            </w:r>
          </w:p>
        </w:tc>
        <w:tc>
          <w:tcPr>
            <w:tcW w:w="2835" w:type="dxa"/>
            <w:vAlign w:val="center"/>
          </w:tcPr>
          <w:p w14:paraId="0BCE6A64" w14:textId="77777777" w:rsidR="001E0E9D" w:rsidRDefault="00000000">
            <w:r>
              <w:rPr>
                <w:sz w:val="18"/>
              </w:rPr>
              <w:t>O quadro era apresentado sem contextualização prévia.</w:t>
            </w:r>
          </w:p>
        </w:tc>
        <w:tc>
          <w:tcPr>
            <w:tcW w:w="2494" w:type="dxa"/>
            <w:vAlign w:val="center"/>
          </w:tcPr>
          <w:p w14:paraId="08D4340E" w14:textId="77777777" w:rsidR="001E0E9D" w:rsidRDefault="00000000">
            <w:r>
              <w:rPr>
                <w:sz w:val="18"/>
              </w:rPr>
              <w:t>Inserir texto introdutório e referenciar explicitamente o quadro.</w:t>
            </w:r>
          </w:p>
        </w:tc>
        <w:tc>
          <w:tcPr>
            <w:tcW w:w="3402" w:type="dxa"/>
            <w:vAlign w:val="center"/>
          </w:tcPr>
          <w:p w14:paraId="4FDDB9A1" w14:textId="77777777" w:rsidR="001E0E9D" w:rsidRDefault="00000000">
            <w:r>
              <w:rPr>
                <w:sz w:val="18"/>
              </w:rPr>
              <w:t>Foi incluída explicação sobre a finalidade das definições operacionais e menção direta ao Quadro 3 antes de sua apresentação.</w:t>
            </w:r>
          </w:p>
        </w:tc>
      </w:tr>
      <w:tr w:rsidR="001E0E9D" w14:paraId="3F8D1900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0F68AB4" w14:textId="77777777" w:rsidR="001E0E9D" w:rsidRDefault="00000000">
            <w:r>
              <w:rPr>
                <w:b/>
                <w:sz w:val="18"/>
              </w:rPr>
              <w:t>3.3. Campos de entrada, tipos e validações</w:t>
            </w:r>
          </w:p>
        </w:tc>
        <w:tc>
          <w:tcPr>
            <w:tcW w:w="2835" w:type="dxa"/>
            <w:vAlign w:val="center"/>
          </w:tcPr>
          <w:p w14:paraId="6D3416F2" w14:textId="77777777" w:rsidR="001E0E9D" w:rsidRDefault="00000000">
            <w:r>
              <w:rPr>
                <w:sz w:val="18"/>
              </w:rPr>
              <w:t>O quadro de contrato de entrada aparecia sem uma ligação textual suficiente.</w:t>
            </w:r>
          </w:p>
        </w:tc>
        <w:tc>
          <w:tcPr>
            <w:tcW w:w="2494" w:type="dxa"/>
            <w:vAlign w:val="center"/>
          </w:tcPr>
          <w:p w14:paraId="02612FEA" w14:textId="77777777" w:rsidR="001E0E9D" w:rsidRDefault="00000000">
            <w:r>
              <w:rPr>
                <w:sz w:val="18"/>
              </w:rPr>
              <w:t>Criar texto introdutório que conecte a explicação ao quadro.</w:t>
            </w:r>
          </w:p>
        </w:tc>
        <w:tc>
          <w:tcPr>
            <w:tcW w:w="3402" w:type="dxa"/>
            <w:vAlign w:val="center"/>
          </w:tcPr>
          <w:p w14:paraId="6577C9FF" w14:textId="77777777" w:rsidR="001E0E9D" w:rsidRDefault="00000000">
            <w:r>
              <w:rPr>
                <w:sz w:val="18"/>
              </w:rPr>
              <w:t>Foram inseridos parágrafos sobre padronização, segurança, tipos, formatos e validações, com referência explícita ao Quadro 4.</w:t>
            </w:r>
          </w:p>
        </w:tc>
      </w:tr>
      <w:tr w:rsidR="001E0E9D" w14:paraId="1F52FDD6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304EBEB" w14:textId="77777777" w:rsidR="001E0E9D" w:rsidRDefault="00000000">
            <w:r>
              <w:rPr>
                <w:b/>
                <w:sz w:val="18"/>
              </w:rPr>
              <w:t>3.4. Dados para preparação e treinamento</w:t>
            </w:r>
          </w:p>
        </w:tc>
        <w:tc>
          <w:tcPr>
            <w:tcW w:w="2835" w:type="dxa"/>
            <w:vAlign w:val="center"/>
          </w:tcPr>
          <w:p w14:paraId="0EDB64D3" w14:textId="77777777" w:rsidR="001E0E9D" w:rsidRDefault="00000000">
            <w:r>
              <w:rPr>
                <w:sz w:val="18"/>
              </w:rPr>
              <w:t>A seção começava diretamente com campos técnicos da amostra.</w:t>
            </w:r>
          </w:p>
        </w:tc>
        <w:tc>
          <w:tcPr>
            <w:tcW w:w="2494" w:type="dxa"/>
            <w:vAlign w:val="center"/>
          </w:tcPr>
          <w:p w14:paraId="11B7ACF3" w14:textId="77777777" w:rsidR="001E0E9D" w:rsidRDefault="00000000">
            <w:r>
              <w:rPr>
                <w:sz w:val="18"/>
              </w:rPr>
              <w:t>Introduzir o conteúdo antes do detalhamento técnico.</w:t>
            </w:r>
          </w:p>
        </w:tc>
        <w:tc>
          <w:tcPr>
            <w:tcW w:w="3402" w:type="dxa"/>
            <w:vAlign w:val="center"/>
          </w:tcPr>
          <w:p w14:paraId="4E72A5E4" w14:textId="77777777" w:rsidR="001E0E9D" w:rsidRDefault="00000000">
            <w:r>
              <w:rPr>
                <w:sz w:val="18"/>
              </w:rPr>
              <w:t>Foi acrescentada uma explicação sobre a importância da preparação dos dados, disponibilidade dos campos e limitações para construir variáveis e desfecho.</w:t>
            </w:r>
          </w:p>
        </w:tc>
      </w:tr>
      <w:tr w:rsidR="001E0E9D" w14:paraId="0257751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4DE0C4B2" w14:textId="77777777" w:rsidR="001E0E9D" w:rsidRDefault="00000000">
            <w:r>
              <w:rPr>
                <w:b/>
                <w:sz w:val="18"/>
              </w:rPr>
              <w:t>4. Processamento e saídas da IA</w:t>
            </w:r>
          </w:p>
        </w:tc>
        <w:tc>
          <w:tcPr>
            <w:tcW w:w="2835" w:type="dxa"/>
            <w:vAlign w:val="center"/>
          </w:tcPr>
          <w:p w14:paraId="42E6C538" w14:textId="77777777" w:rsidR="001E0E9D" w:rsidRDefault="00000000">
            <w:r>
              <w:rPr>
                <w:sz w:val="18"/>
              </w:rPr>
              <w:t>O capítulo iniciava pelo fluxo técnico, sem explicar os conceitos de processamento e saída.</w:t>
            </w:r>
          </w:p>
        </w:tc>
        <w:tc>
          <w:tcPr>
            <w:tcW w:w="2494" w:type="dxa"/>
            <w:vAlign w:val="center"/>
          </w:tcPr>
          <w:p w14:paraId="2A28C60B" w14:textId="77777777" w:rsidR="001E0E9D" w:rsidRDefault="00000000">
            <w:r>
              <w:rPr>
                <w:sz w:val="18"/>
              </w:rPr>
              <w:t>Explicar primeiro o que significa processamento e o que são as saídas da IA.</w:t>
            </w:r>
          </w:p>
        </w:tc>
        <w:tc>
          <w:tcPr>
            <w:tcW w:w="3402" w:type="dxa"/>
            <w:vAlign w:val="center"/>
          </w:tcPr>
          <w:p w14:paraId="79425F85" w14:textId="77777777" w:rsidR="001E0E9D" w:rsidRDefault="00000000">
            <w:r>
              <w:rPr>
                <w:sz w:val="18"/>
              </w:rPr>
              <w:t>Foram adicionados dois parágrafos conceituais antes do fluxo técnico, descrevendo o processamento e os resultados produzidos pelo sistema.</w:t>
            </w:r>
          </w:p>
        </w:tc>
      </w:tr>
      <w:tr w:rsidR="001E0E9D" w14:paraId="73988255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7034C6DA" w14:textId="77777777" w:rsidR="001E0E9D" w:rsidRDefault="00000000">
            <w:r>
              <w:rPr>
                <w:b/>
                <w:sz w:val="18"/>
              </w:rPr>
              <w:t>4.1. Classificação das saídas</w:t>
            </w:r>
          </w:p>
        </w:tc>
        <w:tc>
          <w:tcPr>
            <w:tcW w:w="2835" w:type="dxa"/>
            <w:vAlign w:val="center"/>
          </w:tcPr>
          <w:p w14:paraId="33BD99ED" w14:textId="77777777" w:rsidR="001E0E9D" w:rsidRDefault="00000000">
            <w:r>
              <w:rPr>
                <w:sz w:val="18"/>
              </w:rPr>
              <w:t>A classificação era apresentada diretamente em categorias.</w:t>
            </w:r>
          </w:p>
        </w:tc>
        <w:tc>
          <w:tcPr>
            <w:tcW w:w="2494" w:type="dxa"/>
            <w:vAlign w:val="center"/>
          </w:tcPr>
          <w:p w14:paraId="0BC6E5E7" w14:textId="77777777" w:rsidR="001E0E9D" w:rsidRDefault="00000000">
            <w:r>
              <w:rPr>
                <w:sz w:val="18"/>
              </w:rPr>
              <w:t>Inserir um texto introdutório.</w:t>
            </w:r>
          </w:p>
        </w:tc>
        <w:tc>
          <w:tcPr>
            <w:tcW w:w="3402" w:type="dxa"/>
            <w:vAlign w:val="center"/>
          </w:tcPr>
          <w:p w14:paraId="686E895C" w14:textId="77777777" w:rsidR="001E0E9D" w:rsidRDefault="00000000">
            <w:r>
              <w:rPr>
                <w:sz w:val="18"/>
              </w:rPr>
              <w:t>Foi acrescentado texto explicando a finalidade da organização das saídas em apoio à decisão, transparência e governança/persistência.</w:t>
            </w:r>
          </w:p>
        </w:tc>
      </w:tr>
      <w:tr w:rsidR="001E0E9D" w14:paraId="202B42E2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CCCF702" w14:textId="77777777" w:rsidR="001E0E9D" w:rsidRDefault="00000000">
            <w:r>
              <w:rPr>
                <w:b/>
                <w:sz w:val="18"/>
              </w:rPr>
              <w:t>4.2. Campos de saída e regras</w:t>
            </w:r>
          </w:p>
        </w:tc>
        <w:tc>
          <w:tcPr>
            <w:tcW w:w="2835" w:type="dxa"/>
            <w:vAlign w:val="center"/>
          </w:tcPr>
          <w:p w14:paraId="1E2CD295" w14:textId="77777777" w:rsidR="001E0E9D" w:rsidRDefault="00000000">
            <w:r>
              <w:rPr>
                <w:sz w:val="18"/>
              </w:rPr>
              <w:t>O quadro era apresentado sem contextualização suficiente.</w:t>
            </w:r>
          </w:p>
        </w:tc>
        <w:tc>
          <w:tcPr>
            <w:tcW w:w="2494" w:type="dxa"/>
            <w:vAlign w:val="center"/>
          </w:tcPr>
          <w:p w14:paraId="38976337" w14:textId="77777777" w:rsidR="001E0E9D" w:rsidRDefault="00000000">
            <w:r>
              <w:rPr>
                <w:sz w:val="18"/>
              </w:rPr>
              <w:t>Introduzir os campos e fazer ligação explícita com o quadro.</w:t>
            </w:r>
          </w:p>
        </w:tc>
        <w:tc>
          <w:tcPr>
            <w:tcW w:w="3402" w:type="dxa"/>
            <w:vAlign w:val="center"/>
          </w:tcPr>
          <w:p w14:paraId="22C5FA97" w14:textId="77777777" w:rsidR="001E0E9D" w:rsidRDefault="00000000">
            <w:r>
              <w:rPr>
                <w:sz w:val="18"/>
              </w:rPr>
              <w:t>Foi incluído texto sobre padronização das respostas, consistência e rastreabilidade, seguido de referência ao Quadro 5.</w:t>
            </w:r>
          </w:p>
        </w:tc>
      </w:tr>
      <w:tr w:rsidR="001E0E9D" w14:paraId="386C710D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6B18B47" w14:textId="77777777" w:rsidR="001E0E9D" w:rsidRDefault="00000000">
            <w:r>
              <w:rPr>
                <w:b/>
                <w:sz w:val="18"/>
              </w:rPr>
              <w:t>4.3. Faixas de classificação</w:t>
            </w:r>
          </w:p>
        </w:tc>
        <w:tc>
          <w:tcPr>
            <w:tcW w:w="2835" w:type="dxa"/>
            <w:vAlign w:val="center"/>
          </w:tcPr>
          <w:p w14:paraId="5438FEF4" w14:textId="77777777" w:rsidR="001E0E9D" w:rsidRDefault="00000000">
            <w:r>
              <w:rPr>
                <w:sz w:val="18"/>
              </w:rPr>
              <w:t>A seção iniciava diretamente com limites probabilísticos e regras matemáticas.</w:t>
            </w:r>
          </w:p>
        </w:tc>
        <w:tc>
          <w:tcPr>
            <w:tcW w:w="2494" w:type="dxa"/>
            <w:vAlign w:val="center"/>
          </w:tcPr>
          <w:p w14:paraId="2999C084" w14:textId="77777777" w:rsidR="001E0E9D" w:rsidRDefault="00000000">
            <w:r>
              <w:rPr>
                <w:sz w:val="18"/>
              </w:rPr>
              <w:t>Anteceder a explicação técnica por um texto conceitual.</w:t>
            </w:r>
          </w:p>
        </w:tc>
        <w:tc>
          <w:tcPr>
            <w:tcW w:w="3402" w:type="dxa"/>
            <w:vAlign w:val="center"/>
          </w:tcPr>
          <w:p w14:paraId="0A7B54AF" w14:textId="77777777" w:rsidR="001E0E9D" w:rsidRDefault="00000000">
            <w:r>
              <w:rPr>
                <w:sz w:val="18"/>
              </w:rPr>
              <w:t>Foi acrescentada explicação sobre a finalidade das faixas de risco; depois, mantiveram-se os limites provisórios de baixo, médio e alto.</w:t>
            </w:r>
          </w:p>
        </w:tc>
      </w:tr>
      <w:tr w:rsidR="001E0E9D" w14:paraId="609C2A1D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339D165" w14:textId="77777777" w:rsidR="001E0E9D" w:rsidRDefault="00000000">
            <w:r>
              <w:rPr>
                <w:b/>
                <w:sz w:val="18"/>
              </w:rPr>
              <w:t>7. Amostra obtida e viabilidade dos dados</w:t>
            </w:r>
          </w:p>
        </w:tc>
        <w:tc>
          <w:tcPr>
            <w:tcW w:w="2835" w:type="dxa"/>
            <w:vAlign w:val="center"/>
          </w:tcPr>
          <w:p w14:paraId="4C22E915" w14:textId="77777777" w:rsidR="001E0E9D" w:rsidRDefault="00000000">
            <w:r>
              <w:rPr>
                <w:sz w:val="18"/>
              </w:rPr>
              <w:t>Os dados externos eram apresentados sem detalhamento suficiente de procedência e obtenção.</w:t>
            </w:r>
          </w:p>
        </w:tc>
        <w:tc>
          <w:tcPr>
            <w:tcW w:w="2494" w:type="dxa"/>
            <w:vAlign w:val="center"/>
          </w:tcPr>
          <w:p w14:paraId="725498DA" w14:textId="77777777" w:rsidR="001E0E9D" w:rsidRDefault="00000000">
            <w:r>
              <w:rPr>
                <w:sz w:val="18"/>
              </w:rPr>
              <w:t>Documentar melhor a origem dos dados externos para permitir ligação e rastreabilidade das informações.</w:t>
            </w:r>
          </w:p>
        </w:tc>
        <w:tc>
          <w:tcPr>
            <w:tcW w:w="3402" w:type="dxa"/>
            <w:vAlign w:val="center"/>
          </w:tcPr>
          <w:p w14:paraId="3278D550" w14:textId="77777777" w:rsidR="001E0E9D" w:rsidRDefault="00000000">
            <w:r>
              <w:rPr>
                <w:sz w:val="18"/>
              </w:rPr>
              <w:t>Foi explicitada a origem no SIH/SUS, o arquivo analisado, a estrutura da amostra e as limitações de proveniência ainda não disponíveis, sem inventar informações ausentes.</w:t>
            </w:r>
          </w:p>
        </w:tc>
      </w:tr>
      <w:tr w:rsidR="001E0E9D" w14:paraId="238B4314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2088262" w14:textId="77777777" w:rsidR="001E0E9D" w:rsidRDefault="00000000">
            <w:r>
              <w:rPr>
                <w:b/>
                <w:sz w:val="18"/>
              </w:rPr>
              <w:t>8.1. Distribuição das atividades da E1</w:t>
            </w:r>
          </w:p>
        </w:tc>
        <w:tc>
          <w:tcPr>
            <w:tcW w:w="2835" w:type="dxa"/>
            <w:vAlign w:val="center"/>
          </w:tcPr>
          <w:p w14:paraId="7B7EE05C" w14:textId="77777777" w:rsidR="001E0E9D" w:rsidRDefault="00000000">
            <w:r>
              <w:rPr>
                <w:sz w:val="18"/>
              </w:rPr>
              <w:t>Não estava suficientemente explícito que o Quadro 9 distribuía as 20 horas previstas da primeira fase.</w:t>
            </w:r>
          </w:p>
        </w:tc>
        <w:tc>
          <w:tcPr>
            <w:tcW w:w="2494" w:type="dxa"/>
            <w:vAlign w:val="center"/>
          </w:tcPr>
          <w:p w14:paraId="4D7225CD" w14:textId="77777777" w:rsidR="001E0E9D" w:rsidRDefault="00000000">
            <w:r>
              <w:rPr>
                <w:sz w:val="18"/>
              </w:rPr>
              <w:t>Explicar a finalidade da distribuição das tarefas.</w:t>
            </w:r>
          </w:p>
        </w:tc>
        <w:tc>
          <w:tcPr>
            <w:tcW w:w="3402" w:type="dxa"/>
            <w:vAlign w:val="center"/>
          </w:tcPr>
          <w:p w14:paraId="2F211765" w14:textId="77777777" w:rsidR="001E0E9D" w:rsidRDefault="00000000">
            <w:r>
              <w:rPr>
                <w:sz w:val="18"/>
              </w:rPr>
              <w:t>Foi incluído texto indicando que a divisão organiza as 20 horas previstas para a E1 e que se trata de planejamento, não de horas efetivamente trabalhadas.</w:t>
            </w:r>
          </w:p>
        </w:tc>
      </w:tr>
      <w:tr w:rsidR="001E0E9D" w14:paraId="6B096452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0991163" w14:textId="77777777" w:rsidR="001E0E9D" w:rsidRDefault="00000000">
            <w:r>
              <w:rPr>
                <w:b/>
                <w:sz w:val="18"/>
              </w:rPr>
              <w:t>8.2. Quadro de cards e limite de WIP</w:t>
            </w:r>
          </w:p>
        </w:tc>
        <w:tc>
          <w:tcPr>
            <w:tcW w:w="2835" w:type="dxa"/>
            <w:vAlign w:val="center"/>
          </w:tcPr>
          <w:p w14:paraId="7B3CC280" w14:textId="77777777" w:rsidR="001E0E9D" w:rsidRDefault="00000000">
            <w:r>
              <w:rPr>
                <w:sz w:val="18"/>
              </w:rPr>
              <w:t>A sigla WIP aparecia sem explicação adequada.</w:t>
            </w:r>
          </w:p>
        </w:tc>
        <w:tc>
          <w:tcPr>
            <w:tcW w:w="2494" w:type="dxa"/>
            <w:vAlign w:val="center"/>
          </w:tcPr>
          <w:p w14:paraId="64FEA9E6" w14:textId="77777777" w:rsidR="001E0E9D" w:rsidRDefault="00000000">
            <w:r>
              <w:rPr>
                <w:sz w:val="18"/>
              </w:rPr>
              <w:t>Informar o significado da sigla entre parênteses.</w:t>
            </w:r>
          </w:p>
        </w:tc>
        <w:tc>
          <w:tcPr>
            <w:tcW w:w="3402" w:type="dxa"/>
            <w:vAlign w:val="center"/>
          </w:tcPr>
          <w:p w14:paraId="18C8D112" w14:textId="77777777" w:rsidR="001E0E9D" w:rsidRDefault="00000000">
            <w:r>
              <w:rPr>
                <w:sz w:val="18"/>
              </w:rPr>
              <w:t>WIP passou a ser apresentado como Work in Progress (trabalho em andamento), com explicação da regra de no máximo duas tarefas simultâneas por integrante.</w:t>
            </w:r>
          </w:p>
        </w:tc>
      </w:tr>
      <w:tr w:rsidR="001E0E9D" w14:paraId="163F6F4D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25A9440" w14:textId="77777777" w:rsidR="001E0E9D" w:rsidRDefault="00000000">
            <w:r>
              <w:rPr>
                <w:b/>
                <w:sz w:val="18"/>
              </w:rPr>
              <w:t>9.2. Correspondência com a E1</w:t>
            </w:r>
          </w:p>
        </w:tc>
        <w:tc>
          <w:tcPr>
            <w:tcW w:w="2835" w:type="dxa"/>
            <w:vAlign w:val="center"/>
          </w:tcPr>
          <w:p w14:paraId="47F63BD5" w14:textId="77777777" w:rsidR="001E0E9D" w:rsidRDefault="00000000">
            <w:r>
              <w:rPr>
                <w:sz w:val="18"/>
              </w:rPr>
              <w:t>O quadro era apresentado sem introdução e a sigla E1 não estava explicada.</w:t>
            </w:r>
          </w:p>
        </w:tc>
        <w:tc>
          <w:tcPr>
            <w:tcW w:w="2494" w:type="dxa"/>
            <w:vAlign w:val="center"/>
          </w:tcPr>
          <w:p w14:paraId="4C623963" w14:textId="77777777" w:rsidR="001E0E9D" w:rsidRDefault="00000000">
            <w:r>
              <w:rPr>
                <w:sz w:val="18"/>
              </w:rPr>
              <w:t>Introduzir o quadro e explicar o significado de E1.</w:t>
            </w:r>
          </w:p>
        </w:tc>
        <w:tc>
          <w:tcPr>
            <w:tcW w:w="3402" w:type="dxa"/>
            <w:vAlign w:val="center"/>
          </w:tcPr>
          <w:p w14:paraId="6F407117" w14:textId="77777777" w:rsidR="001E0E9D" w:rsidRDefault="00000000">
            <w:r>
              <w:rPr>
                <w:sz w:val="18"/>
              </w:rPr>
              <w:t>Foi incluída a definição de Entrega 1 (E1), a finalidade da seção e a explicação de que o Quadro 11 relaciona as exigências do professor aos locais correspondentes no documento.</w:t>
            </w:r>
          </w:p>
        </w:tc>
      </w:tr>
      <w:tr w:rsidR="001E0E9D" w14:paraId="4897086E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A9D9ED6" w14:textId="77777777" w:rsidR="001E0E9D" w:rsidRDefault="00000000">
            <w:r>
              <w:rPr>
                <w:b/>
                <w:sz w:val="18"/>
              </w:rPr>
              <w:lastRenderedPageBreak/>
              <w:t>10.1. Resumo do recorte</w:t>
            </w:r>
          </w:p>
        </w:tc>
        <w:tc>
          <w:tcPr>
            <w:tcW w:w="2835" w:type="dxa"/>
            <w:vAlign w:val="center"/>
          </w:tcPr>
          <w:p w14:paraId="2BE3449F" w14:textId="77777777" w:rsidR="001E0E9D" w:rsidRDefault="00000000">
            <w:r>
              <w:rPr>
                <w:sz w:val="18"/>
              </w:rPr>
              <w:t>O título era pouco claro e o conteúdo apresentava risco de repetição da seção 7.</w:t>
            </w:r>
          </w:p>
        </w:tc>
        <w:tc>
          <w:tcPr>
            <w:tcW w:w="2494" w:type="dxa"/>
            <w:vAlign w:val="center"/>
          </w:tcPr>
          <w:p w14:paraId="48CC492D" w14:textId="77777777" w:rsidR="001E0E9D" w:rsidRDefault="00000000">
            <w:r>
              <w:rPr>
                <w:sz w:val="18"/>
              </w:rPr>
              <w:t>Melhorar o título e evitar redundância.</w:t>
            </w:r>
          </w:p>
        </w:tc>
        <w:tc>
          <w:tcPr>
            <w:tcW w:w="3402" w:type="dxa"/>
            <w:vAlign w:val="center"/>
          </w:tcPr>
          <w:p w14:paraId="60200CC7" w14:textId="77777777" w:rsidR="001E0E9D" w:rsidRDefault="00000000">
            <w:r>
              <w:rPr>
                <w:sz w:val="18"/>
              </w:rPr>
              <w:t>O item foi reformulado para “Síntese da amostra utilizada na preparação”, com foco em consolidar qual conjunto chegou à etapa de preparação, sua finalidade e suas limitações.</w:t>
            </w:r>
          </w:p>
        </w:tc>
      </w:tr>
      <w:tr w:rsidR="001E0E9D" w14:paraId="45DC801B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52B5181" w14:textId="77777777" w:rsidR="001E0E9D" w:rsidRDefault="00000000">
            <w:r>
              <w:rPr>
                <w:b/>
                <w:sz w:val="18"/>
              </w:rPr>
              <w:t>10.2. Mapeamento de campos</w:t>
            </w:r>
          </w:p>
        </w:tc>
        <w:tc>
          <w:tcPr>
            <w:tcW w:w="2835" w:type="dxa"/>
            <w:vAlign w:val="center"/>
          </w:tcPr>
          <w:p w14:paraId="49E2B122" w14:textId="77777777" w:rsidR="001E0E9D" w:rsidRDefault="00000000">
            <w:r>
              <w:rPr>
                <w:sz w:val="18"/>
              </w:rPr>
              <w:t>O conteúdo começava diretamente pelas correspondências técnicas entre variáveis.</w:t>
            </w:r>
          </w:p>
        </w:tc>
        <w:tc>
          <w:tcPr>
            <w:tcW w:w="2494" w:type="dxa"/>
            <w:vAlign w:val="center"/>
          </w:tcPr>
          <w:p w14:paraId="18B23514" w14:textId="77777777" w:rsidR="001E0E9D" w:rsidRDefault="00000000">
            <w:r>
              <w:rPr>
                <w:sz w:val="18"/>
              </w:rPr>
              <w:t>Introduzir o texto antes do detalhamento técnico.</w:t>
            </w:r>
          </w:p>
        </w:tc>
        <w:tc>
          <w:tcPr>
            <w:tcW w:w="3402" w:type="dxa"/>
            <w:vAlign w:val="center"/>
          </w:tcPr>
          <w:p w14:paraId="07AAFDEF" w14:textId="77777777" w:rsidR="001E0E9D" w:rsidRDefault="00000000">
            <w:r>
              <w:rPr>
                <w:sz w:val="18"/>
              </w:rPr>
              <w:t>Foi acrescentada explicação sobre a finalidade do mapeamento de campos e sua função na padronização, rastreabilidade e reprodutibilidade das transformações.</w:t>
            </w:r>
          </w:p>
        </w:tc>
      </w:tr>
      <w:tr w:rsidR="001E0E9D" w14:paraId="3E4B4AC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72B742F" w14:textId="77777777" w:rsidR="001E0E9D" w:rsidRDefault="00000000">
            <w:r>
              <w:rPr>
                <w:b/>
                <w:sz w:val="18"/>
              </w:rPr>
              <w:t>10.4. Cuidados de interpretação</w:t>
            </w:r>
          </w:p>
        </w:tc>
        <w:tc>
          <w:tcPr>
            <w:tcW w:w="2835" w:type="dxa"/>
            <w:vAlign w:val="center"/>
          </w:tcPr>
          <w:p w14:paraId="191509E4" w14:textId="77777777" w:rsidR="001E0E9D" w:rsidRDefault="00000000">
            <w:r>
              <w:rPr>
                <w:sz w:val="18"/>
              </w:rPr>
              <w:t>A seção começava diretamente com advertências técnicas.</w:t>
            </w:r>
          </w:p>
        </w:tc>
        <w:tc>
          <w:tcPr>
            <w:tcW w:w="2494" w:type="dxa"/>
            <w:vAlign w:val="center"/>
          </w:tcPr>
          <w:p w14:paraId="572928FF" w14:textId="77777777" w:rsidR="001E0E9D" w:rsidRDefault="00000000">
            <w:r>
              <w:rPr>
                <w:sz w:val="18"/>
              </w:rPr>
              <w:t>Introduzir o tema antes das observações específicas.</w:t>
            </w:r>
          </w:p>
        </w:tc>
        <w:tc>
          <w:tcPr>
            <w:tcW w:w="3402" w:type="dxa"/>
            <w:vAlign w:val="center"/>
          </w:tcPr>
          <w:p w14:paraId="6116AF2D" w14:textId="77777777" w:rsidR="001E0E9D" w:rsidRDefault="00000000">
            <w:r>
              <w:rPr>
                <w:sz w:val="18"/>
              </w:rPr>
              <w:t>Foi incluído texto explicando por que a interpretação da base exige cautela e por que ausências, diagnósticos secundários e validações não devem ser extrapolados.</w:t>
            </w:r>
          </w:p>
        </w:tc>
      </w:tr>
      <w:tr w:rsidR="001E0E9D" w14:paraId="1FDC7AF6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981AB88" w14:textId="77777777" w:rsidR="001E0E9D" w:rsidRDefault="00000000">
            <w:r>
              <w:rPr>
                <w:b/>
                <w:sz w:val="18"/>
              </w:rPr>
              <w:t>Sigla MVP</w:t>
            </w:r>
          </w:p>
        </w:tc>
        <w:tc>
          <w:tcPr>
            <w:tcW w:w="2835" w:type="dxa"/>
            <w:vAlign w:val="center"/>
          </w:tcPr>
          <w:p w14:paraId="2E9E736C" w14:textId="77777777" w:rsidR="001E0E9D" w:rsidRDefault="00000000">
            <w:r>
              <w:rPr>
                <w:sz w:val="18"/>
              </w:rPr>
              <w:t>A sigla era utilizada sem definição suficientemente clara.</w:t>
            </w:r>
          </w:p>
        </w:tc>
        <w:tc>
          <w:tcPr>
            <w:tcW w:w="2494" w:type="dxa"/>
            <w:vAlign w:val="center"/>
          </w:tcPr>
          <w:p w14:paraId="0FBEC91C" w14:textId="77777777" w:rsidR="001E0E9D" w:rsidRDefault="00000000">
            <w:r>
              <w:rPr>
                <w:sz w:val="18"/>
              </w:rPr>
              <w:t>Explicar a sigla na primeira ocorrência.</w:t>
            </w:r>
          </w:p>
        </w:tc>
        <w:tc>
          <w:tcPr>
            <w:tcW w:w="3402" w:type="dxa"/>
            <w:vAlign w:val="center"/>
          </w:tcPr>
          <w:p w14:paraId="2535E69A" w14:textId="77777777" w:rsidR="001E0E9D" w:rsidRDefault="00000000">
            <w:r>
              <w:rPr>
                <w:sz w:val="18"/>
              </w:rPr>
              <w:t>Foi padronizada como Produto Mínimo Viável (MVP), mantendo apenas a sigla nas ocorrências posteriores.</w:t>
            </w:r>
          </w:p>
        </w:tc>
      </w:tr>
      <w:tr w:rsidR="001E0E9D" w14:paraId="569B4A1D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866011D" w14:textId="77777777" w:rsidR="001E0E9D" w:rsidRDefault="00000000">
            <w:r>
              <w:rPr>
                <w:b/>
                <w:sz w:val="18"/>
              </w:rPr>
              <w:t>Sigla SGBD</w:t>
            </w:r>
          </w:p>
        </w:tc>
        <w:tc>
          <w:tcPr>
            <w:tcW w:w="2835" w:type="dxa"/>
            <w:vAlign w:val="center"/>
          </w:tcPr>
          <w:p w14:paraId="2C4595E5" w14:textId="77777777" w:rsidR="001E0E9D" w:rsidRDefault="00000000">
            <w:r>
              <w:rPr>
                <w:sz w:val="18"/>
              </w:rPr>
              <w:t>A sigla aparecia sem expansão na primeira ocorrência.</w:t>
            </w:r>
          </w:p>
        </w:tc>
        <w:tc>
          <w:tcPr>
            <w:tcW w:w="2494" w:type="dxa"/>
            <w:vAlign w:val="center"/>
          </w:tcPr>
          <w:p w14:paraId="04943C4D" w14:textId="77777777" w:rsidR="001E0E9D" w:rsidRDefault="00000000">
            <w:r>
              <w:rPr>
                <w:sz w:val="18"/>
              </w:rPr>
              <w:t>Explicar seu significado.</w:t>
            </w:r>
          </w:p>
        </w:tc>
        <w:tc>
          <w:tcPr>
            <w:tcW w:w="3402" w:type="dxa"/>
            <w:vAlign w:val="center"/>
          </w:tcPr>
          <w:p w14:paraId="45D9FBBD" w14:textId="77777777" w:rsidR="001E0E9D" w:rsidRDefault="00000000">
            <w:r>
              <w:rPr>
                <w:sz w:val="18"/>
              </w:rPr>
              <w:t>Foi padronizada como Sistema Gerenciador de Banco de Dados (SGBD), associado ao uso do MySQL no projeto.</w:t>
            </w:r>
          </w:p>
        </w:tc>
      </w:tr>
      <w:tr w:rsidR="001E0E9D" w14:paraId="36B50836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E772D2E" w14:textId="77777777" w:rsidR="001E0E9D" w:rsidRDefault="00000000">
            <w:r>
              <w:rPr>
                <w:b/>
                <w:sz w:val="18"/>
              </w:rPr>
              <w:t>Diagrama ER</w:t>
            </w:r>
          </w:p>
        </w:tc>
        <w:tc>
          <w:tcPr>
            <w:tcW w:w="2835" w:type="dxa"/>
            <w:vAlign w:val="center"/>
          </w:tcPr>
          <w:p w14:paraId="5D0CEDBD" w14:textId="77777777" w:rsidR="001E0E9D" w:rsidRDefault="00000000">
            <w:r>
              <w:rPr>
                <w:sz w:val="18"/>
              </w:rPr>
              <w:t>A sigla ER aparecia no título sem definição formal.</w:t>
            </w:r>
          </w:p>
        </w:tc>
        <w:tc>
          <w:tcPr>
            <w:tcW w:w="2494" w:type="dxa"/>
            <w:vAlign w:val="center"/>
          </w:tcPr>
          <w:p w14:paraId="5409560F" w14:textId="77777777" w:rsidR="001E0E9D" w:rsidRDefault="00000000">
            <w:r>
              <w:rPr>
                <w:sz w:val="18"/>
              </w:rPr>
              <w:t>Explicitar o significado da sigla.</w:t>
            </w:r>
          </w:p>
        </w:tc>
        <w:tc>
          <w:tcPr>
            <w:tcW w:w="3402" w:type="dxa"/>
            <w:vAlign w:val="center"/>
          </w:tcPr>
          <w:p w14:paraId="05375498" w14:textId="77777777" w:rsidR="001E0E9D" w:rsidRDefault="00000000">
            <w:r>
              <w:rPr>
                <w:sz w:val="18"/>
              </w:rPr>
              <w:t>O título foi ajustado para “Diagrama Entidade-Relacionamento (ER)” e o texto passou a explicar sua função na modelagem do banco de dados.</w:t>
            </w:r>
          </w:p>
        </w:tc>
      </w:tr>
      <w:tr w:rsidR="001E0E9D" w14:paraId="27ADA8EA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A08D3E9" w14:textId="77777777" w:rsidR="001E0E9D" w:rsidRDefault="00000000">
            <w:r>
              <w:rPr>
                <w:b/>
                <w:sz w:val="18"/>
              </w:rPr>
              <w:t>Sumário e numeração</w:t>
            </w:r>
          </w:p>
        </w:tc>
        <w:tc>
          <w:tcPr>
            <w:tcW w:w="2835" w:type="dxa"/>
            <w:vAlign w:val="center"/>
          </w:tcPr>
          <w:p w14:paraId="1FB678C0" w14:textId="77777777" w:rsidR="001E0E9D" w:rsidRDefault="00000000">
            <w:r>
              <w:rPr>
                <w:sz w:val="18"/>
              </w:rPr>
              <w:t>Após as inclusões, havia inconsistências de numeração, com vários subtítulos aparecendo indevidamente como “4.5”.</w:t>
            </w:r>
          </w:p>
        </w:tc>
        <w:tc>
          <w:tcPr>
            <w:tcW w:w="2494" w:type="dxa"/>
            <w:vAlign w:val="center"/>
          </w:tcPr>
          <w:p w14:paraId="36430ED4" w14:textId="77777777" w:rsidR="001E0E9D" w:rsidRDefault="00000000">
            <w:r>
              <w:rPr>
                <w:sz w:val="18"/>
              </w:rPr>
              <w:t>Organizar e atualizar a hierarquia do sumário e dos itens.</w:t>
            </w:r>
          </w:p>
        </w:tc>
        <w:tc>
          <w:tcPr>
            <w:tcW w:w="3402" w:type="dxa"/>
            <w:vAlign w:val="center"/>
          </w:tcPr>
          <w:p w14:paraId="459CB3E1" w14:textId="77777777" w:rsidR="001E0E9D" w:rsidRDefault="00000000">
            <w:r>
              <w:rPr>
                <w:sz w:val="18"/>
              </w:rPr>
              <w:t>A numeração foi revista para refletir a estrutura correta dos capítulos e subitens, incluindo 1.1–1.3, 2.1–2.6, 3.1–3.4, 4.1–4.5, 6.1–6.5, 7.1–7.4, 8.1–8.4, 9.1–9.2 e 10.1–10.6.</w:t>
            </w:r>
          </w:p>
        </w:tc>
      </w:tr>
      <w:tr w:rsidR="001E0E9D" w14:paraId="04CBDFA1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4C35DB3E" w14:textId="77777777" w:rsidR="001E0E9D" w:rsidRDefault="00000000">
            <w:r>
              <w:rPr>
                <w:b/>
                <w:sz w:val="18"/>
              </w:rPr>
              <w:t>Alinhamento do sumário – item 2</w:t>
            </w:r>
          </w:p>
        </w:tc>
        <w:tc>
          <w:tcPr>
            <w:tcW w:w="2835" w:type="dxa"/>
            <w:vAlign w:val="center"/>
          </w:tcPr>
          <w:p w14:paraId="4928C93E" w14:textId="77777777" w:rsidR="001E0E9D" w:rsidRDefault="00000000">
            <w:r>
              <w:rPr>
                <w:sz w:val="18"/>
              </w:rPr>
              <w:t>Os subitens 2.1.1 e 2.1.2 apareciam com recuo diferente dos demais itens do capítulo 2.</w:t>
            </w:r>
          </w:p>
        </w:tc>
        <w:tc>
          <w:tcPr>
            <w:tcW w:w="2494" w:type="dxa"/>
            <w:vAlign w:val="center"/>
          </w:tcPr>
          <w:p w14:paraId="3CBD22B2" w14:textId="77777777" w:rsidR="001E0E9D" w:rsidRDefault="00000000">
            <w:r>
              <w:rPr>
                <w:sz w:val="18"/>
              </w:rPr>
              <w:t>Padronizar o alinhamento visual dos itens no sumário.</w:t>
            </w:r>
          </w:p>
        </w:tc>
        <w:tc>
          <w:tcPr>
            <w:tcW w:w="3402" w:type="dxa"/>
            <w:vAlign w:val="center"/>
          </w:tcPr>
          <w:p w14:paraId="3EE8D1F8" w14:textId="77777777" w:rsidR="001E0E9D" w:rsidRDefault="00000000">
            <w:r>
              <w:rPr>
                <w:sz w:val="18"/>
              </w:rPr>
              <w:t>O alinhamento foi corrigido para que 2.1, 2.1.1, 2.1.2, 2.2, 2.3, 2.4, 2.5 e 2.6 apresentem o mesmo padrão visual.</w:t>
            </w:r>
          </w:p>
        </w:tc>
      </w:tr>
    </w:tbl>
    <w:p w14:paraId="1C4ED05F" w14:textId="77777777" w:rsidR="001E0E9D" w:rsidRPr="00986F51" w:rsidRDefault="00000000">
      <w:pPr>
        <w:pStyle w:val="Ttulo1"/>
        <w:rPr>
          <w:rFonts w:ascii="Arial" w:hAnsi="Arial" w:cs="Arial"/>
        </w:rPr>
      </w:pPr>
      <w:r w:rsidRPr="00986F51">
        <w:rPr>
          <w:rFonts w:ascii="Arial" w:hAnsi="Arial" w:cs="Arial"/>
        </w:rPr>
        <w:t>4 Resultado consolidado</w:t>
      </w:r>
    </w:p>
    <w:p w14:paraId="169C9EC9" w14:textId="77777777" w:rsidR="001E0E9D" w:rsidRPr="00986F51" w:rsidRDefault="00000000" w:rsidP="00986F51">
      <w:pPr>
        <w:spacing w:line="360" w:lineRule="auto"/>
        <w:jc w:val="both"/>
        <w:rPr>
          <w:rFonts w:cs="Arial"/>
          <w:sz w:val="24"/>
          <w:szCs w:val="24"/>
        </w:rPr>
      </w:pPr>
      <w:r w:rsidRPr="00986F51">
        <w:rPr>
          <w:rFonts w:cs="Arial"/>
          <w:sz w:val="24"/>
          <w:szCs w:val="24"/>
        </w:rPr>
        <w:t>As adequações realizadas não alteram o objetivo técnico do projeto. Elas melhoram principalmente a organização, a clareza, a progressão didática, a rastreabilidade e a padronização acadêmica do documento. O conteúdo técnico foi preservado sempre que possível; as alterações concentraram-se na separação adequada de seções, inclusão de parágrafos introdutórios, contextualização de quadros, explicação de siglas, revisão de títulos e correção da estrutura do sumário.</w:t>
      </w:r>
    </w:p>
    <w:p w14:paraId="1184496F" w14:textId="77777777" w:rsidR="001E0E9D" w:rsidRPr="00986F51" w:rsidRDefault="00000000" w:rsidP="00986F51">
      <w:pPr>
        <w:spacing w:line="360" w:lineRule="auto"/>
        <w:jc w:val="both"/>
        <w:rPr>
          <w:rFonts w:cs="Arial"/>
          <w:sz w:val="24"/>
          <w:szCs w:val="24"/>
        </w:rPr>
      </w:pPr>
      <w:r w:rsidRPr="00986F51">
        <w:rPr>
          <w:rFonts w:cs="Arial"/>
          <w:sz w:val="24"/>
          <w:szCs w:val="24"/>
        </w:rPr>
        <w:lastRenderedPageBreak/>
        <w:t>Como orientação para as próximas entregas, recomenda-se adotar o mesmo padrão desde a primeira versão: iniciar cada capítulo ou subitem com uma breve contextualização, anunciar e explicar quadros/tabelas antes de apresentá-los, definir todas as siglas na primeira ocorrência e revisar a hierarquia de títulos e o sumário antes da submissão.</w:t>
      </w:r>
    </w:p>
    <w:p w14:paraId="1B01D495" w14:textId="77777777" w:rsidR="001E0E9D" w:rsidRDefault="00000000">
      <w:pPr>
        <w:pStyle w:val="Ttulo1"/>
      </w:pPr>
      <w:r>
        <w:t>5 Checklist para conferência do grupo</w:t>
      </w:r>
    </w:p>
    <w:p w14:paraId="304526E1" w14:textId="50A075FF" w:rsidR="001E0E9D" w:rsidRDefault="00000000">
      <w:pPr>
        <w:ind w:left="283" w:hanging="170"/>
      </w:pPr>
      <w:r>
        <w:rPr>
          <w:b/>
        </w:rPr>
        <w:t xml:space="preserve">☐ </w:t>
      </w:r>
      <w:r>
        <w:t>Confirmar se todos os capítulos e subitens possuem texto introdutório quando necessário.</w:t>
      </w:r>
    </w:p>
    <w:p w14:paraId="67F15BE7" w14:textId="77777777" w:rsidR="001E0E9D" w:rsidRDefault="00000000">
      <w:pPr>
        <w:ind w:left="283" w:hanging="170"/>
      </w:pPr>
      <w:r>
        <w:rPr>
          <w:b/>
        </w:rPr>
        <w:t xml:space="preserve">☐ </w:t>
      </w:r>
      <w:r>
        <w:t>Verificar se todos os quadros e tabelas são citados e explicados no texto antes de sua apresentação.</w:t>
      </w:r>
    </w:p>
    <w:p w14:paraId="315FA8C7" w14:textId="77777777" w:rsidR="001E0E9D" w:rsidRDefault="00000000">
      <w:pPr>
        <w:ind w:left="283" w:hanging="170"/>
      </w:pPr>
      <w:r>
        <w:rPr>
          <w:b/>
        </w:rPr>
        <w:t xml:space="preserve">☐ </w:t>
      </w:r>
      <w:r>
        <w:t>Conferir a primeira ocorrência de todas as siglas (MVP, SGBD, ER, E1, E2, WIP e demais siglas utilizadas).</w:t>
      </w:r>
    </w:p>
    <w:p w14:paraId="3DDA976F" w14:textId="77777777" w:rsidR="001E0E9D" w:rsidRDefault="00000000">
      <w:pPr>
        <w:ind w:left="283" w:hanging="170"/>
      </w:pPr>
      <w:r>
        <w:rPr>
          <w:b/>
        </w:rPr>
        <w:t xml:space="preserve">☐ </w:t>
      </w:r>
      <w:r>
        <w:t>Revisar se títulos e subtítulos representam corretamente o conteúdo apresentado.</w:t>
      </w:r>
    </w:p>
    <w:p w14:paraId="05F05F8F" w14:textId="77777777" w:rsidR="001E0E9D" w:rsidRDefault="00000000">
      <w:pPr>
        <w:ind w:left="283" w:hanging="170"/>
      </w:pPr>
      <w:r>
        <w:rPr>
          <w:b/>
        </w:rPr>
        <w:t xml:space="preserve">☐ </w:t>
      </w:r>
      <w:r>
        <w:t>Conferir a numeração hierárquica de capítulos e subitens.</w:t>
      </w:r>
    </w:p>
    <w:p w14:paraId="718EA971" w14:textId="77777777" w:rsidR="001E0E9D" w:rsidRDefault="00000000">
      <w:pPr>
        <w:ind w:left="283" w:hanging="170"/>
      </w:pPr>
      <w:r>
        <w:rPr>
          <w:b/>
        </w:rPr>
        <w:t xml:space="preserve">☐ </w:t>
      </w:r>
      <w:r>
        <w:t>Atualizar o sumário automático somente após a revisão final do documento.</w:t>
      </w:r>
    </w:p>
    <w:p w14:paraId="0907529C" w14:textId="77777777" w:rsidR="001E0E9D" w:rsidRDefault="00000000">
      <w:pPr>
        <w:ind w:left="283" w:hanging="170"/>
      </w:pPr>
      <w:r>
        <w:rPr>
          <w:b/>
        </w:rPr>
        <w:t xml:space="preserve">☐ </w:t>
      </w:r>
      <w:r>
        <w:t>Confirmar a procedência e a rastreabilidade dos dados externos sempre que a informação estiver disponível.</w:t>
      </w:r>
    </w:p>
    <w:p w14:paraId="78F8D634" w14:textId="7A53CDB5" w:rsidR="001E0E9D" w:rsidRDefault="00000000">
      <w:pPr>
        <w:ind w:left="283" w:hanging="170"/>
      </w:pPr>
      <w:r>
        <w:rPr>
          <w:b/>
        </w:rPr>
        <w:t xml:space="preserve">☐ </w:t>
      </w:r>
      <w:r>
        <w:t>Não inserir informações de proveniência, validação ou desempenho que não estejam efetivamente documentadas.</w:t>
      </w:r>
    </w:p>
    <w:sectPr w:rsidR="001E0E9D" w:rsidSect="00986F51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964795">
    <w:abstractNumId w:val="8"/>
  </w:num>
  <w:num w:numId="2" w16cid:durableId="213003955">
    <w:abstractNumId w:val="6"/>
  </w:num>
  <w:num w:numId="3" w16cid:durableId="530538696">
    <w:abstractNumId w:val="5"/>
  </w:num>
  <w:num w:numId="4" w16cid:durableId="521239326">
    <w:abstractNumId w:val="4"/>
  </w:num>
  <w:num w:numId="5" w16cid:durableId="146868831">
    <w:abstractNumId w:val="7"/>
  </w:num>
  <w:num w:numId="6" w16cid:durableId="2093575370">
    <w:abstractNumId w:val="3"/>
  </w:num>
  <w:num w:numId="7" w16cid:durableId="1694261224">
    <w:abstractNumId w:val="2"/>
  </w:num>
  <w:num w:numId="8" w16cid:durableId="738097091">
    <w:abstractNumId w:val="1"/>
  </w:num>
  <w:num w:numId="9" w16cid:durableId="1412239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E9D"/>
    <w:rsid w:val="0029639D"/>
    <w:rsid w:val="00326F90"/>
    <w:rsid w:val="00986F51"/>
    <w:rsid w:val="00AA1D8D"/>
    <w:rsid w:val="00B47730"/>
    <w:rsid w:val="00CB0664"/>
    <w:rsid w:val="00D247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1259C9"/>
  <w14:defaultImageDpi w14:val="300"/>
  <w15:docId w15:val="{C64D6290-99D1-49CF-9E4B-48447CCE7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1481</Words>
  <Characters>8002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Oliveira Martins de Barros</cp:lastModifiedBy>
  <cp:revision>2</cp:revision>
  <dcterms:created xsi:type="dcterms:W3CDTF">2013-12-23T23:15:00Z</dcterms:created>
  <dcterms:modified xsi:type="dcterms:W3CDTF">2026-10-04T16:27:00Z</dcterms:modified>
  <cp:category/>
</cp:coreProperties>
</file>