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14CBD" w:rsidR="00C66594" w:rsidP="00C66594" w:rsidRDefault="00C66594" w14:paraId="23183146" w14:textId="77777777">
      <w:pPr>
        <w:spacing w:after="0" w:line="240" w:lineRule="auto"/>
        <w:jc w:val="center"/>
        <w:rPr>
          <w:rFonts w:ascii="Verdana" w:hAnsi="Verdana"/>
          <w:b/>
          <w:sz w:val="20"/>
          <w:szCs w:val="20"/>
        </w:rPr>
      </w:pPr>
    </w:p>
    <w:p w:rsidRPr="00B14CBD" w:rsidR="00C66594" w:rsidP="00306022" w:rsidRDefault="00C66594" w14:paraId="437ACDEA" w14:textId="7EB64F34">
      <w:pPr>
        <w:spacing w:after="0" w:line="240" w:lineRule="auto"/>
        <w:jc w:val="center"/>
        <w:rPr>
          <w:rFonts w:ascii="Verdana" w:hAnsi="Verdana"/>
          <w:b/>
          <w:sz w:val="20"/>
          <w:szCs w:val="20"/>
        </w:rPr>
      </w:pPr>
      <w:r w:rsidRPr="00B14CBD">
        <w:rPr>
          <w:rFonts w:ascii="Verdana" w:hAnsi="Verdana"/>
          <w:b/>
          <w:sz w:val="20"/>
          <w:szCs w:val="20"/>
        </w:rPr>
        <w:t xml:space="preserve">Data </w:t>
      </w:r>
      <w:r w:rsidRPr="00B14CBD" w:rsidR="00F667E6">
        <w:rPr>
          <w:rFonts w:ascii="Verdana" w:hAnsi="Verdana"/>
          <w:b/>
          <w:sz w:val="20"/>
          <w:szCs w:val="20"/>
        </w:rPr>
        <w:t>Science</w:t>
      </w:r>
      <w:r w:rsidRPr="00B14CBD">
        <w:rPr>
          <w:rFonts w:ascii="Verdana" w:hAnsi="Verdana"/>
          <w:b/>
          <w:sz w:val="20"/>
          <w:szCs w:val="20"/>
        </w:rPr>
        <w:t xml:space="preserve"> Capstone Topic Approval Form</w:t>
      </w:r>
    </w:p>
    <w:p w:rsidRPr="00B14CBD" w:rsidR="00C66594" w:rsidP="00C66594" w:rsidRDefault="00C66594" w14:paraId="593A6379" w14:textId="77777777">
      <w:pPr>
        <w:spacing w:after="0" w:line="240" w:lineRule="auto"/>
        <w:rPr>
          <w:rFonts w:ascii="Verdana" w:hAnsi="Verdana"/>
          <w:sz w:val="20"/>
          <w:szCs w:val="20"/>
        </w:rPr>
      </w:pPr>
    </w:p>
    <w:p w:rsidRPr="00B14CBD" w:rsidR="00C66594" w:rsidP="00C66594" w:rsidRDefault="00C66594" w14:paraId="3006EE27" w14:textId="43DAB068">
      <w:pPr>
        <w:spacing w:after="0" w:line="240" w:lineRule="auto"/>
        <w:rPr>
          <w:rFonts w:ascii="Verdana" w:hAnsi="Verdana"/>
          <w:sz w:val="20"/>
          <w:szCs w:val="20"/>
        </w:rPr>
      </w:pPr>
      <w:r w:rsidRPr="00B14CBD">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Pr="00B14CBD" w:rsidR="00306022">
            <w:rPr>
              <w:rFonts w:ascii="Verdana" w:hAnsi="Verdana"/>
              <w:sz w:val="20"/>
              <w:szCs w:val="20"/>
            </w:rPr>
            <w:t>Robert Balakier</w:t>
          </w:r>
        </w:sdtContent>
      </w:sdt>
    </w:p>
    <w:p w:rsidRPr="00B14CBD" w:rsidR="00C66594" w:rsidP="00C66594" w:rsidRDefault="00C66594" w14:paraId="14EB15CD" w14:textId="77777777">
      <w:pPr>
        <w:spacing w:after="0" w:line="240" w:lineRule="auto"/>
        <w:rPr>
          <w:rFonts w:ascii="Verdana" w:hAnsi="Verdana"/>
          <w:b/>
          <w:sz w:val="20"/>
          <w:szCs w:val="20"/>
        </w:rPr>
      </w:pPr>
    </w:p>
    <w:p w:rsidRPr="00B14CBD" w:rsidR="00C66594" w:rsidP="00C66594" w:rsidRDefault="00C66594" w14:paraId="19B025D4" w14:textId="0D4DF7A0">
      <w:pPr>
        <w:spacing w:after="0" w:line="240" w:lineRule="auto"/>
        <w:rPr>
          <w:rFonts w:ascii="Verdana" w:hAnsi="Verdana"/>
          <w:sz w:val="20"/>
          <w:szCs w:val="20"/>
        </w:rPr>
      </w:pPr>
      <w:r w:rsidRPr="00B14CBD">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Pr="00B14CBD" w:rsidR="00306022">
                <w:rPr>
                  <w:rFonts w:ascii="Verdana" w:hAnsi="Verdana"/>
                  <w:sz w:val="20"/>
                  <w:szCs w:val="20"/>
                </w:rPr>
                <w:t>004412208</w:t>
              </w:r>
            </w:sdtContent>
          </w:sdt>
        </w:sdtContent>
      </w:sdt>
    </w:p>
    <w:p w:rsidRPr="00B14CBD" w:rsidR="00C66594" w:rsidP="00C66594" w:rsidRDefault="00C66594" w14:paraId="15A7ED04" w14:textId="77777777">
      <w:pPr>
        <w:spacing w:after="0" w:line="240" w:lineRule="auto"/>
        <w:rPr>
          <w:rFonts w:ascii="Verdana" w:hAnsi="Verdana"/>
          <w:b/>
          <w:sz w:val="20"/>
          <w:szCs w:val="20"/>
        </w:rPr>
      </w:pPr>
    </w:p>
    <w:p w:rsidRPr="00B14CBD" w:rsidR="00C66594" w:rsidP="3815B0BF" w:rsidRDefault="00C66594" w14:paraId="663C725D" w14:textId="539EC97D">
      <w:pPr>
        <w:pStyle w:val="Normal"/>
        <w:suppressLineNumbers w:val="0"/>
        <w:bidi w:val="0"/>
        <w:spacing w:before="0" w:beforeAutospacing="off" w:after="0" w:afterAutospacing="off" w:line="240" w:lineRule="auto"/>
        <w:ind w:left="0" w:right="0"/>
        <w:jc w:val="left"/>
        <w:rPr>
          <w:rFonts w:ascii="Verdana" w:hAnsi="Verdana"/>
          <w:b w:val="0"/>
          <w:bCs w:val="0"/>
          <w:noProof w:val="0"/>
          <w:sz w:val="20"/>
          <w:szCs w:val="20"/>
          <w:lang w:val="en-US"/>
        </w:rPr>
      </w:pPr>
      <w:r w:rsidRPr="3815B0BF" w:rsidR="00C66594">
        <w:rPr>
          <w:rFonts w:ascii="Verdana" w:hAnsi="Verdana"/>
          <w:b w:val="1"/>
          <w:bCs w:val="1"/>
          <w:sz w:val="20"/>
          <w:szCs w:val="20"/>
        </w:rPr>
        <w:t>Capstone Project Name:</w:t>
      </w:r>
      <w:r w:rsidRPr="3815B0BF" w:rsidR="00C66594">
        <w:rPr>
          <w:rFonts w:ascii="Verdana" w:hAnsi="Verdana"/>
          <w:sz w:val="20"/>
          <w:szCs w:val="20"/>
        </w:rPr>
        <w:t xml:space="preserve"> </w:t>
      </w:r>
      <w:sdt>
        <w:sdtPr>
          <w:id w:val="-791359852"/>
          <w:placeholder>
            <w:docPart w:val="3BC2B92D5875449DB25116FE7FCFD652"/>
          </w:placeholder>
          <w:rPr>
            <w:rFonts w:ascii="Verdana" w:hAnsi="Verdana"/>
            <w:sz w:val="20"/>
            <w:szCs w:val="20"/>
          </w:rPr>
        </w:sdtPr>
        <w:sdtContent>
          <w:r w:rsidRPr="3815B0BF" w:rsidR="4A0F0B78">
            <w:rPr>
              <w:rFonts w:ascii="Verdana" w:hAnsi="Verdana" w:eastAsia="游明朝" w:cs="Arial" w:asciiTheme="minorAscii" w:hAnsiTheme="minorAscii" w:eastAsiaTheme="minorEastAsia" w:cstheme="minorBidi"/>
              <w:b w:val="0"/>
              <w:bCs w:val="0"/>
              <w:noProof w:val="0"/>
              <w:color w:val="auto"/>
              <w:sz w:val="20"/>
              <w:szCs w:val="20"/>
              <w:lang w:val="en-US" w:eastAsia="en-US" w:bidi="ar-SA"/>
            </w:rPr>
            <w:t>Logistic Regression on an Environmental Microbial Dataset</w:t>
          </w:r>
        </w:sdtContent>
        <w:sdtEndPr>
          <w:rPr>
            <w:rFonts w:ascii="Verdana" w:hAnsi="Verdana"/>
            <w:sz w:val="20"/>
            <w:szCs w:val="20"/>
          </w:rPr>
        </w:sdtEndPr>
      </w:sdt>
    </w:p>
    <w:p w:rsidRPr="00B14CBD" w:rsidR="00C66594" w:rsidP="3815B0BF" w:rsidRDefault="00C66594" w14:paraId="37FC57AA" w14:textId="77777777">
      <w:pPr>
        <w:pStyle w:val="Normal"/>
        <w:suppressLineNumbers w:val="0"/>
        <w:bidi w:val="0"/>
        <w:spacing w:before="0" w:beforeAutospacing="off" w:after="0" w:afterAutospacing="off" w:line="240" w:lineRule="auto"/>
        <w:ind w:left="0" w:right="0"/>
        <w:jc w:val="left"/>
        <w:rPr>
          <w:rFonts w:ascii="Verdana" w:hAnsi="Verdana"/>
          <w:b w:val="0"/>
          <w:bCs w:val="0"/>
          <w:sz w:val="20"/>
          <w:szCs w:val="20"/>
        </w:rPr>
      </w:pPr>
    </w:p>
    <w:p w:rsidRPr="00B14CBD" w:rsidR="00C66594" w:rsidP="3815B0BF" w:rsidRDefault="00C66594" w14:paraId="53A32AE8" w14:textId="1C09B9DE">
      <w:pPr>
        <w:pStyle w:val="Normal"/>
        <w:spacing w:after="0" w:line="240" w:lineRule="auto"/>
      </w:pPr>
      <w:r w:rsidRPr="3815B0BF" w:rsidR="00C66594">
        <w:rPr>
          <w:rFonts w:ascii="Verdana" w:hAnsi="Verdana"/>
          <w:b w:val="1"/>
          <w:bCs w:val="1"/>
          <w:sz w:val="20"/>
          <w:szCs w:val="20"/>
        </w:rPr>
        <w:t>Project Topic</w:t>
      </w:r>
      <w:r w:rsidRPr="3815B0BF" w:rsidR="00C66594">
        <w:rPr>
          <w:rFonts w:ascii="Verdana" w:hAnsi="Verdana"/>
          <w:sz w:val="20"/>
          <w:szCs w:val="20"/>
        </w:rPr>
        <w:t xml:space="preserve">: </w:t>
      </w:r>
      <w:sdt>
        <w:sdtPr>
          <w:id w:val="-1018700952"/>
          <w:placeholder>
            <w:docPart w:val="E89256DBFBB64872BCE0D4ABB0324F1B"/>
          </w:placeholder>
          <w:rPr>
            <w:rFonts w:ascii="Verdana" w:hAnsi="Verdana"/>
            <w:sz w:val="20"/>
            <w:szCs w:val="20"/>
          </w:rPr>
        </w:sdtPr>
        <w:sdtContent>
          <w:r w:rsidRPr="3815B0BF" w:rsidR="78DBB57C">
            <w:rPr>
              <w:rFonts w:ascii="Verdana" w:hAnsi="Verdana"/>
              <w:sz w:val="20"/>
              <w:szCs w:val="20"/>
            </w:rPr>
            <w:t>Development and evaluation of a binary logistic regression model using an environmental microbial dataset to classify samples as acceptable or Alert/Action.</w:t>
          </w:r>
        </w:sdtContent>
        <w:sdtEndPr>
          <w:rPr>
            <w:rFonts w:ascii="Verdana" w:hAnsi="Verdana"/>
            <w:sz w:val="20"/>
            <w:szCs w:val="20"/>
          </w:rPr>
        </w:sdtEndPr>
      </w:sdt>
    </w:p>
    <w:p w:rsidRPr="00B14CBD" w:rsidR="00C66594" w:rsidP="00C66594" w:rsidRDefault="00C66594" w14:paraId="35B1EF42" w14:textId="77777777">
      <w:pPr>
        <w:spacing w:after="0" w:line="240" w:lineRule="auto"/>
        <w:rPr>
          <w:rFonts w:ascii="Verdana" w:hAnsi="Verdana"/>
          <w:sz w:val="20"/>
          <w:szCs w:val="20"/>
        </w:rPr>
      </w:pPr>
    </w:p>
    <w:p w:rsidRPr="00B14CBD" w:rsidR="00C66594" w:rsidP="00306022" w:rsidRDefault="00000000" w14:paraId="26A4F621" w14:textId="5F1B79D7">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Pr="00B14CBD" w:rsidR="00306022">
            <w:rPr>
              <w:rFonts w:hint="eastAsia" w:ascii="MS Gothic" w:hAnsi="MS Gothic" w:eastAsia="MS Gothic"/>
              <w:b/>
              <w:bCs/>
              <w:sz w:val="20"/>
              <w:szCs w:val="20"/>
            </w:rPr>
            <w:t>☒</w:t>
          </w:r>
        </w:sdtContent>
      </w:sdt>
      <w:r w:rsidRPr="00B14CBD" w:rsidR="009D175B">
        <w:rPr>
          <w:rFonts w:ascii="Verdana" w:hAnsi="Verdana"/>
          <w:b/>
          <w:bCs/>
          <w:sz w:val="20"/>
          <w:szCs w:val="20"/>
        </w:rPr>
        <w:t xml:space="preserve">  </w:t>
      </w:r>
      <w:r w:rsidRPr="00B14CBD" w:rsidR="00C66594">
        <w:rPr>
          <w:rFonts w:ascii="Verdana" w:hAnsi="Verdana"/>
          <w:b/>
          <w:bCs/>
          <w:sz w:val="20"/>
          <w:szCs w:val="20"/>
        </w:rPr>
        <w:t>This project does not involve human subjects research and is exempt from WGU IRB review.</w:t>
      </w:r>
    </w:p>
    <w:p w:rsidRPr="00B14CBD" w:rsidR="00C66594" w:rsidP="00C66594" w:rsidRDefault="00C66594" w14:paraId="21831D2B" w14:textId="77777777">
      <w:pPr>
        <w:spacing w:after="0" w:line="240" w:lineRule="auto"/>
        <w:rPr>
          <w:rFonts w:ascii="Verdana" w:hAnsi="Verdana"/>
          <w:b/>
          <w:sz w:val="20"/>
          <w:szCs w:val="20"/>
        </w:rPr>
      </w:pPr>
    </w:p>
    <w:p w:rsidRPr="00B14CBD" w:rsidR="00C66594" w:rsidP="3815B0BF" w:rsidRDefault="00C66594" w14:paraId="3E02B18B" w14:textId="304C741B">
      <w:pPr>
        <w:pStyle w:val="Normal"/>
        <w:spacing w:after="0" w:line="240" w:lineRule="auto"/>
      </w:pPr>
      <w:r w:rsidRPr="3815B0BF" w:rsidR="00C66594">
        <w:rPr>
          <w:rFonts w:ascii="Verdana" w:hAnsi="Verdana"/>
          <w:b w:val="1"/>
          <w:bCs w:val="1"/>
          <w:sz w:val="20"/>
          <w:szCs w:val="20"/>
        </w:rPr>
        <w:t>Research Question:</w:t>
      </w:r>
      <w:r w:rsidRPr="3815B0BF" w:rsidR="00306022">
        <w:rPr>
          <w:rFonts w:ascii="Verdana" w:hAnsi="Verdana"/>
          <w:sz w:val="20"/>
          <w:szCs w:val="20"/>
        </w:rPr>
        <w:t xml:space="preserve"> </w:t>
      </w:r>
      <w:r w:rsidRPr="3815B0BF" w:rsidR="275D4318">
        <w:rPr>
          <w:rFonts w:ascii="Verdana" w:hAnsi="Verdana"/>
          <w:sz w:val="20"/>
          <w:szCs w:val="20"/>
        </w:rPr>
        <w:t>Can a logistic regression model be constructed on the environmental dataset?</w:t>
      </w:r>
    </w:p>
    <w:p w:rsidRPr="00B14CBD" w:rsidR="00306022" w:rsidP="3815B0BF" w:rsidRDefault="00306022" w14:paraId="64464506" w14:textId="25DD0F9F">
      <w:pPr>
        <w:pStyle w:val="Normal"/>
        <w:spacing w:after="0" w:line="240" w:lineRule="auto"/>
        <w:ind/>
        <w:rPr>
          <w:rFonts w:ascii="Verdana" w:hAnsi="Verdana"/>
          <w:b w:val="1"/>
          <w:bCs w:val="1"/>
          <w:sz w:val="20"/>
          <w:szCs w:val="20"/>
        </w:rPr>
      </w:pPr>
    </w:p>
    <w:p w:rsidRPr="00B14CBD" w:rsidR="00C66594" w:rsidP="00C66594" w:rsidRDefault="00306022" w14:paraId="668F936A" w14:textId="5A1CBFE7">
      <w:pPr>
        <w:spacing w:after="0" w:line="240" w:lineRule="auto"/>
      </w:pPr>
      <w:r w:rsidRPr="3815B0BF" w:rsidR="00306022">
        <w:rPr>
          <w:rFonts w:ascii="Verdana" w:hAnsi="Verdana"/>
          <w:b w:val="1"/>
          <w:bCs w:val="1"/>
          <w:sz w:val="20"/>
          <w:szCs w:val="20"/>
        </w:rPr>
        <w:t xml:space="preserve">Null Hypothesis: </w:t>
      </w:r>
      <w:r w:rsidRPr="3815B0BF" w:rsidR="3BFA740C">
        <w:rPr>
          <w:rFonts w:ascii="Verdana" w:hAnsi="Verdana"/>
          <w:b w:val="0"/>
          <w:bCs w:val="0"/>
          <w:sz w:val="20"/>
          <w:szCs w:val="20"/>
        </w:rPr>
        <w:t>A logistic regression model cannot be constructed on the environmental dataset.</w:t>
      </w:r>
    </w:p>
    <w:p w:rsidRPr="00B14CBD" w:rsidR="00306022" w:rsidP="00C66594" w:rsidRDefault="00306022" w14:paraId="79683769" w14:textId="77777777">
      <w:pPr>
        <w:spacing w:after="0" w:line="240" w:lineRule="auto"/>
        <w:rPr>
          <w:rFonts w:ascii="Verdana" w:hAnsi="Verdana"/>
          <w:bCs/>
          <w:sz w:val="20"/>
          <w:szCs w:val="20"/>
        </w:rPr>
      </w:pPr>
    </w:p>
    <w:p w:rsidR="00306022" w:rsidP="3815B0BF" w:rsidRDefault="00306022" w14:paraId="33EC162B" w14:textId="134D2EE2">
      <w:pPr>
        <w:spacing w:after="0" w:line="240" w:lineRule="auto"/>
      </w:pPr>
      <w:r w:rsidRPr="3815B0BF" w:rsidR="00306022">
        <w:rPr>
          <w:rFonts w:ascii="Verdana" w:hAnsi="Verdana"/>
          <w:b w:val="1"/>
          <w:bCs w:val="1"/>
          <w:sz w:val="20"/>
          <w:szCs w:val="20"/>
        </w:rPr>
        <w:t xml:space="preserve">Alternative Hypothesis: </w:t>
      </w:r>
      <w:r w:rsidRPr="3815B0BF" w:rsidR="64722688">
        <w:rPr>
          <w:rFonts w:ascii="Verdana" w:hAnsi="Verdana"/>
          <w:sz w:val="20"/>
          <w:szCs w:val="20"/>
        </w:rPr>
        <w:t xml:space="preserve">A logistic regression model can be constructed on the environmental dataset at </w:t>
      </w:r>
      <w:r w:rsidRPr="3815B0BF" w:rsidR="547E2036">
        <w:rPr>
          <w:rFonts w:ascii="Verdana" w:hAnsi="Verdana"/>
          <w:sz w:val="20"/>
          <w:szCs w:val="20"/>
        </w:rPr>
        <w:t>a accuracy</w:t>
      </w:r>
      <w:r w:rsidRPr="3815B0BF" w:rsidR="64722688">
        <w:rPr>
          <w:rFonts w:ascii="Verdana" w:hAnsi="Verdana"/>
          <w:sz w:val="20"/>
          <w:szCs w:val="20"/>
        </w:rPr>
        <w:t xml:space="preserve"> greater than 70%.</w:t>
      </w:r>
    </w:p>
    <w:p w:rsidRPr="00B14CBD" w:rsidR="00306022" w:rsidP="00C66594" w:rsidRDefault="00306022" w14:paraId="1EF298D4" w14:textId="77777777">
      <w:pPr>
        <w:spacing w:after="0" w:line="240" w:lineRule="auto"/>
        <w:rPr>
          <w:rFonts w:ascii="Verdana" w:hAnsi="Verdana"/>
          <w:b/>
          <w:sz w:val="20"/>
          <w:szCs w:val="20"/>
        </w:rPr>
      </w:pPr>
    </w:p>
    <w:p w:rsidRPr="00B14CBD" w:rsidR="00A41C69" w:rsidP="3815B0BF" w:rsidRDefault="00A41C69" w14:paraId="39C72F7B" w14:textId="3052ADEA">
      <w:pPr>
        <w:pStyle w:val="Normal"/>
        <w:spacing w:after="0" w:line="240" w:lineRule="auto"/>
      </w:pPr>
      <w:r w:rsidRPr="3815B0BF" w:rsidR="5543442B">
        <w:rPr>
          <w:rFonts w:ascii="Verdana" w:hAnsi="Verdana"/>
          <w:b w:val="1"/>
          <w:bCs w:val="1"/>
          <w:sz w:val="20"/>
          <w:szCs w:val="20"/>
        </w:rPr>
        <w:t>Context:</w:t>
      </w:r>
      <w:r w:rsidRPr="3815B0BF" w:rsidR="358273BF">
        <w:rPr>
          <w:rFonts w:ascii="Verdana" w:hAnsi="Verdana"/>
          <w:b w:val="1"/>
          <w:bCs w:val="1"/>
          <w:sz w:val="20"/>
          <w:szCs w:val="20"/>
        </w:rPr>
        <w:t xml:space="preserve"> </w:t>
      </w:r>
      <w:r w:rsidRPr="3815B0BF" w:rsidR="358273BF">
        <w:rPr>
          <w:rFonts w:ascii="Verdana" w:hAnsi="Verdana" w:eastAsia="Verdana" w:cs="Verdana"/>
          <w:noProof w:val="0"/>
          <w:sz w:val="20"/>
          <w:szCs w:val="20"/>
          <w:lang w:val="en-US"/>
        </w:rPr>
        <w:t>This project will contribute a reproducible classification approach for estimating the risk that an environmental monitoring sample will produce an Alert or Action result. This study will construct a logistic regression model using information available before sampling and will evaluate whether the model exceeds 70% accuracy on held-out data. Environmental monitoring is used in manufacturing facilities to identify microbial contamination risks, and colony-forming units (CFU) estimate viable microbial growth in a sample. Alert or Action results can require additional cleaning, testing, monitoring, investigation, and possible production delays. Wong et al. (2000) reported that microbial contamination accounted for 36% of food and cosmetic recalls reported to the FDA from 1993 through 1998, demonstrating the operational importance of controlling microbial contamination. The target will be coded as 0 for an acceptable result and 1 for an Alert or Action result. The model may help identify higher-risk locations and time periods so preventive resources can be focused where they are most needed.</w:t>
      </w:r>
      <w:proofErr w:type="gramStart"/>
      <w:proofErr w:type="gramEnd"/>
    </w:p>
    <w:p w:rsidRPr="00B14CBD" w:rsidR="00C66594" w:rsidP="00C66594" w:rsidRDefault="00C66594" w14:paraId="4E333EFE" w14:textId="77777777">
      <w:pPr>
        <w:spacing w:after="0" w:line="240" w:lineRule="auto"/>
        <w:rPr>
          <w:rFonts w:ascii="Verdana" w:hAnsi="Verdana"/>
          <w:b/>
          <w:sz w:val="20"/>
          <w:szCs w:val="20"/>
        </w:rPr>
      </w:pPr>
    </w:p>
    <w:p w:rsidRPr="00B14CBD" w:rsidR="00A41C69" w:rsidP="3815B0BF" w:rsidRDefault="00A41C69" w14:paraId="51A155D6" w14:textId="02E675F4">
      <w:pPr>
        <w:spacing w:after="0" w:line="240" w:lineRule="auto"/>
        <w:rPr>
          <w:rFonts w:ascii="Verdana" w:hAnsi="Verdana"/>
          <w:b w:val="0"/>
          <w:bCs w:val="0"/>
          <w:sz w:val="20"/>
          <w:szCs w:val="20"/>
        </w:rPr>
      </w:pPr>
      <w:r w:rsidRPr="3815B0BF" w:rsidR="00A41C69">
        <w:rPr>
          <w:rFonts w:ascii="Verdana" w:hAnsi="Verdana"/>
          <w:b w:val="1"/>
          <w:bCs w:val="1"/>
          <w:sz w:val="20"/>
          <w:szCs w:val="20"/>
        </w:rPr>
        <w:t>Data:</w:t>
      </w:r>
      <w:r w:rsidRPr="3815B0BF" w:rsidR="00335A1F">
        <w:rPr>
          <w:rFonts w:ascii="Verdana" w:hAnsi="Verdana"/>
          <w:b w:val="1"/>
          <w:bCs w:val="1"/>
          <w:sz w:val="20"/>
          <w:szCs w:val="20"/>
        </w:rPr>
        <w:t xml:space="preserve"> </w:t>
      </w:r>
    </w:p>
    <w:p w:rsidR="51CA2CCA" w:rsidP="3815B0BF" w:rsidRDefault="51CA2CCA" w14:paraId="4FBC4424" w14:textId="3A47E301">
      <w:pPr>
        <w:pStyle w:val="Normal"/>
        <w:spacing w:after="0" w:line="240" w:lineRule="auto"/>
      </w:pPr>
      <w:r w:rsidRPr="3815B0BF" w:rsidR="51CA2CCA">
        <w:rPr>
          <w:rFonts w:ascii="Verdana" w:hAnsi="Verdana" w:eastAsia="Verdana" w:cs="Verdana"/>
          <w:noProof w:val="0"/>
          <w:sz w:val="20"/>
          <w:szCs w:val="20"/>
          <w:lang w:val="en-US"/>
        </w:rPr>
        <w:t>The analysis will use a publicly available synthetic environmental monitoring dataset containing 10,531 observations from December 2022 through April 2026. The file contains 18 variables, including CFU results, sample dates, zones, departments, areas, sampling sites, locations, sampling frequency, air type, and Alert or Action designations. The location fields are hierarchical: each department contains one or more areas, and each area contains multiple sampling sites. FDA guidance recommends an environmental monitoring program that provides meaningful information about the quality of the aseptic processing environment (U.S. Food and Drug Administration [FDA], 2004).</w:t>
      </w:r>
    </w:p>
    <w:p w:rsidR="3815B0BF" w:rsidP="3815B0BF" w:rsidRDefault="3815B0BF" w14:paraId="43892D67" w14:textId="37908EB1">
      <w:pPr>
        <w:spacing w:after="0" w:line="240" w:lineRule="auto"/>
        <w:rPr>
          <w:rFonts w:ascii="Verdana" w:hAnsi="Verdana"/>
          <w:b w:val="0"/>
          <w:bCs w:val="0"/>
          <w:sz w:val="20"/>
          <w:szCs w:val="20"/>
        </w:rPr>
      </w:pPr>
    </w:p>
    <w:p w:rsidR="2ECE8659" w:rsidP="3815B0BF" w:rsidRDefault="2ECE8659" w14:paraId="33A5A406" w14:textId="7D1658A0">
      <w:pPr>
        <w:spacing w:before="0" w:beforeAutospacing="off" w:after="120" w:afterAutospacing="off"/>
      </w:pPr>
      <w:r w:rsidRPr="3815B0BF" w:rsidR="2ECE8659">
        <w:rPr>
          <w:rFonts w:ascii="Arial" w:hAnsi="Arial" w:eastAsia="Arial" w:cs="Arial"/>
          <w:noProof w:val="0"/>
          <w:sz w:val="20"/>
          <w:szCs w:val="20"/>
          <w:lang w:val="en-US"/>
        </w:rPr>
        <w:t>Missing-data assessment:</w:t>
      </w:r>
    </w:p>
    <w:tbl>
      <w:tblPr>
        <w:tblStyle w:val="TableNormal"/>
        <w:bidiVisual w:val="0"/>
        <w:tblW w:w="0" w:type="auto"/>
        <w:tblLook w:val="06A0" w:firstRow="1" w:lastRow="0" w:firstColumn="1" w:lastColumn="0" w:noHBand="1" w:noVBand="1"/>
      </w:tblPr>
      <w:tblGrid>
        <w:gridCol w:w="2850"/>
        <w:gridCol w:w="2850"/>
        <w:gridCol w:w="2850"/>
        <w:gridCol w:w="2850"/>
      </w:tblGrid>
      <w:tr w:rsidR="3815B0BF" w:rsidTr="3815B0BF" w14:paraId="68F21725">
        <w:trPr>
          <w:trHeight w:val="300"/>
        </w:trPr>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AF7"/>
            <w:tcMar/>
            <w:vAlign w:val="center"/>
          </w:tcPr>
          <w:p w:rsidR="3815B0BF" w:rsidP="3815B0BF" w:rsidRDefault="3815B0BF" w14:paraId="6B18EB82" w14:textId="095A9813">
            <w:pPr>
              <w:spacing w:before="0" w:beforeAutospacing="off" w:after="0" w:afterAutospacing="off"/>
            </w:pPr>
            <w:r w:rsidRPr="3815B0BF" w:rsidR="3815B0BF">
              <w:rPr>
                <w:rFonts w:ascii="Arial" w:hAnsi="Arial" w:eastAsia="Arial" w:cs="Arial"/>
                <w:b w:val="1"/>
                <w:bCs w:val="1"/>
                <w:sz w:val="18"/>
                <w:szCs w:val="18"/>
              </w:rPr>
              <w:t>Variable(s)</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AF7"/>
            <w:tcMar/>
            <w:vAlign w:val="center"/>
          </w:tcPr>
          <w:p w:rsidR="3815B0BF" w:rsidP="3815B0BF" w:rsidRDefault="3815B0BF" w14:paraId="49793A89" w14:textId="40D85C0F">
            <w:pPr>
              <w:spacing w:before="0" w:beforeAutospacing="off" w:after="0" w:afterAutospacing="off"/>
            </w:pPr>
            <w:r w:rsidRPr="3815B0BF" w:rsidR="3815B0BF">
              <w:rPr>
                <w:rFonts w:ascii="Arial" w:hAnsi="Arial" w:eastAsia="Arial" w:cs="Arial"/>
                <w:b w:val="1"/>
                <w:bCs w:val="1"/>
                <w:sz w:val="18"/>
                <w:szCs w:val="18"/>
              </w:rPr>
              <w:t>Missing</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AF7"/>
            <w:tcMar/>
            <w:vAlign w:val="center"/>
          </w:tcPr>
          <w:p w:rsidR="3815B0BF" w:rsidP="3815B0BF" w:rsidRDefault="3815B0BF" w14:paraId="5A8318E5" w14:textId="338AFF2C">
            <w:pPr>
              <w:spacing w:before="0" w:beforeAutospacing="off" w:after="0" w:afterAutospacing="off"/>
            </w:pPr>
            <w:r w:rsidRPr="3815B0BF" w:rsidR="3815B0BF">
              <w:rPr>
                <w:rFonts w:ascii="Arial" w:hAnsi="Arial" w:eastAsia="Arial" w:cs="Arial"/>
                <w:b w:val="1"/>
                <w:bCs w:val="1"/>
                <w:sz w:val="18"/>
                <w:szCs w:val="18"/>
              </w:rPr>
              <w:t>Percent</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AF7"/>
            <w:tcMar/>
            <w:vAlign w:val="center"/>
          </w:tcPr>
          <w:p w:rsidR="3815B0BF" w:rsidP="3815B0BF" w:rsidRDefault="3815B0BF" w14:paraId="022E6A9B" w14:textId="210590D1">
            <w:pPr>
              <w:spacing w:before="0" w:beforeAutospacing="off" w:after="0" w:afterAutospacing="off"/>
            </w:pPr>
            <w:r w:rsidRPr="3815B0BF" w:rsidR="3815B0BF">
              <w:rPr>
                <w:rFonts w:ascii="Arial" w:hAnsi="Arial" w:eastAsia="Arial" w:cs="Arial"/>
                <w:b w:val="1"/>
                <w:bCs w:val="1"/>
                <w:sz w:val="18"/>
                <w:szCs w:val="18"/>
              </w:rPr>
              <w:t>Planned treatment</w:t>
            </w:r>
          </w:p>
        </w:tc>
      </w:tr>
      <w:tr w:rsidR="3815B0BF" w:rsidTr="3815B0BF" w14:paraId="5C517C94">
        <w:trPr>
          <w:trHeight w:val="300"/>
        </w:trPr>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1A50FD9A" w14:textId="6DA26A01">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Alert and Action thresholds</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62CF1499" w14:textId="5CBB1822">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794 each</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617C71E8" w14:textId="08F60776">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7.54%</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6207B5D2" w14:textId="386D9A42">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Exclude these threshold fields as predictors; no imputation is needed.</w:t>
            </w:r>
          </w:p>
        </w:tc>
      </w:tr>
      <w:tr w:rsidR="3815B0BF" w:rsidTr="3815B0BF" w14:paraId="47CAD2B2">
        <w:trPr>
          <w:trHeight w:val="300"/>
        </w:trPr>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0AD4872E" w14:textId="73288348">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Action/Alert Count</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5E798198" w14:textId="1D24D6C5">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10,172</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667EA50D" w14:textId="19300F84">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96.59%</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59174606" w14:textId="22FA1844">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Blank means the sample was acceptable. Recode blank as target 0 and Alert/Action as target 1.</w:t>
            </w:r>
          </w:p>
        </w:tc>
      </w:tr>
      <w:tr w:rsidR="3815B0BF" w:rsidTr="3815B0BF" w14:paraId="209C6DFD">
        <w:trPr>
          <w:trHeight w:val="300"/>
        </w:trPr>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67F9C60F" w14:textId="0215D6A1">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All other 15 variables</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1DD851EC" w14:textId="61AFD6FB">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0</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41102BC4" w14:textId="656E55EB">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0.00%</w:t>
            </w:r>
          </w:p>
        </w:tc>
        <w:tc>
          <w:tcPr>
            <w:tcW w:w="28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vAlign w:val="center"/>
          </w:tcPr>
          <w:p w:rsidR="3815B0BF" w:rsidP="3815B0BF" w:rsidRDefault="3815B0BF" w14:paraId="52741752" w14:textId="447F69A0">
            <w:pPr>
              <w:spacing w:before="0" w:beforeAutospacing="off" w:after="0" w:afterAutospacing="off"/>
              <w:rPr>
                <w:rFonts w:ascii="Verdana" w:hAnsi="Verdana" w:eastAsia="Verdana" w:cs="Verdana"/>
                <w:sz w:val="17"/>
                <w:szCs w:val="17"/>
              </w:rPr>
            </w:pPr>
            <w:r w:rsidRPr="3815B0BF" w:rsidR="3815B0BF">
              <w:rPr>
                <w:rFonts w:ascii="Verdana" w:hAnsi="Verdana" w:eastAsia="Verdana" w:cs="Verdana"/>
                <w:sz w:val="17"/>
                <w:szCs w:val="17"/>
              </w:rPr>
              <w:t xml:space="preserve">No </w:t>
            </w:r>
            <w:r w:rsidRPr="3815B0BF" w:rsidR="2B0DCF03">
              <w:rPr>
                <w:rFonts w:ascii="Verdana" w:hAnsi="Verdana" w:eastAsia="Verdana" w:cs="Verdana"/>
                <w:sz w:val="17"/>
                <w:szCs w:val="17"/>
              </w:rPr>
              <w:t>missing value</w:t>
            </w:r>
            <w:r w:rsidRPr="3815B0BF" w:rsidR="3815B0BF">
              <w:rPr>
                <w:rFonts w:ascii="Verdana" w:hAnsi="Verdana" w:eastAsia="Verdana" w:cs="Verdana"/>
                <w:sz w:val="17"/>
                <w:szCs w:val="17"/>
              </w:rPr>
              <w:t xml:space="preserve"> treatment is </w:t>
            </w:r>
            <w:r w:rsidRPr="3815B0BF" w:rsidR="3815B0BF">
              <w:rPr>
                <w:rFonts w:ascii="Verdana" w:hAnsi="Verdana" w:eastAsia="Verdana" w:cs="Verdana"/>
                <w:sz w:val="17"/>
                <w:szCs w:val="17"/>
              </w:rPr>
              <w:t>required</w:t>
            </w:r>
            <w:r w:rsidRPr="3815B0BF" w:rsidR="3815B0BF">
              <w:rPr>
                <w:rFonts w:ascii="Verdana" w:hAnsi="Verdana" w:eastAsia="Verdana" w:cs="Verdana"/>
                <w:sz w:val="17"/>
                <w:szCs w:val="17"/>
              </w:rPr>
              <w:t>.</w:t>
            </w:r>
          </w:p>
        </w:tc>
      </w:tr>
    </w:tbl>
    <w:p w:rsidR="3815B0BF" w:rsidP="3815B0BF" w:rsidRDefault="3815B0BF" w14:paraId="4309817C" w14:textId="5822B5E2">
      <w:pPr>
        <w:spacing w:after="0" w:line="240" w:lineRule="auto"/>
        <w:rPr>
          <w:rFonts w:ascii="Verdana" w:hAnsi="Verdana"/>
          <w:b w:val="0"/>
          <w:bCs w:val="0"/>
          <w:sz w:val="20"/>
          <w:szCs w:val="20"/>
        </w:rPr>
      </w:pPr>
    </w:p>
    <w:p w:rsidRPr="00B14CBD" w:rsidR="00A41C69" w:rsidP="00B14CBD" w:rsidRDefault="00A41C69" w14:paraId="3566CF48" w14:textId="77777777">
      <w:pPr>
        <w:spacing w:after="0" w:line="240" w:lineRule="auto"/>
        <w:rPr>
          <w:rFonts w:ascii="Verdana" w:hAnsi="Verdana"/>
          <w:sz w:val="20"/>
          <w:szCs w:val="20"/>
        </w:rPr>
      </w:pPr>
    </w:p>
    <w:p w:rsidR="250F4C26" w:rsidP="3815B0BF" w:rsidRDefault="250F4C26" w14:paraId="64C116B4" w14:textId="1CBF9B04">
      <w:pPr>
        <w:spacing w:before="0" w:beforeAutospacing="off" w:after="120" w:afterAutospacing="off"/>
        <w:rPr>
          <w:rFonts w:ascii="Arial" w:hAnsi="Arial" w:eastAsia="Arial" w:cs="Arial"/>
          <w:b w:val="0"/>
          <w:bCs w:val="0"/>
          <w:noProof w:val="0"/>
          <w:sz w:val="20"/>
          <w:szCs w:val="20"/>
          <w:lang w:val="en-US"/>
        </w:rPr>
      </w:pPr>
      <w:r w:rsidRPr="3815B0BF" w:rsidR="250F4C26">
        <w:rPr>
          <w:rFonts w:ascii="Arial" w:hAnsi="Arial" w:eastAsia="Arial" w:cs="Arial"/>
          <w:b w:val="1"/>
          <w:bCs w:val="1"/>
          <w:noProof w:val="0"/>
          <w:sz w:val="20"/>
          <w:szCs w:val="20"/>
          <w:lang w:val="en-US"/>
        </w:rPr>
        <w:t xml:space="preserve">Limitations and Delimitations: </w:t>
      </w:r>
    </w:p>
    <w:p w:rsidR="1A4C408A" w:rsidP="3815B0BF" w:rsidRDefault="1A4C408A" w14:paraId="48856C00" w14:textId="23D53B0D">
      <w:pPr>
        <w:spacing w:before="0" w:beforeAutospacing="off" w:after="240" w:afterAutospacing="off"/>
      </w:pPr>
      <w:r w:rsidRPr="3815B0BF" w:rsidR="1A4C408A">
        <w:rPr>
          <w:rFonts w:ascii="Calibri" w:hAnsi="Calibri" w:eastAsia="Calibri" w:cs="Calibri"/>
          <w:noProof w:val="0"/>
          <w:sz w:val="22"/>
          <w:szCs w:val="22"/>
          <w:lang w:val="en-US"/>
        </w:rPr>
        <w:t>Study limitations include the synthetic nature of the data, the low prevalence of Alert/Action observations (359 of 10,531, or approximately 3.4%), and the hierarchical dependence among department, area, and sampling-site fields. These conditions may limit generalizability to other facilities and may produce an apparently high accuracy even when the minority class is poorly identified.</w:t>
      </w:r>
    </w:p>
    <w:p w:rsidR="1A4C408A" w:rsidP="3815B0BF" w:rsidRDefault="1A4C408A" w14:paraId="680C2F41" w14:textId="0D6DF836">
      <w:pPr>
        <w:spacing w:before="240" w:beforeAutospacing="off" w:after="240" w:afterAutospacing="off"/>
      </w:pPr>
      <w:r w:rsidRPr="3815B0BF" w:rsidR="1A4C408A">
        <w:rPr>
          <w:rFonts w:ascii="Calibri" w:hAnsi="Calibri" w:eastAsia="Calibri" w:cs="Calibri"/>
          <w:noProof w:val="0"/>
          <w:sz w:val="22"/>
          <w:szCs w:val="22"/>
          <w:lang w:val="en-US"/>
        </w:rPr>
        <w:t>The study is delimited to the supplied dataset and its December 2022 through April 2026 date range, a binary acceptable-versus-Alert/Action target, predictors known before sampling, and logistic regression as the primary analytical technique. CFU, Alert thresholds, Action thresholds, and the existing Alert/Action designation will not be used as predictors because they are known only after sampling or directly determine the target. A Random Forest Classifier will be used only as a comparison model.</w:t>
      </w:r>
    </w:p>
    <w:p w:rsidR="1A4C408A" w:rsidP="3815B0BF" w:rsidRDefault="1A4C408A" w14:paraId="5D3AE305" w14:textId="5D7C1A61">
      <w:pPr>
        <w:spacing w:before="240" w:beforeAutospacing="off" w:after="240" w:afterAutospacing="off"/>
      </w:pPr>
      <w:r w:rsidRPr="3815B0BF" w:rsidR="1A4C408A">
        <w:rPr>
          <w:rFonts w:ascii="Calibri" w:hAnsi="Calibri" w:eastAsia="Calibri" w:cs="Calibri"/>
          <w:noProof w:val="0"/>
          <w:sz w:val="22"/>
          <w:szCs w:val="22"/>
          <w:lang w:val="en-US"/>
        </w:rPr>
        <w:t>The dataset was synthetically generated and is owned by Robert Balakier. It is publicly available on Kaggle under a Creative Commons Attribution 4.0 license:</w:t>
      </w:r>
    </w:p>
    <w:p w:rsidR="1A4C408A" w:rsidP="3815B0BF" w:rsidRDefault="1A4C408A" w14:paraId="641A4DBA" w14:textId="580D0995">
      <w:pPr>
        <w:spacing w:before="240" w:beforeAutospacing="off" w:after="240" w:afterAutospacing="off"/>
      </w:pPr>
      <w:hyperlink r:id="R5a3cb565398540aa">
        <w:r w:rsidRPr="3815B0BF" w:rsidR="1A4C408A">
          <w:rPr>
            <w:rStyle w:val="Hyperlink"/>
            <w:noProof w:val="0"/>
            <w:lang w:val="en-US"/>
          </w:rPr>
          <w:t>https://www.kaggle.com/datasets/robertbalakier/environmental-monitoring-microbial-results</w:t>
        </w:r>
      </w:hyperlink>
    </w:p>
    <w:p w:rsidR="3815B0BF" w:rsidP="3815B0BF" w:rsidRDefault="3815B0BF" w14:paraId="32BBD234" w14:textId="11CF8E30">
      <w:pPr>
        <w:spacing w:before="240" w:beforeAutospacing="off" w:after="120" w:afterAutospacing="off"/>
        <w:rPr>
          <w:noProof w:val="0"/>
          <w:lang w:val="en-US"/>
        </w:rPr>
      </w:pPr>
    </w:p>
    <w:p w:rsidRPr="00B14CBD" w:rsidR="00C66594" w:rsidP="3815B0BF" w:rsidRDefault="00C66594" w14:paraId="53F6C580" w14:textId="3DCD6FDE">
      <w:pPr>
        <w:pStyle w:val="Normal"/>
        <w:spacing w:after="0" w:line="240" w:lineRule="auto"/>
        <w:rPr>
          <w:rFonts w:ascii="Verdana" w:hAnsi="Verdana" w:eastAsia="Times New Roman" w:cs="Times New Roman"/>
          <w:b w:val="0"/>
          <w:bCs w:val="0"/>
          <w:sz w:val="20"/>
          <w:szCs w:val="20"/>
        </w:rPr>
      </w:pPr>
      <w:r w:rsidRPr="3815B0BF" w:rsidR="00C66594">
        <w:rPr>
          <w:rFonts w:ascii="Verdana" w:hAnsi="Verdana" w:eastAsia="Times New Roman" w:cs="Times New Roman"/>
          <w:b w:val="1"/>
          <w:bCs w:val="1"/>
          <w:sz w:val="20"/>
          <w:szCs w:val="20"/>
        </w:rPr>
        <w:t xml:space="preserve">Data Gathering: </w:t>
      </w:r>
    </w:p>
    <w:p w:rsidR="265344FE" w:rsidP="3815B0BF" w:rsidRDefault="265344FE" w14:paraId="7D84C02D" w14:textId="6CBF8569">
      <w:pPr>
        <w:pStyle w:val="Normal"/>
        <w:spacing w:after="0" w:line="240" w:lineRule="auto"/>
      </w:pPr>
      <w:r w:rsidRPr="3815B0BF" w:rsidR="265344FE">
        <w:rPr>
          <w:rFonts w:ascii="Verdana" w:hAnsi="Verdana" w:eastAsia="Verdana" w:cs="Verdana"/>
          <w:noProof w:val="0"/>
          <w:sz w:val="20"/>
          <w:szCs w:val="20"/>
          <w:lang w:val="en-US"/>
        </w:rPr>
        <w:t>The existing CSV file will be retrieved from the Kaggle dataset page rather than collected from human participants or a company system. The downloaded file will be stored with the project files and imported into Python using pandas. The file’s row count, column names, data types, date range, class counts, duplicate count, and missing values will be checked against the published dataset description. A reproducible copy of the original file will be retained, and all cleaning and feature-engineering steps will be performed in code so that the source data remains unchanged. The dataset owner documents the file as synthetic and publicly licensed for reuse (Balakier, 2026).</w:t>
      </w:r>
    </w:p>
    <w:p w:rsidRPr="00B14CBD" w:rsidR="00335A1F" w:rsidP="00C66594" w:rsidRDefault="00335A1F" w14:paraId="30FE4A13" w14:textId="77777777">
      <w:pPr>
        <w:spacing w:after="0" w:line="240" w:lineRule="auto"/>
        <w:rPr>
          <w:rFonts w:ascii="Verdana" w:hAnsi="Verdana" w:eastAsia="Times New Roman" w:cs="Times New Roman"/>
          <w:b/>
          <w:sz w:val="20"/>
          <w:szCs w:val="20"/>
        </w:rPr>
      </w:pPr>
    </w:p>
    <w:p w:rsidR="00B14CBD" w:rsidP="00335A1F" w:rsidRDefault="00C66594" w14:paraId="61724FB3" w14:textId="703E0E10">
      <w:pPr>
        <w:spacing w:after="0" w:line="240" w:lineRule="auto"/>
        <w:rPr>
          <w:rFonts w:ascii="Verdana" w:hAnsi="Verdana" w:eastAsia="Times New Roman" w:cs="Times New Roman"/>
          <w:sz w:val="20"/>
          <w:szCs w:val="20"/>
        </w:rPr>
      </w:pPr>
      <w:r w:rsidRPr="3815B0BF" w:rsidR="00C66594">
        <w:rPr>
          <w:rFonts w:ascii="Verdana" w:hAnsi="Verdana" w:eastAsia="Times New Roman" w:cs="Times New Roman"/>
          <w:b w:val="1"/>
          <w:bCs w:val="1"/>
          <w:sz w:val="20"/>
          <w:szCs w:val="20"/>
        </w:rPr>
        <w:t>Data Analytics Tools and Techniques</w:t>
      </w:r>
      <w:r w:rsidRPr="3815B0BF" w:rsidR="00C66594">
        <w:rPr>
          <w:rFonts w:ascii="Verdana" w:hAnsi="Verdana" w:eastAsia="Times New Roman" w:cs="Times New Roman"/>
          <w:sz w:val="20"/>
          <w:szCs w:val="20"/>
        </w:rPr>
        <w:t xml:space="preserve">: </w:t>
      </w:r>
    </w:p>
    <w:p w:rsidR="2DCEA161" w:rsidP="3815B0BF" w:rsidRDefault="2DCEA161" w14:paraId="68A42A35" w14:textId="7D7C0456">
      <w:pPr>
        <w:spacing w:before="0" w:beforeAutospacing="off" w:after="240" w:afterAutospacing="off"/>
      </w:pPr>
      <w:r w:rsidRPr="3815B0BF" w:rsidR="2DCEA161">
        <w:rPr>
          <w:rFonts w:ascii="Verdana" w:hAnsi="Verdana" w:eastAsia="Verdana" w:cs="Verdana"/>
          <w:noProof w:val="0"/>
          <w:sz w:val="20"/>
          <w:szCs w:val="20"/>
          <w:lang w:val="en-US"/>
        </w:rPr>
        <w:t>Python will be used in VS Code. pandas and NumPy will support data inspection and preparation, and scikit-learn will support preprocessing, model construction, and evaluation. The binary target will equal 0 for an acceptable result and 1 for an Alert or Action result. Candidate presampling categorical variables will be converted into numerical features using one-hot encoding. Season and other eligible predictors may be retained, removed, or engineered after exploratory analysis.</w:t>
      </w:r>
    </w:p>
    <w:p w:rsidR="2DCEA161" w:rsidP="3815B0BF" w:rsidRDefault="2DCEA161" w14:paraId="38751E53" w14:textId="03250520">
      <w:pPr>
        <w:spacing w:before="240" w:beforeAutospacing="off" w:after="240" w:afterAutospacing="off"/>
      </w:pPr>
      <w:r w:rsidRPr="3815B0BF" w:rsidR="2DCEA161">
        <w:rPr>
          <w:rFonts w:ascii="Verdana" w:hAnsi="Verdana" w:eastAsia="Verdana" w:cs="Verdana"/>
          <w:noProof w:val="0"/>
          <w:sz w:val="20"/>
          <w:szCs w:val="20"/>
          <w:lang w:val="en-US"/>
        </w:rPr>
        <w:t>A stratified training-and-testing split will preserve the minority-class proportion. A scikit-learn pipeline will fit the primary logistic regression classifier and prevent preprocessing leakage. A Random Forest Classifier, an ensemble of decision trees, will be developed as a comparison model because random forests can represent nonlinear relationships and interactions (Breiman, 2001).</w:t>
      </w:r>
    </w:p>
    <w:p w:rsidR="2DCEA161" w:rsidP="3815B0BF" w:rsidRDefault="2DCEA161" w14:paraId="1BAA140D" w14:textId="3E10BE77">
      <w:pPr>
        <w:spacing w:before="240" w:beforeAutospacing="off" w:after="240" w:afterAutospacing="off"/>
      </w:pPr>
      <w:r w:rsidRPr="3815B0BF" w:rsidR="2DCEA161">
        <w:rPr>
          <w:rFonts w:ascii="Verdana" w:hAnsi="Verdana" w:eastAsia="Verdana" w:cs="Verdana"/>
          <w:noProof w:val="0"/>
          <w:sz w:val="20"/>
          <w:szCs w:val="20"/>
          <w:lang w:val="en-US"/>
        </w:rPr>
        <w:t>Performance will be reported using accuracy, a confusion matrix, precision, recall, F1-score, and area under the precision-recall curve. The hypothesis decision will use held-out test accuracy: accuracy greater than 70% will support the alternative hypothesis, while accuracy of 70% or less will fail to support it. Minority-class metrics will also be interpreted because accuracy alone can be misleading for this imbalanced dataset.</w:t>
      </w:r>
    </w:p>
    <w:p w:rsidR="3815B0BF" w:rsidP="3815B0BF" w:rsidRDefault="3815B0BF" w14:paraId="295CAF47" w14:textId="5610767C">
      <w:pPr>
        <w:spacing w:after="0" w:line="240" w:lineRule="auto"/>
        <w:rPr>
          <w:rFonts w:ascii="Verdana" w:hAnsi="Verdana" w:eastAsia="Times New Roman" w:cs="Times New Roman"/>
          <w:sz w:val="20"/>
          <w:szCs w:val="20"/>
        </w:rPr>
      </w:pPr>
    </w:p>
    <w:p w:rsidRPr="00B14CBD" w:rsidR="00335A1F" w:rsidP="3815B0BF" w:rsidRDefault="00335A1F" w14:paraId="7F88EF7E" w14:textId="3600AAFE">
      <w:pPr>
        <w:pStyle w:val="Normal"/>
        <w:spacing w:after="0" w:line="240" w:lineRule="auto"/>
        <w:ind/>
        <w:rPr>
          <w:rFonts w:ascii="Verdana" w:hAnsi="Verdana"/>
          <w:sz w:val="20"/>
          <w:szCs w:val="20"/>
        </w:rPr>
      </w:pPr>
    </w:p>
    <w:p w:rsidR="00C66594" w:rsidP="3815B0BF" w:rsidRDefault="00C66594" w14:paraId="0E86F3EC" w14:textId="3BB81FAC">
      <w:pPr>
        <w:spacing w:after="0" w:line="240" w:lineRule="auto"/>
        <w:rPr>
          <w:rFonts w:ascii="Verdana" w:hAnsi="Verdana" w:eastAsia="Times New Roman" w:cs="Times New Roman"/>
          <w:sz w:val="20"/>
          <w:szCs w:val="20"/>
        </w:rPr>
      </w:pPr>
      <w:r w:rsidRPr="3815B0BF" w:rsidR="00C66594">
        <w:rPr>
          <w:rFonts w:ascii="Verdana" w:hAnsi="Verdana" w:eastAsia="Times New Roman" w:cs="Times New Roman"/>
          <w:b w:val="1"/>
          <w:bCs w:val="1"/>
          <w:sz w:val="20"/>
          <w:szCs w:val="20"/>
        </w:rPr>
        <w:t>Justification of Tools/Techniques:</w:t>
      </w:r>
      <w:r w:rsidRPr="3815B0BF" w:rsidR="00C66594">
        <w:rPr>
          <w:rFonts w:ascii="Verdana" w:hAnsi="Verdana" w:eastAsia="Times New Roman" w:cs="Times New Roman"/>
          <w:sz w:val="20"/>
          <w:szCs w:val="20"/>
        </w:rPr>
        <w:t xml:space="preserve"> </w:t>
      </w:r>
    </w:p>
    <w:p w:rsidR="75ADB957" w:rsidP="3815B0BF" w:rsidRDefault="75ADB957" w14:paraId="26129BE9" w14:textId="54CC75FD">
      <w:pPr>
        <w:spacing w:before="0" w:beforeAutospacing="off" w:after="240" w:afterAutospacing="off"/>
      </w:pPr>
      <w:r w:rsidRPr="3815B0BF" w:rsidR="75ADB957">
        <w:rPr>
          <w:rFonts w:ascii="Verdana" w:hAnsi="Verdana" w:eastAsia="Verdana" w:cs="Verdana"/>
          <w:noProof w:val="0"/>
          <w:sz w:val="20"/>
          <w:szCs w:val="20"/>
          <w:lang w:val="en-US"/>
        </w:rPr>
        <w:t>Binary logistic regression is appropriate because the dependent variable has two possible outcomes and the technique estimates the probability of an event from one or more predictors (Hosmer et al., 2013). Logistic regression also provides coefficients that can be interpreted to describe how encoded sampling characteristics relate to the odds of an Alert or Action result.</w:t>
      </w:r>
    </w:p>
    <w:p w:rsidR="75ADB957" w:rsidP="3815B0BF" w:rsidRDefault="75ADB957" w14:paraId="34A3F578" w14:textId="2DA458BF">
      <w:pPr>
        <w:spacing w:before="240" w:beforeAutospacing="off" w:after="240" w:afterAutospacing="off"/>
      </w:pPr>
      <w:r w:rsidRPr="3815B0BF" w:rsidR="75ADB957">
        <w:rPr>
          <w:rFonts w:ascii="Verdana" w:hAnsi="Verdana" w:eastAsia="Verdana" w:cs="Verdana"/>
          <w:noProof w:val="0"/>
          <w:sz w:val="20"/>
          <w:szCs w:val="20"/>
          <w:lang w:val="en-US"/>
        </w:rPr>
        <w:t>Random forest is appropriate as a comparison model because relationships among the location hierarchy, facility zone, and season may be nonlinear or involve interactions. The dataset is strongly imbalanced, with approximately 96.6% of observations classified as acceptable. Consequently, a classifier that predicts every sample as acceptable could obtain high accuracy while identifying no elevated results. Precision-recall analysis is more informative than receiver operating characteristic analysis when evaluating binary classifiers on highly imbalanced datasets (Saito &amp; Rehmsmeier, 2015). Therefore, accuracy will be used for the hypothesis threshold, but it will be interpreted together with recall, precision, F1-score, the confusion matrix, and precision-recall area under the curve.</w:t>
      </w:r>
    </w:p>
    <w:p w:rsidR="3815B0BF" w:rsidP="3815B0BF" w:rsidRDefault="3815B0BF" w14:paraId="3964CAAF" w14:textId="2607494D">
      <w:pPr>
        <w:spacing w:after="0" w:line="240" w:lineRule="auto"/>
        <w:rPr>
          <w:rFonts w:ascii="Verdana" w:hAnsi="Verdana" w:eastAsia="Times New Roman" w:cs="Times New Roman"/>
          <w:sz w:val="20"/>
          <w:szCs w:val="20"/>
        </w:rPr>
      </w:pPr>
    </w:p>
    <w:p w:rsidRPr="00B14CBD" w:rsidR="00B14CBD" w:rsidP="00C66594" w:rsidRDefault="00B14CBD" w14:paraId="3D3068A1" w14:textId="77777777">
      <w:pPr>
        <w:spacing w:after="0" w:line="240" w:lineRule="auto"/>
        <w:rPr>
          <w:rFonts w:ascii="Verdana" w:hAnsi="Verdana"/>
          <w:b/>
          <w:sz w:val="20"/>
          <w:szCs w:val="20"/>
        </w:rPr>
      </w:pPr>
    </w:p>
    <w:p w:rsidRPr="00B14CBD" w:rsidR="00B14CBD" w:rsidP="00B14CBD" w:rsidRDefault="00C66594" w14:paraId="12E655C8" w14:textId="2B0AB68F">
      <w:pPr>
        <w:spacing w:after="0"/>
        <w:rPr>
          <w:rFonts w:ascii="Verdana" w:hAnsi="Verdana"/>
          <w:sz w:val="20"/>
          <w:szCs w:val="20"/>
        </w:rPr>
      </w:pPr>
      <w:r w:rsidRPr="3815B0BF" w:rsidR="00C66594">
        <w:rPr>
          <w:rFonts w:ascii="Verdana" w:hAnsi="Verdana"/>
          <w:b w:val="1"/>
          <w:bCs w:val="1"/>
          <w:sz w:val="20"/>
          <w:szCs w:val="20"/>
        </w:rPr>
        <w:t>Project Outcomes</w:t>
      </w:r>
      <w:r w:rsidRPr="3815B0BF" w:rsidR="00C66594">
        <w:rPr>
          <w:rFonts w:ascii="Verdana" w:hAnsi="Verdana"/>
          <w:sz w:val="20"/>
          <w:szCs w:val="20"/>
        </w:rPr>
        <w:t xml:space="preserve">: </w:t>
      </w:r>
    </w:p>
    <w:p w:rsidR="7760FF85" w:rsidP="3815B0BF" w:rsidRDefault="7760FF85" w14:paraId="2B1B3F23" w14:textId="3F6DCBB4">
      <w:pPr>
        <w:spacing w:before="0" w:beforeAutospacing="off" w:after="240" w:afterAutospacing="off"/>
      </w:pPr>
      <w:r w:rsidRPr="3815B0BF" w:rsidR="7760FF85">
        <w:rPr>
          <w:rFonts w:ascii="Verdana" w:hAnsi="Verdana" w:eastAsia="Verdana" w:cs="Verdana"/>
          <w:noProof w:val="0"/>
          <w:sz w:val="20"/>
          <w:szCs w:val="20"/>
          <w:lang w:val="en-US"/>
        </w:rPr>
        <w:t>The primary deliverable will be a documented logistic regression classification model and an evaluation showing whether held-out test accuracy exceeds 70%. Dong et al. (2009) developed a logistic regression model to predict bacterial regrowth using heterotrophic plate counts as a binary response variable and reported 90% model performance. This provides empirical support that logistic regression can exceed the proposed 70% threshold when applied to microbial-risk data. However, the present study’s result will be determined independently using the environmental dataset.</w:t>
      </w:r>
    </w:p>
    <w:p w:rsidR="7760FF85" w:rsidP="3815B0BF" w:rsidRDefault="7760FF85" w14:paraId="6A364A74" w14:textId="6BE219BD">
      <w:pPr>
        <w:spacing w:before="240" w:beforeAutospacing="off" w:after="240" w:afterAutospacing="off"/>
      </w:pPr>
      <w:r w:rsidRPr="3815B0BF" w:rsidR="7760FF85">
        <w:rPr>
          <w:rFonts w:ascii="Verdana" w:hAnsi="Verdana" w:eastAsia="Verdana" w:cs="Verdana"/>
          <w:noProof w:val="0"/>
          <w:sz w:val="20"/>
          <w:szCs w:val="20"/>
          <w:lang w:val="en-US"/>
        </w:rPr>
        <w:t>Additional deliverables will include a cleaned analysis dataset, reproducible Python code, exploratory visualizations, a confusion matrix, a precision-recall curve, a comparison with random forest, and a summary of influential predictors. If the model provides useful minority-class recall and precision in addition to exceeding the accuracy threshold, its results may help prioritize cleaning and monitoring in higher-risk locations or periods. If it does not, the project will document the limitations of using the available presampling characteristics for operational prediction.</w:t>
      </w:r>
    </w:p>
    <w:p w:rsidR="3815B0BF" w:rsidP="3815B0BF" w:rsidRDefault="3815B0BF" w14:paraId="1EB294AF" w14:textId="0481B0EE">
      <w:pPr>
        <w:spacing w:after="0"/>
        <w:rPr>
          <w:rFonts w:ascii="Verdana" w:hAnsi="Verdana"/>
          <w:sz w:val="20"/>
          <w:szCs w:val="20"/>
        </w:rPr>
      </w:pPr>
    </w:p>
    <w:p w:rsidRPr="00B14CBD" w:rsidR="00C66594" w:rsidP="00C66594" w:rsidRDefault="00C66594" w14:paraId="47DE421B" w14:textId="77777777">
      <w:pPr>
        <w:spacing w:after="0" w:line="240" w:lineRule="auto"/>
        <w:rPr>
          <w:rFonts w:ascii="Verdana" w:hAnsi="Verdana"/>
          <w:b/>
          <w:sz w:val="20"/>
          <w:szCs w:val="20"/>
        </w:rPr>
      </w:pPr>
    </w:p>
    <w:p w:rsidRPr="00B14CBD" w:rsidR="00C66594" w:rsidP="00C66594" w:rsidRDefault="00C66594" w14:paraId="349AE0B3" w14:textId="5C663058">
      <w:pPr>
        <w:spacing w:after="0" w:line="240" w:lineRule="auto"/>
        <w:rPr>
          <w:rFonts w:ascii="Verdana" w:hAnsi="Verdana"/>
          <w:sz w:val="20"/>
          <w:szCs w:val="20"/>
        </w:rPr>
      </w:pPr>
      <w:r w:rsidRPr="00B14CBD">
        <w:rPr>
          <w:rFonts w:ascii="Verdana" w:hAnsi="Verdana"/>
          <w:b/>
          <w:sz w:val="20"/>
          <w:szCs w:val="20"/>
        </w:rPr>
        <w:t>Projected Project End Date</w:t>
      </w:r>
      <w:r w:rsidRPr="00B14CBD">
        <w:rPr>
          <w:rFonts w:ascii="Verdana" w:hAnsi="Verdana"/>
          <w:sz w:val="20"/>
          <w:szCs w:val="20"/>
        </w:rPr>
        <w:t xml:space="preserve">: </w:t>
      </w:r>
      <w:r w:rsidRPr="00B14CBD" w:rsidR="00B14CBD">
        <w:rPr>
          <w:rFonts w:ascii="Verdana" w:hAnsi="Verdana"/>
          <w:sz w:val="20"/>
          <w:szCs w:val="20"/>
        </w:rPr>
        <w:t>September</w:t>
      </w:r>
      <w:r w:rsidRPr="00B14CBD" w:rsidR="00B14CBD">
        <w:rPr>
          <w:rFonts w:ascii="Verdana" w:hAnsi="Verdana"/>
          <w:sz w:val="20"/>
          <w:szCs w:val="20"/>
        </w:rPr>
        <w:t xml:space="preserve"> </w:t>
      </w:r>
      <w:r w:rsidR="00B14CBD">
        <w:rPr>
          <w:rFonts w:ascii="Verdana" w:hAnsi="Verdana"/>
          <w:sz w:val="20"/>
          <w:szCs w:val="20"/>
        </w:rPr>
        <w:t>5</w:t>
      </w:r>
      <w:r w:rsidRPr="00B14CBD" w:rsidR="00B14CBD">
        <w:rPr>
          <w:rFonts w:ascii="Verdana" w:hAnsi="Verdana"/>
          <w:sz w:val="20"/>
          <w:szCs w:val="20"/>
        </w:rPr>
        <w:t>, 2026</w:t>
      </w:r>
    </w:p>
    <w:p w:rsidRPr="00B14CBD" w:rsidR="00C66594" w:rsidP="00C66594" w:rsidRDefault="00C66594" w14:paraId="34AAF32B" w14:textId="77777777">
      <w:pPr>
        <w:spacing w:after="0" w:line="240" w:lineRule="auto"/>
        <w:rPr>
          <w:rFonts w:ascii="Verdana" w:hAnsi="Verdana"/>
          <w:b/>
          <w:sz w:val="20"/>
          <w:szCs w:val="20"/>
        </w:rPr>
      </w:pPr>
    </w:p>
    <w:p w:rsidRPr="00B14CBD" w:rsidR="00C66594" w:rsidP="00C66594" w:rsidRDefault="00C66594" w14:paraId="1D3F7EAE" w14:textId="3B2A910D">
      <w:pPr>
        <w:spacing w:after="0" w:line="240" w:lineRule="auto"/>
        <w:rPr>
          <w:rFonts w:ascii="Verdana" w:hAnsi="Verdana"/>
          <w:sz w:val="20"/>
          <w:szCs w:val="20"/>
        </w:rPr>
      </w:pPr>
      <w:r w:rsidRPr="3815B0BF" w:rsidR="00C66594">
        <w:rPr>
          <w:rFonts w:ascii="Verdana" w:hAnsi="Verdana"/>
          <w:b w:val="1"/>
          <w:bCs w:val="1"/>
          <w:sz w:val="20"/>
          <w:szCs w:val="20"/>
        </w:rPr>
        <w:t>Sources</w:t>
      </w:r>
      <w:r w:rsidRPr="3815B0BF" w:rsidR="00C66594">
        <w:rPr>
          <w:rFonts w:ascii="Verdana" w:hAnsi="Verdana"/>
          <w:sz w:val="20"/>
          <w:szCs w:val="20"/>
        </w:rPr>
        <w:t xml:space="preserve">: </w:t>
      </w:r>
    </w:p>
    <w:p w:rsidRPr="00B14CBD" w:rsidR="00B14CBD" w:rsidP="3815B0BF" w:rsidRDefault="00B14CBD" w14:paraId="5E2C9E0B" w14:textId="370389FE">
      <w:pPr>
        <w:spacing w:before="0" w:beforeAutospacing="off" w:after="240" w:afterAutospacing="off" w:line="240" w:lineRule="auto"/>
      </w:pPr>
      <w:r w:rsidRPr="3815B0BF" w:rsidR="308E2FAE">
        <w:rPr>
          <w:rFonts w:ascii="Calibri" w:hAnsi="Calibri" w:eastAsia="Calibri" w:cs="Calibri"/>
          <w:b w:val="1"/>
          <w:bCs w:val="1"/>
          <w:noProof w:val="0"/>
          <w:sz w:val="22"/>
          <w:szCs w:val="22"/>
          <w:lang w:val="en-US"/>
        </w:rPr>
        <w:t>Sources:</w:t>
      </w:r>
    </w:p>
    <w:p w:rsidRPr="00B14CBD" w:rsidR="00B14CBD" w:rsidP="3815B0BF" w:rsidRDefault="00B14CBD" w14:paraId="321783B9" w14:textId="67150E10">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Balakier, R. (2026). </w:t>
      </w:r>
      <w:r w:rsidRPr="3815B0BF" w:rsidR="308E2FAE">
        <w:rPr>
          <w:rFonts w:ascii="Calibri" w:hAnsi="Calibri" w:eastAsia="Calibri" w:cs="Calibri"/>
          <w:i w:val="1"/>
          <w:iCs w:val="1"/>
          <w:noProof w:val="0"/>
          <w:sz w:val="22"/>
          <w:szCs w:val="22"/>
          <w:lang w:val="en-US"/>
        </w:rPr>
        <w:t>Environmental monitoring microbial results</w:t>
      </w:r>
      <w:r w:rsidRPr="3815B0BF" w:rsidR="308E2FAE">
        <w:rPr>
          <w:rFonts w:ascii="Calibri" w:hAnsi="Calibri" w:eastAsia="Calibri" w:cs="Calibri"/>
          <w:noProof w:val="0"/>
          <w:sz w:val="22"/>
          <w:szCs w:val="22"/>
          <w:lang w:val="en-US"/>
        </w:rPr>
        <w:t xml:space="preserve"> [Data set]. Kaggle. Retrieved August 30, 2026, from </w:t>
      </w:r>
      <w:hyperlink r:id="Rc436b53c602e4c66">
        <w:r w:rsidRPr="3815B0BF" w:rsidR="308E2FAE">
          <w:rPr>
            <w:rStyle w:val="Hyperlink"/>
            <w:noProof w:val="0"/>
            <w:lang w:val="en-US"/>
          </w:rPr>
          <w:t>https://www.kaggle.com/datasets/robertbalakier/environmental-monitoring-microbial-results</w:t>
        </w:r>
      </w:hyperlink>
    </w:p>
    <w:p w:rsidRPr="00B14CBD" w:rsidR="00B14CBD" w:rsidP="3815B0BF" w:rsidRDefault="00B14CBD" w14:paraId="0E5978C0" w14:textId="47B895B9">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Breiman, L. (2001). Random forests. </w:t>
      </w:r>
      <w:r w:rsidRPr="3815B0BF" w:rsidR="308E2FAE">
        <w:rPr>
          <w:rFonts w:ascii="Calibri" w:hAnsi="Calibri" w:eastAsia="Calibri" w:cs="Calibri"/>
          <w:i w:val="1"/>
          <w:iCs w:val="1"/>
          <w:noProof w:val="0"/>
          <w:sz w:val="22"/>
          <w:szCs w:val="22"/>
          <w:lang w:val="en-US"/>
        </w:rPr>
        <w:t>Machine Learning, 45</w:t>
      </w:r>
      <w:r w:rsidRPr="3815B0BF" w:rsidR="308E2FAE">
        <w:rPr>
          <w:rFonts w:ascii="Calibri" w:hAnsi="Calibri" w:eastAsia="Calibri" w:cs="Calibri"/>
          <w:noProof w:val="0"/>
          <w:sz w:val="22"/>
          <w:szCs w:val="22"/>
          <w:lang w:val="en-US"/>
        </w:rPr>
        <w:t xml:space="preserve">, 5–32. Retrieved August 30, 2026, from </w:t>
      </w:r>
      <w:hyperlink r:id="R49ece48a2fb14df0">
        <w:r w:rsidRPr="3815B0BF" w:rsidR="308E2FAE">
          <w:rPr>
            <w:rStyle w:val="Hyperlink"/>
            <w:noProof w:val="0"/>
            <w:lang w:val="en-US"/>
          </w:rPr>
          <w:t>https://doi.org/10.1023/A:1010933404324</w:t>
        </w:r>
      </w:hyperlink>
    </w:p>
    <w:p w:rsidRPr="00B14CBD" w:rsidR="00B14CBD" w:rsidP="3815B0BF" w:rsidRDefault="00B14CBD" w14:paraId="505029C9" w14:textId="7C5256A2">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Dong, L., Zhao, X., Wu, Q., &amp; Yang, Y. (2009). Logistic regression for prediction and diagnosis of bacterial regrowth in water distribution system. </w:t>
      </w:r>
      <w:r w:rsidRPr="3815B0BF" w:rsidR="308E2FAE">
        <w:rPr>
          <w:rFonts w:ascii="Calibri" w:hAnsi="Calibri" w:eastAsia="Calibri" w:cs="Calibri"/>
          <w:i w:val="1"/>
          <w:iCs w:val="1"/>
          <w:noProof w:val="0"/>
          <w:sz w:val="22"/>
          <w:szCs w:val="22"/>
          <w:lang w:val="en-US"/>
        </w:rPr>
        <w:t>Transactions of Tianjin University, 15</w:t>
      </w:r>
      <w:r w:rsidRPr="3815B0BF" w:rsidR="308E2FAE">
        <w:rPr>
          <w:rFonts w:ascii="Calibri" w:hAnsi="Calibri" w:eastAsia="Calibri" w:cs="Calibri"/>
          <w:noProof w:val="0"/>
          <w:sz w:val="22"/>
          <w:szCs w:val="22"/>
          <w:lang w:val="en-US"/>
        </w:rPr>
        <w:t xml:space="preserve">, 371–374. Retrieved August 30, 2026, from </w:t>
      </w:r>
      <w:hyperlink r:id="R6895a9fd97c24c1b">
        <w:r w:rsidRPr="3815B0BF" w:rsidR="308E2FAE">
          <w:rPr>
            <w:rStyle w:val="Hyperlink"/>
            <w:noProof w:val="0"/>
            <w:lang w:val="en-US"/>
          </w:rPr>
          <w:t>https://doi.org/10.1007/s12209-009-0065-7</w:t>
        </w:r>
      </w:hyperlink>
    </w:p>
    <w:p w:rsidRPr="00B14CBD" w:rsidR="00B14CBD" w:rsidP="3815B0BF" w:rsidRDefault="00B14CBD" w14:paraId="722E6BC7" w14:textId="21AF30D5">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Hosmer, D. W., Lemeshow, S., &amp; Sturdivant, R. X. (2013). </w:t>
      </w:r>
      <w:r w:rsidRPr="3815B0BF" w:rsidR="308E2FAE">
        <w:rPr>
          <w:rFonts w:ascii="Calibri" w:hAnsi="Calibri" w:eastAsia="Calibri" w:cs="Calibri"/>
          <w:i w:val="1"/>
          <w:iCs w:val="1"/>
          <w:noProof w:val="0"/>
          <w:sz w:val="22"/>
          <w:szCs w:val="22"/>
          <w:lang w:val="en-US"/>
        </w:rPr>
        <w:t>Applied logistic regression</w:t>
      </w:r>
      <w:r w:rsidRPr="3815B0BF" w:rsidR="308E2FAE">
        <w:rPr>
          <w:rFonts w:ascii="Calibri" w:hAnsi="Calibri" w:eastAsia="Calibri" w:cs="Calibri"/>
          <w:noProof w:val="0"/>
          <w:sz w:val="22"/>
          <w:szCs w:val="22"/>
          <w:lang w:val="en-US"/>
        </w:rPr>
        <w:t xml:space="preserve"> (3rd ed.). Wiley. Retrieved August 30, 2026, from </w:t>
      </w:r>
      <w:hyperlink r:id="Rb32e746999064468">
        <w:r w:rsidRPr="3815B0BF" w:rsidR="308E2FAE">
          <w:rPr>
            <w:rStyle w:val="Hyperlink"/>
            <w:noProof w:val="0"/>
            <w:lang w:val="en-US"/>
          </w:rPr>
          <w:t>https://doi.org/10.1002/9781118548387</w:t>
        </w:r>
      </w:hyperlink>
    </w:p>
    <w:p w:rsidRPr="00B14CBD" w:rsidR="00B14CBD" w:rsidP="3815B0BF" w:rsidRDefault="00B14CBD" w14:paraId="630BAA5E" w14:textId="1507A5CE">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Saito, T., &amp; Rehmsmeier, M. (2015). The precision-recall plot is more informative than the ROC plot when evaluating binary classifiers on imbalanced datasets. </w:t>
      </w:r>
      <w:r w:rsidRPr="3815B0BF" w:rsidR="308E2FAE">
        <w:rPr>
          <w:rFonts w:ascii="Calibri" w:hAnsi="Calibri" w:eastAsia="Calibri" w:cs="Calibri"/>
          <w:i w:val="1"/>
          <w:iCs w:val="1"/>
          <w:noProof w:val="0"/>
          <w:sz w:val="22"/>
          <w:szCs w:val="22"/>
          <w:lang w:val="en-US"/>
        </w:rPr>
        <w:t>PLOS ONE, 10</w:t>
      </w:r>
      <w:r w:rsidRPr="3815B0BF" w:rsidR="308E2FAE">
        <w:rPr>
          <w:rFonts w:ascii="Calibri" w:hAnsi="Calibri" w:eastAsia="Calibri" w:cs="Calibri"/>
          <w:noProof w:val="0"/>
          <w:sz w:val="22"/>
          <w:szCs w:val="22"/>
          <w:lang w:val="en-US"/>
        </w:rPr>
        <w:t xml:space="preserve">(3), e0118432. Retrieved August 30, 2026, from </w:t>
      </w:r>
      <w:hyperlink r:id="R749d99582ded47a0">
        <w:r w:rsidRPr="3815B0BF" w:rsidR="308E2FAE">
          <w:rPr>
            <w:rStyle w:val="Hyperlink"/>
            <w:noProof w:val="0"/>
            <w:lang w:val="en-US"/>
          </w:rPr>
          <w:t>https://doi.org/10.1371/journal.pone.0118432</w:t>
        </w:r>
      </w:hyperlink>
    </w:p>
    <w:p w:rsidRPr="00B14CBD" w:rsidR="00B14CBD" w:rsidP="3815B0BF" w:rsidRDefault="00B14CBD" w14:paraId="7C28C3BD" w14:textId="6EE28546">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U.S. Food and Drug Administration. (2004). </w:t>
      </w:r>
      <w:r w:rsidRPr="3815B0BF" w:rsidR="308E2FAE">
        <w:rPr>
          <w:rFonts w:ascii="Calibri" w:hAnsi="Calibri" w:eastAsia="Calibri" w:cs="Calibri"/>
          <w:i w:val="1"/>
          <w:iCs w:val="1"/>
          <w:noProof w:val="0"/>
          <w:sz w:val="22"/>
          <w:szCs w:val="22"/>
          <w:lang w:val="en-US"/>
        </w:rPr>
        <w:t>Sterile drug products produced by aseptic processing—Current good manufacturing practice: Guidance for industry</w:t>
      </w:r>
      <w:r w:rsidRPr="3815B0BF" w:rsidR="308E2FAE">
        <w:rPr>
          <w:rFonts w:ascii="Calibri" w:hAnsi="Calibri" w:eastAsia="Calibri" w:cs="Calibri"/>
          <w:noProof w:val="0"/>
          <w:sz w:val="22"/>
          <w:szCs w:val="22"/>
          <w:lang w:val="en-US"/>
        </w:rPr>
        <w:t xml:space="preserve">. Retrieved August 30, 2026, from </w:t>
      </w:r>
      <w:hyperlink r:id="R2460c6c6c92d4fb6">
        <w:r w:rsidRPr="3815B0BF" w:rsidR="308E2FAE">
          <w:rPr>
            <w:rStyle w:val="Hyperlink"/>
            <w:noProof w:val="0"/>
            <w:lang w:val="en-US"/>
          </w:rPr>
          <w:t>https://www.fda.gov/media/71026/download</w:t>
        </w:r>
      </w:hyperlink>
    </w:p>
    <w:p w:rsidRPr="00B14CBD" w:rsidR="00B14CBD" w:rsidP="3815B0BF" w:rsidRDefault="00B14CBD" w14:paraId="751F6E17" w14:textId="1EF49E41">
      <w:pPr>
        <w:spacing w:before="240" w:beforeAutospacing="off" w:after="240" w:afterAutospacing="off" w:line="240" w:lineRule="auto"/>
      </w:pPr>
      <w:r w:rsidRPr="3815B0BF" w:rsidR="308E2FAE">
        <w:rPr>
          <w:rFonts w:ascii="Calibri" w:hAnsi="Calibri" w:eastAsia="Calibri" w:cs="Calibri"/>
          <w:noProof w:val="0"/>
          <w:sz w:val="22"/>
          <w:szCs w:val="22"/>
          <w:lang w:val="en-US"/>
        </w:rPr>
        <w:t xml:space="preserve">Wong, S., Street, D., Delgado, S. I., &amp; Klontz, K. C. (2000). Recalls of foods and cosmetics due to microbial contamination reported to the U.S. Food and Drug Administration. </w:t>
      </w:r>
      <w:r w:rsidRPr="3815B0BF" w:rsidR="308E2FAE">
        <w:rPr>
          <w:rFonts w:ascii="Calibri" w:hAnsi="Calibri" w:eastAsia="Calibri" w:cs="Calibri"/>
          <w:i w:val="1"/>
          <w:iCs w:val="1"/>
          <w:noProof w:val="0"/>
          <w:sz w:val="22"/>
          <w:szCs w:val="22"/>
          <w:lang w:val="en-US"/>
        </w:rPr>
        <w:t>Journal of Food Protection, 63</w:t>
      </w:r>
      <w:r w:rsidRPr="3815B0BF" w:rsidR="308E2FAE">
        <w:rPr>
          <w:rFonts w:ascii="Calibri" w:hAnsi="Calibri" w:eastAsia="Calibri" w:cs="Calibri"/>
          <w:noProof w:val="0"/>
          <w:sz w:val="22"/>
          <w:szCs w:val="22"/>
          <w:lang w:val="en-US"/>
        </w:rPr>
        <w:t xml:space="preserve">(8), 1113–1116. Retrieved August 30, 2026, from </w:t>
      </w:r>
      <w:hyperlink r:id="Rc9ed8df5e9574beb">
        <w:r w:rsidRPr="3815B0BF" w:rsidR="308E2FAE">
          <w:rPr>
            <w:rStyle w:val="Hyperlink"/>
            <w:noProof w:val="0"/>
            <w:lang w:val="en-US"/>
          </w:rPr>
          <w:t>https://doi.org/10.4315/0362-028X-63.8.1113</w:t>
        </w:r>
      </w:hyperlink>
    </w:p>
    <w:p w:rsidRPr="00B14CBD" w:rsidR="00B14CBD" w:rsidP="3815B0BF" w:rsidRDefault="00B14CBD" w14:paraId="66DEC4A1" w14:textId="298A2431">
      <w:pPr>
        <w:spacing w:before="240" w:beforeAutospacing="off" w:after="80" w:afterAutospacing="off" w:line="240" w:lineRule="auto"/>
        <w:ind w:left="0" w:right="0" w:hanging="0"/>
        <w:rPr>
          <w:noProof w:val="0"/>
          <w:lang w:val="en-US"/>
        </w:rPr>
      </w:pPr>
    </w:p>
    <w:p w:rsidRPr="00B14CBD" w:rsidR="00B14CBD" w:rsidP="3815B0BF" w:rsidRDefault="00B14CBD" w14:paraId="1F4415C9" w14:textId="7091E004">
      <w:pPr>
        <w:pStyle w:val="Normal"/>
        <w:spacing w:after="0" w:line="240" w:lineRule="auto"/>
        <w:rPr>
          <w:rFonts w:ascii="Verdana" w:hAnsi="Verdana"/>
          <w:sz w:val="20"/>
          <w:szCs w:val="20"/>
        </w:rPr>
      </w:pPr>
    </w:p>
    <w:p w:rsidRPr="00B14CBD" w:rsidR="00C66594" w:rsidP="00306022" w:rsidRDefault="00E337FF" w14:paraId="174C7664" w14:textId="0EC9C9F3">
      <w:pPr>
        <w:spacing w:after="0" w:line="240" w:lineRule="auto"/>
        <w:rPr>
          <w:rFonts w:ascii="Verdana" w:hAnsi="Verdana"/>
          <w:b/>
          <w:sz w:val="20"/>
          <w:szCs w:val="20"/>
        </w:rPr>
      </w:pPr>
      <w:r w:rsidRPr="00B14CBD">
        <w:rPr>
          <w:rFonts w:ascii="Verdana" w:hAnsi="Verdana"/>
          <w:b/>
          <w:sz w:val="20"/>
          <w:szCs w:val="20"/>
        </w:rPr>
        <w:t xml:space="preserve">   </w:t>
      </w:r>
      <w:r w:rsidRPr="00B14CBD" w:rsidR="00771E84">
        <w:rPr>
          <w:rFonts w:ascii="Verdana" w:hAnsi="Verdana"/>
          <w:b/>
          <w:sz w:val="20"/>
          <w:szCs w:val="20"/>
        </w:rPr>
        <w:t xml:space="preserve">   </w:t>
      </w:r>
    </w:p>
    <w:p w:rsidRPr="00B14CBD" w:rsidR="00C66594" w:rsidP="00C66594" w:rsidRDefault="00C66594" w14:paraId="6B66925F" w14:textId="09DA6C1E">
      <w:pPr>
        <w:spacing w:after="0" w:line="240" w:lineRule="auto"/>
        <w:rPr>
          <w:rFonts w:ascii="Verdana" w:hAnsi="Verdana"/>
          <w:b/>
          <w:sz w:val="20"/>
          <w:szCs w:val="20"/>
        </w:rPr>
      </w:pPr>
      <w:r w:rsidRPr="00B14CBD">
        <w:rPr>
          <w:rFonts w:ascii="Verdana" w:hAnsi="Verdana"/>
          <w:b/>
          <w:sz w:val="20"/>
          <w:szCs w:val="20"/>
        </w:rPr>
        <w:t xml:space="preserve">Instructor Signature/Date:  </w:t>
      </w:r>
    </w:p>
    <w:p w:rsidRPr="00B14CBD" w:rsidR="008F2014" w:rsidP="00C66594" w:rsidRDefault="008F2014" w14:paraId="2163F30E" w14:textId="127036EE">
      <w:pPr>
        <w:spacing w:after="0" w:line="240" w:lineRule="auto"/>
        <w:rPr>
          <w:rFonts w:ascii="Verdana" w:hAnsi="Verdana"/>
          <w:b/>
          <w:sz w:val="20"/>
          <w:szCs w:val="20"/>
        </w:rPr>
      </w:pPr>
    </w:p>
    <w:p w:rsidRPr="00B14CBD" w:rsidR="008F2014" w:rsidP="008F2014" w:rsidRDefault="008F2014" w14:paraId="7E128FF3" w14:textId="77777777">
      <w:pPr>
        <w:spacing w:after="0" w:line="240" w:lineRule="auto"/>
        <w:rPr>
          <w:rFonts w:ascii="Verdana" w:hAnsi="Verdana"/>
          <w:sz w:val="20"/>
          <w:szCs w:val="20"/>
        </w:rPr>
      </w:pPr>
    </w:p>
    <w:p w:rsidRPr="00B14CBD" w:rsidR="008F2014" w:rsidP="008F2014" w:rsidRDefault="00000000" w14:paraId="29294FB2" w14:textId="535638F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sdt>
        <w:sdtPr>
          <w:rPr>
            <w:rFonts w:ascii="Verdana" w:hAnsi="Verdana"/>
            <w:sz w:val="20"/>
            <w:szCs w:val="20"/>
          </w:rPr>
          <w:id w:val="-1870138445"/>
          <w14:checkbox>
            <w14:checked w14:val="0"/>
            <w14:checkedState w14:val="2612" w14:font="MS Gothic"/>
            <w14:uncheckedState w14:val="2610" w14:font="MS Gothic"/>
          </w14:checkbox>
        </w:sdtPr>
        <w:sdtContent>
          <w:r w:rsidRPr="00B14CBD" w:rsidR="00EF49D0">
            <w:rPr>
              <w:rFonts w:ascii="Segoe UI Symbol" w:hAnsi="Segoe UI Symbol" w:eastAsia="MS Gothic" w:cs="Segoe UI Symbol"/>
              <w:sz w:val="20"/>
              <w:szCs w:val="20"/>
            </w:rPr>
            <w:t>☐</w:t>
          </w:r>
        </w:sdtContent>
      </w:sdt>
      <w:r w:rsidRPr="00B14CBD" w:rsidR="008F2014">
        <w:rPr>
          <w:rFonts w:ascii="Verdana" w:hAnsi="Verdana"/>
          <w:sz w:val="20"/>
          <w:szCs w:val="20"/>
        </w:rPr>
        <w:t xml:space="preserve"> The research is exempt from an IRB Review.</w:t>
      </w:r>
    </w:p>
    <w:p w:rsidRPr="00B14CBD" w:rsidR="008F2014" w:rsidP="008F2014" w:rsidRDefault="008F2014" w14:paraId="30E3213A"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Pr="00B14CBD" w:rsidR="008F2014" w:rsidP="008F2014" w:rsidRDefault="00000000" w14:paraId="147E8571"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Pr="00B14CBD" w:rsidR="008F2014">
            <w:rPr>
              <w:rFonts w:ascii="Segoe UI Symbol" w:hAnsi="Segoe UI Symbol" w:eastAsia="MS Gothic" w:cs="Segoe UI Symbol"/>
              <w:sz w:val="20"/>
              <w:szCs w:val="20"/>
            </w:rPr>
            <w:t>☐</w:t>
          </w:r>
        </w:sdtContent>
      </w:sdt>
      <w:r w:rsidRPr="00B14CBD" w:rsidR="008F2014">
        <w:rPr>
          <w:rFonts w:ascii="Verdana" w:hAnsi="Verdana"/>
          <w:sz w:val="20"/>
          <w:szCs w:val="20"/>
        </w:rPr>
        <w:t xml:space="preserve"> An IRB approval is in place (provide proof in appendix B).</w:t>
      </w:r>
    </w:p>
    <w:p w:rsidRPr="00B14CBD" w:rsidR="008F2014" w:rsidP="008F2014" w:rsidRDefault="008F2014" w14:paraId="54D1EB95"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Pr="00B14CBD" w:rsidR="008F2014" w:rsidP="008F2014" w:rsidRDefault="00EA5DF5" w14:paraId="1447A16D" w14:textId="14833F04">
      <w:pPr>
        <w:pBdr>
          <w:top w:val="single" w:color="auto" w:sz="4" w:space="1"/>
          <w:left w:val="single" w:color="auto" w:sz="4" w:space="4"/>
          <w:bottom w:val="single" w:color="auto" w:sz="4" w:space="1"/>
          <w:right w:val="single" w:color="auto" w:sz="4" w:space="4"/>
        </w:pBdr>
        <w:spacing w:after="0" w:line="240" w:lineRule="auto"/>
        <w:rPr>
          <w:rStyle w:val="PlaceholderText"/>
          <w:rFonts w:ascii="Verdana" w:hAnsi="Verdana"/>
          <w:sz w:val="20"/>
          <w:szCs w:val="20"/>
        </w:rPr>
      </w:pPr>
      <w:r w:rsidRPr="00B14CBD">
        <w:rPr>
          <w:rFonts w:ascii="Verdana" w:hAnsi="Verdana"/>
          <w:sz w:val="20"/>
          <w:szCs w:val="20"/>
        </w:rPr>
        <w:t xml:space="preserve">Instructor's </w:t>
      </w:r>
      <w:r w:rsidRPr="00B14CBD" w:rsidR="008F2014">
        <w:rPr>
          <w:rFonts w:ascii="Verdana" w:hAnsi="Verdana"/>
          <w:sz w:val="20"/>
          <w:szCs w:val="20"/>
        </w:rPr>
        <w:t xml:space="preserve">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Pr="00B14CBD" w:rsidR="00C61B51">
            <w:rPr>
              <w:rStyle w:val="PlaceholderText"/>
              <w:rFonts w:ascii="Verdana" w:hAnsi="Verdana"/>
              <w:sz w:val="20"/>
              <w:szCs w:val="20"/>
            </w:rPr>
            <w:t>Approved</w:t>
          </w:r>
        </w:sdtContent>
      </w:sdt>
    </w:p>
    <w:p w:rsidRPr="00B14CBD" w:rsidR="008F2014" w:rsidP="008F2014" w:rsidRDefault="008F2014" w14:paraId="1B089476"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Pr="00B14CBD" w:rsidR="008F2014" w:rsidP="008F2014" w:rsidRDefault="008F2014" w14:paraId="33343FBF"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r w:rsidRPr="00B14CBD">
        <w:rPr>
          <w:rFonts w:ascii="Verdana" w:hAnsi="Verdana"/>
          <w:sz w:val="20"/>
          <w:szCs w:val="20"/>
        </w:rPr>
        <w:t xml:space="preserve">Date: </w:t>
      </w:r>
      <w:sdt>
        <w:sdtPr>
          <w:rPr>
            <w:rFonts w:ascii="Verdana" w:hAnsi="Verdana"/>
            <w:sz w:val="20"/>
            <w:szCs w:val="20"/>
          </w:rPr>
          <w:id w:val="-714280384"/>
          <w:placeholder>
            <w:docPart w:val="3AEB246CBBC840F79557218FF7EF8EDD"/>
          </w:placeholder>
          <w:showingPlcHdr/>
          <w:date>
            <w:dateFormat w:val="M/d/yyyy"/>
            <w:lid w:val="en-US"/>
            <w:storeMappedDataAs w:val="dateTime"/>
            <w:calendar w:val="gregorian"/>
          </w:date>
        </w:sdtPr>
        <w:sdtContent>
          <w:r w:rsidRPr="00B14CBD">
            <w:rPr>
              <w:rStyle w:val="PlaceholderText"/>
              <w:rFonts w:ascii="Verdana" w:hAnsi="Verdana"/>
              <w:sz w:val="20"/>
              <w:szCs w:val="20"/>
            </w:rPr>
            <w:t>Click here to enter a date.</w:t>
          </w:r>
        </w:sdtContent>
      </w:sdt>
    </w:p>
    <w:p w:rsidRPr="00B14CBD" w:rsidR="008F2014" w:rsidP="008F2014" w:rsidRDefault="008F2014" w14:paraId="767E43CC"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Pr="00B14CBD" w:rsidR="008F2014" w:rsidP="008F2014" w:rsidRDefault="008F2014" w14:paraId="64FBD8E7" w14:textId="4345D3E9">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r w:rsidRPr="00B14CBD">
        <w:rPr>
          <w:rFonts w:ascii="Verdana" w:hAnsi="Verdana"/>
          <w:sz w:val="20"/>
          <w:szCs w:val="20"/>
        </w:rPr>
        <w:t xml:space="preserve">Reviewed by: </w:t>
      </w:r>
    </w:p>
    <w:p w:rsidRPr="00B14CBD" w:rsidR="008F2014" w:rsidP="008F2014" w:rsidRDefault="008F2014" w14:paraId="2CBCF00F"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Pr="00B14CBD" w:rsidR="008F2014" w:rsidP="008F2014" w:rsidRDefault="008F2014" w14:paraId="675236A1"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r w:rsidRPr="00B14CBD">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sidRPr="00B14CBD">
            <w:rPr>
              <w:rStyle w:val="PlaceholderText"/>
              <w:rFonts w:ascii="Verdana" w:hAnsi="Verdana"/>
              <w:sz w:val="20"/>
              <w:szCs w:val="20"/>
            </w:rPr>
            <w:t>Click here to enter text.</w:t>
          </w:r>
        </w:sdtContent>
      </w:sdt>
    </w:p>
    <w:p w:rsidRPr="00B14CBD" w:rsidR="008F2014" w:rsidP="008F2014" w:rsidRDefault="008F2014" w14:paraId="1344BB34" w14:textId="77777777">
      <w:pPr>
        <w:spacing w:after="0" w:line="240" w:lineRule="auto"/>
        <w:rPr>
          <w:rFonts w:ascii="Verdana" w:hAnsi="Verdana"/>
          <w:b/>
          <w:sz w:val="20"/>
          <w:szCs w:val="20"/>
        </w:rPr>
      </w:pPr>
    </w:p>
    <w:sectPr w:rsidRPr="00B14CBD" w:rsidR="008F2014" w:rsidSect="00926D6B">
      <w:pgSz w:w="12240" w:h="15840" w:orient="portrait"/>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D4A6DD9"/>
    <w:multiLevelType w:val="hybridMultilevel"/>
    <w:tmpl w:val="FAF88114"/>
    <w:lvl w:ilvl="0" w:tplc="1A907AAE">
      <w:numFmt w:val="bullet"/>
      <w:lvlText w:val="-"/>
      <w:lvlJc w:val="left"/>
      <w:pPr>
        <w:ind w:left="1080" w:hanging="360"/>
      </w:pPr>
      <w:rPr>
        <w:rFonts w:hint="default" w:ascii="Calibri" w:hAnsi="Calibri" w:cs="Calibri" w:eastAsiaTheme="minorEastAsia"/>
        <w:sz w:val="2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913976">
    <w:abstractNumId w:val="0"/>
  </w:num>
  <w:num w:numId="2" w16cid:durableId="1474444742">
    <w:abstractNumId w:val="2"/>
  </w:num>
  <w:num w:numId="3" w16cid:durableId="173260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dirty"/>
  <w:trackRevisions w:val="fals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ytzA1MjA0sjCxNDJT0lEKTi0uzszPAykwrAUAqgV/aiwAAAA="/>
  </w:docVars>
  <w:rsids>
    <w:rsidRoot w:val="00C66594"/>
    <w:rsid w:val="00000000"/>
    <w:rsid w:val="0004042D"/>
    <w:rsid w:val="00085722"/>
    <w:rsid w:val="000C3DB1"/>
    <w:rsid w:val="000C719D"/>
    <w:rsid w:val="000D753C"/>
    <w:rsid w:val="000F1192"/>
    <w:rsid w:val="000F24E2"/>
    <w:rsid w:val="0016032D"/>
    <w:rsid w:val="001A3060"/>
    <w:rsid w:val="001C7686"/>
    <w:rsid w:val="002809BE"/>
    <w:rsid w:val="00306022"/>
    <w:rsid w:val="00326ADA"/>
    <w:rsid w:val="00335A1F"/>
    <w:rsid w:val="00383724"/>
    <w:rsid w:val="003D5154"/>
    <w:rsid w:val="003E3DDA"/>
    <w:rsid w:val="004A0AAE"/>
    <w:rsid w:val="0051727A"/>
    <w:rsid w:val="00521738"/>
    <w:rsid w:val="00595B4A"/>
    <w:rsid w:val="005B4AB1"/>
    <w:rsid w:val="005E5B8E"/>
    <w:rsid w:val="0064693A"/>
    <w:rsid w:val="006B6D61"/>
    <w:rsid w:val="006E3BB9"/>
    <w:rsid w:val="006F351D"/>
    <w:rsid w:val="006F3A39"/>
    <w:rsid w:val="0070110C"/>
    <w:rsid w:val="00771E84"/>
    <w:rsid w:val="007E0607"/>
    <w:rsid w:val="008F2014"/>
    <w:rsid w:val="008F7EF7"/>
    <w:rsid w:val="009155DF"/>
    <w:rsid w:val="00926D6B"/>
    <w:rsid w:val="0092705C"/>
    <w:rsid w:val="009602F2"/>
    <w:rsid w:val="00987588"/>
    <w:rsid w:val="009D175B"/>
    <w:rsid w:val="00A41C69"/>
    <w:rsid w:val="00A507BD"/>
    <w:rsid w:val="00A95AF8"/>
    <w:rsid w:val="00A9627A"/>
    <w:rsid w:val="00AB334F"/>
    <w:rsid w:val="00B14CBD"/>
    <w:rsid w:val="00B27303"/>
    <w:rsid w:val="00B73B9F"/>
    <w:rsid w:val="00BD7FD3"/>
    <w:rsid w:val="00C52C84"/>
    <w:rsid w:val="00C61B51"/>
    <w:rsid w:val="00C66594"/>
    <w:rsid w:val="00C97E9C"/>
    <w:rsid w:val="00CB49F0"/>
    <w:rsid w:val="00D425A7"/>
    <w:rsid w:val="00D510F4"/>
    <w:rsid w:val="00DF06A2"/>
    <w:rsid w:val="00E042F3"/>
    <w:rsid w:val="00E20946"/>
    <w:rsid w:val="00E337FF"/>
    <w:rsid w:val="00E36FBC"/>
    <w:rsid w:val="00E44E81"/>
    <w:rsid w:val="00E94DF2"/>
    <w:rsid w:val="00EA5DF5"/>
    <w:rsid w:val="00EF49D0"/>
    <w:rsid w:val="00F05749"/>
    <w:rsid w:val="00F17E46"/>
    <w:rsid w:val="00F667E6"/>
    <w:rsid w:val="00FB6BB1"/>
    <w:rsid w:val="00FE5781"/>
    <w:rsid w:val="054B2591"/>
    <w:rsid w:val="08F632DB"/>
    <w:rsid w:val="0D542512"/>
    <w:rsid w:val="111E44FA"/>
    <w:rsid w:val="15955055"/>
    <w:rsid w:val="15955055"/>
    <w:rsid w:val="1A4C408A"/>
    <w:rsid w:val="1E851BB6"/>
    <w:rsid w:val="22F7E536"/>
    <w:rsid w:val="237B81E3"/>
    <w:rsid w:val="250F4C26"/>
    <w:rsid w:val="265344FE"/>
    <w:rsid w:val="275D4318"/>
    <w:rsid w:val="2B0DCF03"/>
    <w:rsid w:val="2C418A0A"/>
    <w:rsid w:val="2DCEA161"/>
    <w:rsid w:val="2ECE8659"/>
    <w:rsid w:val="308E2FAE"/>
    <w:rsid w:val="358273BF"/>
    <w:rsid w:val="3815B0BF"/>
    <w:rsid w:val="3BFA740C"/>
    <w:rsid w:val="3C71A720"/>
    <w:rsid w:val="3E75862C"/>
    <w:rsid w:val="4362DDEB"/>
    <w:rsid w:val="4462FC69"/>
    <w:rsid w:val="45ED458C"/>
    <w:rsid w:val="4A0F0B78"/>
    <w:rsid w:val="4B4F8064"/>
    <w:rsid w:val="4C53BDC8"/>
    <w:rsid w:val="4D470594"/>
    <w:rsid w:val="4FDC179E"/>
    <w:rsid w:val="4FDCC529"/>
    <w:rsid w:val="4FDCC529"/>
    <w:rsid w:val="51CA2CCA"/>
    <w:rsid w:val="547E2036"/>
    <w:rsid w:val="550171A2"/>
    <w:rsid w:val="5543442B"/>
    <w:rsid w:val="5672EDE7"/>
    <w:rsid w:val="58181473"/>
    <w:rsid w:val="58181473"/>
    <w:rsid w:val="58BAADDA"/>
    <w:rsid w:val="5B54D790"/>
    <w:rsid w:val="5D8B5F68"/>
    <w:rsid w:val="5EB17E73"/>
    <w:rsid w:val="5F645029"/>
    <w:rsid w:val="64722688"/>
    <w:rsid w:val="6604378B"/>
    <w:rsid w:val="6A8E4C77"/>
    <w:rsid w:val="6AFB20CF"/>
    <w:rsid w:val="6D67E0DF"/>
    <w:rsid w:val="7215B149"/>
    <w:rsid w:val="72448CF8"/>
    <w:rsid w:val="726DD372"/>
    <w:rsid w:val="734C431F"/>
    <w:rsid w:val="75ADB957"/>
    <w:rsid w:val="7760FF85"/>
    <w:rsid w:val="78DBB57C"/>
    <w:rsid w:val="7B49B4F1"/>
    <w:rsid w:val="7F0CBA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2299164C-1B01-47EA-BD92-E0EFE154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6594"/>
    <w:pPr>
      <w:spacing w:after="200" w:line="276" w:lineRule="auto"/>
    </w:pPr>
    <w:rPr>
      <w:rFonts w:eastAsiaTheme="minorEastAsia"/>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semiHidden/>
    <w:unhideWhenUsed/>
    <w:rsid w:val="000F1192"/>
    <w:pPr>
      <w:spacing w:before="100" w:beforeAutospacing="1" w:after="100" w:afterAutospacing="1" w:line="240" w:lineRule="auto"/>
    </w:pPr>
    <w:rPr>
      <w:rFonts w:ascii="Times New Roman" w:hAnsi="Times New Roman" w:eastAsia="Times New Roman" w:cs="Times New Roman"/>
      <w:sz w:val="24"/>
      <w:szCs w:val="24"/>
    </w:rPr>
  </w:style>
  <w:style w:type="paragraph" w:styleId="Revision">
    <w:name w:val="Revision"/>
    <w:hidden/>
    <w:uiPriority w:val="99"/>
    <w:semiHidden/>
    <w:rsid w:val="00EA5DF5"/>
    <w:pPr>
      <w:spacing w:after="0" w:line="240" w:lineRule="auto"/>
    </w:pPr>
    <w:rPr>
      <w:rFonts w:eastAsiaTheme="minorEastAsia"/>
    </w:rPr>
  </w:style>
  <w:style w:type="character" w:styleId="CommentReference">
    <w:name w:val="annotation reference"/>
    <w:basedOn w:val="DefaultParagraphFont"/>
    <w:uiPriority w:val="99"/>
    <w:semiHidden/>
    <w:unhideWhenUsed/>
    <w:rsid w:val="00EA5DF5"/>
    <w:rPr>
      <w:sz w:val="16"/>
      <w:szCs w:val="16"/>
    </w:rPr>
  </w:style>
  <w:style w:type="paragraph" w:styleId="CommentText">
    <w:name w:val="annotation text"/>
    <w:basedOn w:val="Normal"/>
    <w:link w:val="CommentTextChar"/>
    <w:uiPriority w:val="99"/>
    <w:unhideWhenUsed/>
    <w:rsid w:val="00EA5DF5"/>
    <w:pPr>
      <w:spacing w:line="240" w:lineRule="auto"/>
    </w:pPr>
    <w:rPr>
      <w:sz w:val="20"/>
      <w:szCs w:val="20"/>
    </w:rPr>
  </w:style>
  <w:style w:type="character" w:styleId="CommentTextChar" w:customStyle="1">
    <w:name w:val="Comment Text Char"/>
    <w:basedOn w:val="DefaultParagraphFont"/>
    <w:link w:val="CommentText"/>
    <w:uiPriority w:val="99"/>
    <w:rsid w:val="00EA5DF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A5DF5"/>
    <w:rPr>
      <w:b/>
      <w:bCs/>
    </w:rPr>
  </w:style>
  <w:style w:type="character" w:styleId="CommentSubjectChar" w:customStyle="1">
    <w:name w:val="Comment Subject Char"/>
    <w:basedOn w:val="CommentTextChar"/>
    <w:link w:val="CommentSubject"/>
    <w:uiPriority w:val="99"/>
    <w:semiHidden/>
    <w:rsid w:val="00EA5DF5"/>
    <w:rPr>
      <w:rFonts w:eastAsiaTheme="minorEastAsia"/>
      <w:b/>
      <w:bCs/>
      <w:sz w:val="20"/>
      <w:szCs w:val="20"/>
    </w:rPr>
  </w:style>
  <w:style w:type="character" w:styleId="UnresolvedMention">
    <w:name w:val="Unresolved Mention"/>
    <w:basedOn w:val="DefaultParagraphFont"/>
    <w:uiPriority w:val="99"/>
    <w:semiHidden/>
    <w:unhideWhenUsed/>
    <w:rsid w:val="00335A1F"/>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hyperlink" Target="https://www.kaggle.com/datasets/robertbalakier/environmental-monitoring-microbial-results" TargetMode="External" Id="R5a3cb565398540aa" /><Relationship Type="http://schemas.openxmlformats.org/officeDocument/2006/relationships/hyperlink" Target="https://www.kaggle.com/datasets/robertbalakier/environmental-monitoring-microbial-results" TargetMode="External" Id="Rc436b53c602e4c66" /><Relationship Type="http://schemas.openxmlformats.org/officeDocument/2006/relationships/hyperlink" Target="https://doi.org/10.1023/A:1010933404324" TargetMode="External" Id="R49ece48a2fb14df0" /><Relationship Type="http://schemas.openxmlformats.org/officeDocument/2006/relationships/hyperlink" Target="https://doi.org/10.1007/s12209-009-0065-7" TargetMode="External" Id="R6895a9fd97c24c1b" /><Relationship Type="http://schemas.openxmlformats.org/officeDocument/2006/relationships/hyperlink" Target="https://doi.org/10.1002/9781118548387" TargetMode="External" Id="Rb32e746999064468" /><Relationship Type="http://schemas.openxmlformats.org/officeDocument/2006/relationships/hyperlink" Target="https://doi.org/10.1371/journal.pone.0118432" TargetMode="External" Id="R749d99582ded47a0" /><Relationship Type="http://schemas.openxmlformats.org/officeDocument/2006/relationships/hyperlink" Target="https://www.fda.gov/media/71026/download" TargetMode="External" Id="R2460c6c6c92d4fb6" /><Relationship Type="http://schemas.openxmlformats.org/officeDocument/2006/relationships/hyperlink" Target="https://doi.org/10.4315/0362-028X-63.8.1113" TargetMode="External" Id="Rc9ed8df5e9574beb"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P="0010479F" w:rsidRDefault="0010479F">
          <w:pPr>
            <w:pStyle w:val="0BAAF023ACD844E8A8D3164F02751CCF1"/>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P="00463AF9" w:rsidRDefault="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P="0010479F" w:rsidRDefault="0010479F">
          <w:pPr>
            <w:pStyle w:val="8CB853E649D741DCB2883B2433A617F9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P="0010479F" w:rsidRDefault="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P="0010479F" w:rsidRDefault="0010479F">
          <w:pPr>
            <w:pStyle w:val="E89256DBFBB64872BCE0D4ABB0324F1B1"/>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P="0010479F" w:rsidRDefault="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P="0010479F" w:rsidRDefault="0010479F">
          <w:pPr>
            <w:pStyle w:val="922B9D6285FD4CF4B29BCA7E98583AC4"/>
          </w:pPr>
          <w:r>
            <w:rPr>
              <w:rStyle w:val="PlaceholderText"/>
              <w:rFonts w:ascii="Verdana" w:hAnsi="Verdana"/>
              <w:sz w:val="20"/>
              <w:szCs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964F3"/>
    <w:rsid w:val="0010479F"/>
    <w:rsid w:val="0014313E"/>
    <w:rsid w:val="00255931"/>
    <w:rsid w:val="002809BE"/>
    <w:rsid w:val="002872F3"/>
    <w:rsid w:val="00383724"/>
    <w:rsid w:val="003B6597"/>
    <w:rsid w:val="003F6E91"/>
    <w:rsid w:val="00463AF9"/>
    <w:rsid w:val="0051727A"/>
    <w:rsid w:val="00532B5E"/>
    <w:rsid w:val="00595B4A"/>
    <w:rsid w:val="00632E0B"/>
    <w:rsid w:val="006B6D61"/>
    <w:rsid w:val="007A1C6D"/>
    <w:rsid w:val="00876AE8"/>
    <w:rsid w:val="008B7825"/>
    <w:rsid w:val="00937A79"/>
    <w:rsid w:val="00A13B60"/>
    <w:rsid w:val="00A31B32"/>
    <w:rsid w:val="00B23326"/>
    <w:rsid w:val="00B73B9F"/>
    <w:rsid w:val="00BD6C1D"/>
    <w:rsid w:val="00D510F4"/>
    <w:rsid w:val="00E44E81"/>
    <w:rsid w:val="00F33C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313E"/>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1578984DA03B4FD691375605FBFB512B1">
    <w:name w:val="1578984DA03B4FD691375605FBFB512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ABBC2778A02E43AFBC10C7DCDF0AEEE2">
    <w:name w:val="ABBC2778A02E43AFBC10C7DCDF0AEEE2"/>
    <w:rsid w:val="0010479F"/>
  </w:style>
  <w:style w:type="paragraph" w:customStyle="1" w:styleId="E5745951B67947CE9881B5D41C7018B4">
    <w:name w:val="E5745951B67947CE9881B5D41C7018B4"/>
    <w:rsid w:val="0010479F"/>
  </w:style>
  <w:style w:type="paragraph" w:customStyle="1" w:styleId="DF0E86D872DF4AC6849B0684CF99403F">
    <w:name w:val="DF0E86D872DF4AC6849B0684CF99403F"/>
    <w:rsid w:val="0010479F"/>
  </w:style>
  <w:style w:type="paragraph" w:customStyle="1" w:styleId="3C1DC677506643058682475018835F44">
    <w:name w:val="3C1DC677506643058682475018835F44"/>
    <w:rsid w:val="0010479F"/>
  </w:style>
  <w:style w:type="paragraph" w:customStyle="1" w:styleId="15A163AEA39F49E595E11272936F6122">
    <w:name w:val="15A163AEA39F49E595E11272936F6122"/>
    <w:rsid w:val="0014313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2.xml><?xml version="1.0" encoding="utf-8"?>
<ds:datastoreItem xmlns:ds="http://schemas.openxmlformats.org/officeDocument/2006/customXml" ds:itemID="{0F0F156B-C756-4373-AC91-BDF9BFC8F4F1}">
  <ds:schemaRefs>
    <ds:schemaRef ds:uri="http://schemas.microsoft.com/sharepoint/v3/contenttype/forms"/>
  </ds:schemaRefs>
</ds:datastoreItem>
</file>

<file path=customXml/itemProps3.xml><?xml version="1.0" encoding="utf-8"?>
<ds:datastoreItem xmlns:ds="http://schemas.openxmlformats.org/officeDocument/2006/customXml" ds:itemID="{F9A83B40-A501-4226-B34A-63D8191B9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Melick</dc:creator>
  <keywords/>
  <dc:description/>
  <lastModifiedBy>Robert Balakier</lastModifiedBy>
  <revision>5</revision>
  <dcterms:created xsi:type="dcterms:W3CDTF">2024-09-12T14:54:00.0000000Z</dcterms:created>
  <dcterms:modified xsi:type="dcterms:W3CDTF">2026-08-30T02:54:36.9187949Z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y fmtid="{D5CDD505-2E9C-101B-9397-08002B2CF9AE}" pid="4" name="MSIP_Label_b1f34ead-50a3-4950-8a39-fca3a33c48cb_Enabled">
    <vt:lpwstr>true</vt:lpwstr>
  </property>
  <property fmtid="{D5CDD505-2E9C-101B-9397-08002B2CF9AE}" pid="5" name="MSIP_Label_b1f34ead-50a3-4950-8a39-fca3a33c48cb_SetDate">
    <vt:lpwstr>2026-08-26T18:00:55Z</vt:lpwstr>
  </property>
  <property fmtid="{D5CDD505-2E9C-101B-9397-08002B2CF9AE}" pid="6" name="MSIP_Label_b1f34ead-50a3-4950-8a39-fca3a33c48cb_Method">
    <vt:lpwstr>Standard</vt:lpwstr>
  </property>
  <property fmtid="{D5CDD505-2E9C-101B-9397-08002B2CF9AE}" pid="7" name="MSIP_Label_b1f34ead-50a3-4950-8a39-fca3a33c48cb_Name">
    <vt:lpwstr>Confidential</vt:lpwstr>
  </property>
  <property fmtid="{D5CDD505-2E9C-101B-9397-08002B2CF9AE}" pid="8" name="MSIP_Label_b1f34ead-50a3-4950-8a39-fca3a33c48cb_SiteId">
    <vt:lpwstr>0c5638da-d686-4d6a-8df4-e0552c70cb17</vt:lpwstr>
  </property>
  <property fmtid="{D5CDD505-2E9C-101B-9397-08002B2CF9AE}" pid="9" name="MSIP_Label_b1f34ead-50a3-4950-8a39-fca3a33c48cb_ActionId">
    <vt:lpwstr>8a8dc779-483e-4514-8cc0-f8f094fae818</vt:lpwstr>
  </property>
  <property fmtid="{D5CDD505-2E9C-101B-9397-08002B2CF9AE}" pid="10" name="MSIP_Label_b1f34ead-50a3-4950-8a39-fca3a33c48cb_ContentBits">
    <vt:lpwstr>0</vt:lpwstr>
  </property>
  <property fmtid="{D5CDD505-2E9C-101B-9397-08002B2CF9AE}" pid="11" name="MSIP_Label_b1f34ead-50a3-4950-8a39-fca3a33c48cb_Tag">
    <vt:lpwstr>10, 3, 0, 1</vt:lpwstr>
  </property>
</Properties>
</file>