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 xml:space="preserve">of interest to fleet managers who want to monitor their placement, </w:t>
      </w:r>
      <w:r>
        <w:rPr>
          <w:rFonts w:eastAsia="Noto Serif CJK SC" w:cs="Lohit Devanagari"/>
          <w:color w:val="auto"/>
          <w:kern w:val="2"/>
          <w:sz w:val="24"/>
          <w:szCs w:val="24"/>
          <w:lang w:val="en-US" w:eastAsia="zh-CN" w:bidi="hi-IN"/>
        </w:rPr>
        <w:t>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w:t>
      </w:r>
      <w:r>
        <w:rPr/>
        <w:t>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 xml:space="preserve">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w:t>
      </w:r>
      <w:r>
        <w:rPr>
          <w:b w:val="false"/>
          <w:i w:val="false"/>
          <w:caps w:val="false"/>
          <w:smallCaps w:val="false"/>
          <w:spacing w:val="0"/>
        </w:rPr>
        <w:t>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 xml:space="preserve">Overview </w:t>
      </w:r>
      <w:r>
        <w:rPr>
          <w:i/>
          <w:iCs/>
        </w:rPr>
        <w:t xml:space="preserve">of the </w:t>
      </w:r>
      <w:r>
        <w:rPr>
          <w:i/>
          <w:iCs/>
        </w:rPr>
        <w:t>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r>
      <w:r>
        <w:rPr>
          <w:b w:val="false"/>
          <w:i w:val="false"/>
          <w:iCs w:val="false"/>
          <w:caps w:val="false"/>
          <w:smallCaps w:val="false"/>
          <w:spacing w:val="0"/>
        </w:rPr>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pPr>
      <w:r>
        <w:rPr>
          <w:b w:val="false"/>
          <w:bCs w:val="false"/>
          <w:i w:val="false"/>
          <w:iCs w:val="false"/>
        </w:rPr>
        <w:tab/>
        <w:t>Before starting with the pipeline’s steps, it must be mentioned the unsuccessful initial attempts at detecting the text in the image. 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pPr>
      <w:r>
        <w:rPr>
          <w:b w:val="false"/>
          <w:bCs w:val="false"/>
          <w:i w:val="false"/>
          <w:iCs w:val="false"/>
        </w:rPr>
        <w:tab/>
        <w:t>Then I tried further by applying Canny Edge Detector [TODO: cite]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pPr>
      <w:r>
        <w:rPr>
          <w:b w:val="false"/>
          <w:bCs w:val="false"/>
          <w:i w:val="false"/>
          <w:iCs w:val="false"/>
        </w:rPr>
        <w:tab/>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pPr>
      <w:r>
        <w:rPr>
          <w:b w:val="false"/>
          <w:bCs w:val="false"/>
          <w:i w:val="false"/>
          <w:iCs w:val="false"/>
        </w:rPr>
        <w:tab/>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w:t>
      </w:r>
      <w:r>
        <w:rPr>
          <w:b w:val="false"/>
          <w:bCs w:val="false"/>
        </w:rPr>
        <w:t xml:space="preserve">the developing environment and </w:t>
      </w:r>
      <w:r>
        <w:rPr>
          <w:b w:val="false"/>
          <w:bCs w:val="false"/>
        </w:rPr>
        <w:t>librar</w:t>
      </w:r>
      <w:r>
        <w:rPr>
          <w:b w:val="false"/>
          <w:bCs w:val="false"/>
        </w:rPr>
        <w:t>ies used. I chose to develop the pipeline in python</w:t>
      </w:r>
      <w:r>
        <w:rPr>
          <w:b w:val="false"/>
          <w:bCs w:val="false"/>
        </w:rPr>
        <w:t>3</w:t>
      </w:r>
      <w:r>
        <w:rPr>
          <w:b w:val="false"/>
          <w:bCs w:val="false"/>
        </w:rPr>
        <w:t xml:space="preserve"> </w:t>
      </w:r>
      <w:r>
        <w:rPr>
          <w:b w:val="false"/>
          <w:bCs w:val="false"/>
        </w:rPr>
        <w:t xml:space="preserve">\ref{site:python-about-page} </w:t>
      </w:r>
      <w:r>
        <w:rPr>
          <w:b w:val="false"/>
          <w:bCs w:val="false"/>
        </w:rPr>
        <w:t>as it provide</w:t>
      </w:r>
      <w:r>
        <w:rPr>
          <w:b w:val="false"/>
          <w:bCs w:val="false"/>
        </w:rPr>
        <w:t>s</w:t>
      </w:r>
      <w:r>
        <w:rPr>
          <w:b w:val="false"/>
          <w:bCs w:val="false"/>
        </w:rPr>
        <w:t xml:space="preserve"> easy access to the OpenCV </w:t>
      </w:r>
      <w:r>
        <w:rPr>
          <w:b w:val="false"/>
          <w:bCs w:val="false"/>
        </w:rPr>
        <w:t>\ref{site:OpenCV-about-page}</w:t>
      </w:r>
      <w:r>
        <w:rPr>
          <w:b w:val="false"/>
          <w:bCs w:val="false"/>
        </w:rPr>
        <w:t xml:space="preserve"> </w:t>
      </w:r>
      <w:r>
        <w:rPr>
          <w:b w:val="false"/>
          <w:bCs w:val="false"/>
        </w:rPr>
        <w:t xml:space="preserve">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w:t>
      </w:r>
      <w:r>
        <w:rPr>
          <w:b w:val="false"/>
          <w:bCs w:val="false"/>
        </w:rPr>
        <w:t>e</w:t>
      </w:r>
      <w:r>
        <w:rPr>
          <w:b w:val="false"/>
          <w:bCs w:val="false"/>
        </w:rPr>
        <w:t>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auto"/>
          <w:kern w:val="2"/>
          <w:sz w:val="24"/>
          <w:szCs w:val="24"/>
          <w:lang w:val="en-US" w:eastAsia="zh-CN" w:bidi="hi-IN"/>
        </w:rPr>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r>
      <w:r>
        <w:rPr>
          <w:b w:val="false"/>
          <w:bCs w:val="false"/>
        </w:rPr>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w:t>
      </w:r>
      <w:r>
        <w:rPr>
          <w:b w:val="false"/>
          <w:bCs w:val="false"/>
        </w:rPr>
        <w:t>r</w:t>
      </w:r>
      <w:r>
        <w:rPr>
          <w:b w:val="false"/>
          <w:bCs w:val="false"/>
        </w:rPr>
        <w:t>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w:t>
      </w:r>
      <w:r>
        <w:rPr>
          <w:b w:val="false"/>
          <w:bCs w:val="false"/>
        </w:rPr>
        <w:t>b</w:t>
      </w:r>
      <w:r>
        <w:rPr>
          <w:b w:val="false"/>
          <w:bCs w:val="false"/>
        </w:rPr>
        <w:t>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w:t>
      </w:r>
      <w:r>
        <w:rPr>
          <w:b w:val="false"/>
          <w:bCs w:val="false"/>
        </w:rPr>
        <w:t>e</w:t>
      </w:r>
      <w:r>
        <w:rPr>
          <w:b w:val="false"/>
          <w:bCs w:val="false"/>
        </w:rPr>
        <w:t xml:space="preserve"> text written from left to right.</w:t>
      </w:r>
    </w:p>
    <w:p>
      <w:pPr>
        <w:pStyle w:val="Normal"/>
        <w:bidi w:val="0"/>
        <w:jc w:val="both"/>
        <w:rPr>
          <w:b w:val="false"/>
          <w:b w:val="false"/>
          <w:bCs w:val="false"/>
          <w:i/>
          <w:i/>
          <w:iCs/>
        </w:rPr>
      </w:pPr>
      <w:r>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i w:val="false"/>
          <w:i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The lens used is EF-S 18-55mm Canon Zoom which has diameter of 58mm. When taking pictures I used a focal length of 23 millimeters and an aperture of $focal\_length \div 5.0$. In the process of building the dataset, the distance from the lens to the tire's side was approximately (TODO: distanta aproximativa pana la cauciuc cand fac poze).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When it comes to evaluating the running time, the system the algorithm is tested on contains an Intel i7-6700HQ CPU and 16GB of DDR4 RAM at 2133 Mega-transfers/s. The operating system is Ubuntu 20.04.4 LTS 64 bit with Linux Kernel 5.5.9-050509-generic. In measuring the time, I do not take into account the writing time to the storage media.</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can measure what percentage of the input images my algorithm is able to unwrap successfully. This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Another metric that I can extract is the average time this step takes to run on the testing machine. The IO operations with the storage media is not taken into account. The time is measured in seconds.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sa introduc rezultatele evaluarii.</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5.2 Evaluating the Text Detection</w:t>
      </w:r>
    </w:p>
    <w:p>
      <w:pPr>
        <w:pStyle w:val="Normal"/>
        <w:numPr>
          <w:ilvl w:val="0"/>
          <w:numId w:val="0"/>
        </w:numPr>
        <w:bidi w:val="0"/>
        <w:ind w:left="0" w:hanging="0"/>
        <w:jc w:val="both"/>
        <w:rPr>
          <w:b w:val="false"/>
          <w:b w:val="false"/>
          <w:bCs w:val="false"/>
        </w:rPr>
      </w:pPr>
      <w:r>
        <w:rPr>
          <w:b w:val="false"/>
          <w:bCs w:val="false"/>
        </w:rPr>
        <w:t>Here the main metric will be the percentage of images the algorithm is able to correctly identify the regions of interest. I am interested in the DOT code and the E-mark certification number, any other markings being a bonus. If any detected region is incomplete (has only part of the marking) I will still consider it as a correct detection. Another metric will be how many false positives are given by the algorithm in this step and the running time.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plot the results. (pot face chestia aia cu patratul cu distributia si sa bag si tabel)</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5.3 Evaluating the Text Recognition</w:t>
      </w:r>
    </w:p>
    <w:p>
      <w:pPr>
        <w:pStyle w:val="Normal"/>
        <w:numPr>
          <w:ilvl w:val="0"/>
          <w:numId w:val="0"/>
        </w:numPr>
        <w:bidi w:val="0"/>
        <w:ind w:left="0" w:hanging="0"/>
        <w:jc w:val="both"/>
        <w:rPr>
          <w:b w:val="false"/>
          <w:b w:val="false"/>
          <w:bCs w:val="false"/>
        </w:rPr>
      </w:pPr>
      <w:r>
        <w:rPr>
          <w:b w:val="false"/>
          <w:bCs w:val="false"/>
        </w:rPr>
        <w:t>When it comes to evaluating the OCR, I will use the Character Error Rate (CER) \cite{site:evaluation-OCR-character_error_rate} metric. This will show the performance of the algorithm in recognizing the letters out of the good regions of interest. I will hand pick the true positive images containing text and discard the false positives detected at the \ref{sec:text-detection} Text Detection section step because I have limited a limited number of credits to try out the OCR (called Read API) from Microsoft Cognitive Services \cite{site:Microsoft_Cognitive_Services}.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Measuring the running time is not a precise task as the OCR is a web service and it would depend on the network congestion and the service's load at the time. Anyhow, I still measured the time it takes from the submission of the request to the response.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Evaluate and talk about the results in comparison with the state of the art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4938</TotalTime>
  <Application>LibreOffice/6.4.7.2$Linux_X86_64 LibreOffice_project/40$Build-2</Application>
  <Pages>24</Pages>
  <Words>11164</Words>
  <Characters>55436</Characters>
  <CharactersWithSpaces>66589</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2022-06-24T00:47:58Z</dcterms:modified>
  <cp:revision>92</cp:revision>
  <dc:subject/>
  <dc:title/>
</cp:coreProperties>
</file>