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B4C"/>
        </w:rPr>
        <w:t>MIP — ce date colectăm</w:t>
      </w:r>
    </w:p>
    <w:p>
      <w:r>
        <w:rPr>
          <w:i/>
        </w:rPr>
        <w:t>Stare la 24.09.2026 · 30 de bănci urmărite, 23 cu date · categorii conform „Arhitectura Market Intelligence Libra" (secțiunea 2).</w:t>
      </w:r>
    </w:p>
    <w:p>
      <w:pPr>
        <w:pStyle w:val="Heading1"/>
      </w:pPr>
      <w:r>
        <w:rPr>
          <w:color w:val="142B4C"/>
        </w:rPr>
        <w:t>1. Ce colectăm în prezent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42B4C"/>
          </w:tcPr>
          <w:p>
            <w:pPr>
              <w:spacing w:after="0"/>
            </w:pPr>
            <w:r>
              <w:rPr>
                <w:b/>
                <w:color w:val="FFFFFF"/>
              </w:rPr>
              <w:t>Categorie</w:t>
            </w:r>
          </w:p>
        </w:tc>
        <w:tc>
          <w:tcPr>
            <w:tcW w:type="dxa" w:w="4986"/>
            <w:shd w:val="clear" w:color="auto" w:fill="142B4C"/>
          </w:tcPr>
          <w:p>
            <w:pPr>
              <w:spacing w:after="0"/>
            </w:pPr>
            <w:r>
              <w:rPr>
                <w:b/>
                <w:color w:val="FFFFFF"/>
              </w:rPr>
              <w:t>Ce conține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b/>
              </w:rPr>
              <w:t>Comisioane</w:t>
            </w:r>
            <w:r>
              <w:t xml:space="preserve"> (2.1)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t>Cont curent și pachete, carduri, transferuri, retrageri de numerar — PF și PJ, pe variante de card, doar versiunea în vigoare</w:t>
            </w:r>
          </w:p>
        </w:tc>
      </w:tr>
      <w:tr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Catalog de produse</w:t>
            </w:r>
            <w:r>
              <w:t xml:space="preserve"> (2.1)</w:t>
            </w:r>
          </w:p>
        </w:tc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t>Numele produselor: conturi, carduri, credite, depozite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b/>
              </w:rPr>
              <w:t>Depozite</w:t>
            </w:r>
            <w:r>
              <w:t xml:space="preserve"> (2.1)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t>Dobânzi pe termene și monede</w:t>
            </w:r>
          </w:p>
        </w:tc>
      </w:tr>
      <w:tr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Dobânzi la credite</w:t>
            </w:r>
            <w:r>
              <w:t xml:space="preserve"> (2.2)</w:t>
            </w:r>
          </w:p>
        </w:tc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t>Dobândă nominală, DAE, marjă peste IRCC — nevoi personale, ipotecar, refinanțare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b/>
              </w:rPr>
              <w:t>Curs valutar propriu</w:t>
            </w:r>
            <w:r>
              <w:t xml:space="preserve"> (2.2)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t>Cursul afișat de bancă</w:t>
            </w:r>
          </w:p>
        </w:tc>
      </w:tr>
      <w:tr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Indici de referință BNR</w:t>
            </w:r>
            <w:r>
              <w:t xml:space="preserve"> (2.2)</w:t>
            </w:r>
          </w:p>
        </w:tc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t>ROBOR și ROBID zilnic (7 scadențe), IRCC trimestrial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b/>
              </w:rPr>
              <w:t>Aplicații mobile iOS</w:t>
            </w:r>
            <w:r>
              <w:t xml:space="preserve"> (2.3)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t>Versiune, rating, număr de note, distribuția pe stele, capturi din store</w:t>
            </w:r>
          </w:p>
        </w:tc>
      </w:tr>
      <w:tr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Rețea</w:t>
            </w:r>
            <w:r>
              <w:t xml:space="preserve"> (2.5)</w:t>
            </w:r>
          </w:p>
        </w:tc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t>Sucursale și ATM-uri pe hartă, cu adresă; ATM-uri partenere marcate separat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b/>
              </w:rPr>
              <w:t>Recenzii App Store</w:t>
            </w:r>
            <w:r>
              <w:t xml:space="preserve"> (2.7)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t>Recenzii publice, cu nota și răspunsul băncii; autor pseudonimizat</w:t>
            </w:r>
          </w:p>
        </w:tc>
      </w:tr>
      <w:tr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Istoric de prețuri</w:t>
            </w:r>
          </w:p>
        </w:tc>
        <w:tc>
          <w:tcPr>
            <w:tcW w:type="dxa" w:w="4986"/>
            <w:shd w:val="clear" w:color="auto" w:fill="EEF1F5"/>
          </w:tcPr>
          <w:p>
            <w:pPr>
              <w:spacing w:after="0"/>
            </w:pPr>
            <w:r>
              <w:t>Schimbările de comisioane între versiunile documentelor</w:t>
            </w:r>
          </w:p>
        </w:tc>
      </w:tr>
    </w:tbl>
    <w:p/>
    <w:p>
      <w:pPr>
        <w:pStyle w:val="Heading1"/>
      </w:pPr>
      <w:r>
        <w:rPr>
          <w:color w:val="142B4C"/>
        </w:rPr>
        <w:t>2. Urmează să fie dezvoltate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42B4C"/>
          </w:tcPr>
          <w:p>
            <w:pPr>
              <w:spacing w:after="0"/>
            </w:pPr>
            <w:r>
              <w:rPr>
                <w:b/>
                <w:color w:val="FFFFFF"/>
              </w:rPr>
              <w:t>Categorie</w:t>
            </w:r>
          </w:p>
        </w:tc>
        <w:tc>
          <w:tcPr>
            <w:tcW w:type="dxa" w:w="3324"/>
            <w:shd w:val="clear" w:color="auto" w:fill="142B4C"/>
          </w:tcPr>
          <w:p>
            <w:pPr>
              <w:spacing w:after="0"/>
            </w:pPr>
            <w:r>
              <w:rPr>
                <w:b/>
                <w:color w:val="FFFFFF"/>
              </w:rPr>
              <w:t>Ce ar conține</w:t>
            </w:r>
          </w:p>
        </w:tc>
        <w:tc>
          <w:tcPr>
            <w:tcW w:type="dxa" w:w="3324"/>
            <w:shd w:val="clear" w:color="auto" w:fill="142B4C"/>
          </w:tcPr>
          <w:p>
            <w:pPr>
              <w:spacing w:after="0"/>
            </w:pPr>
            <w:r>
              <w:rPr>
                <w:b/>
                <w:color w:val="FFFFFF"/>
              </w:rPr>
              <w:t>Stare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b/>
              </w:rPr>
              <w:t>Bănci blocate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Datele din capitolul 1 pentru BT, CEC, Intesa, UniCredit, Revolut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în așteptare</w:t>
            </w:r>
          </w:p>
        </w:tc>
      </w:tr>
      <w:tr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Curs de referință BNR</w:t>
            </w:r>
            <w:r>
              <w:t xml:space="preserve"> (2.2)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Cursul oficial BNR zilnic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în așteptare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b/>
              </w:rPr>
              <w:t>EURIBOR</w:t>
            </w:r>
            <w:r>
              <w:t xml:space="preserve"> (2.2)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Indicele de referință pentru creditele în euro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propus</w:t>
            </w:r>
          </w:p>
        </w:tc>
      </w:tr>
      <w:tr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Aplicații Android</w:t>
            </w:r>
            <w:r>
              <w:t xml:space="preserve"> (2.3)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Versiuni, rating, funcționalități din Google Play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propus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b/>
              </w:rPr>
              <w:t>Campanii &amp; marketing</w:t>
            </w:r>
            <w:r>
              <w:t xml:space="preserve"> (2.4)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Reclame active (Meta, TikTok, YouTube), pagini de campanie, promoții, comunicate de presă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propus</w:t>
            </w:r>
          </w:p>
        </w:tc>
      </w:tr>
      <w:tr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Job postings</w:t>
            </w:r>
            <w:r>
              <w:t xml:space="preserve"> (2.5)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Anunțurile de angajare ale băncilor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propus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b/>
              </w:rPr>
              <w:t>Context de piață</w:t>
            </w:r>
            <w:r>
              <w:t xml:space="preserve"> (2.6)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Statistici BNR și ARB, rapoarte financiare, reclamații ANPC / CSALB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propus</w:t>
            </w:r>
          </w:p>
        </w:tc>
      </w:tr>
      <w:tr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Recenzii complete</w:t>
            </w:r>
            <w:r>
              <w:t xml:space="preserve"> (2.7)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Istoricul complet al recenziilor din App Store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propus</w:t>
            </w:r>
          </w:p>
        </w:tc>
      </w:tr>
      <w:tr>
        <w:tc>
          <w:tcPr>
            <w:tcW w:type="dxa" w:w="3324"/>
          </w:tcPr>
          <w:p>
            <w:pPr>
              <w:spacing w:after="0"/>
            </w:pPr>
            <w:r>
              <w:rPr>
                <w:b/>
              </w:rPr>
              <w:t>Recenzii Trustpilot și Google</w:t>
            </w:r>
            <w:r>
              <w:t xml:space="preserve"> (2.7)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Recenzii despre bănci și sucursale</w:t>
            </w:r>
          </w:p>
        </w:tc>
        <w:tc>
          <w:tcPr>
            <w:tcW w:type="dxa" w:w="3324"/>
          </w:tcPr>
          <w:p>
            <w:pPr>
              <w:spacing w:after="0"/>
            </w:pPr>
            <w:r>
              <w:t>propus</w:t>
            </w:r>
          </w:p>
        </w:tc>
      </w:tr>
      <w:tr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rPr>
                <w:b/>
              </w:rPr>
              <w:t>Competitori Nivel 2–3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Fintech-uri și bănci externe (Wise, N26, bunq, ING NL…)</w:t>
            </w:r>
          </w:p>
        </w:tc>
        <w:tc>
          <w:tcPr>
            <w:tcW w:type="dxa" w:w="3324"/>
            <w:shd w:val="clear" w:color="auto" w:fill="EEF1F5"/>
          </w:tcPr>
          <w:p>
            <w:pPr>
              <w:spacing w:after="0"/>
            </w:pPr>
            <w:r>
              <w:t>propus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