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B4C"/>
        </w:rPr>
        <w:t>MIP — sumarul datelor colectate</w:t>
      </w:r>
    </w:p>
    <w:p>
      <w:r>
        <w:rPr>
          <w:i/>
        </w:rPr>
        <w:t>Stare la 24.09.2026. Reper: „Arhitectura Market Intelligence Libra" (DRAFT, 09.09.2026), secțiunea 2.</w:t>
      </w:r>
    </w:p>
    <w:p>
      <w:pPr>
        <w:pStyle w:val="Heading1"/>
      </w:pPr>
      <w:r>
        <w:rPr>
          <w:color w:val="142B4C"/>
        </w:rPr>
        <w:t>Pe scurt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Bănci urmărite</w:t>
            </w:r>
          </w:p>
        </w:tc>
        <w:tc>
          <w:tcPr>
            <w:tcW w:type="dxa" w:w="4986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30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t>Bănci cu date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t>23</w:t>
            </w:r>
          </w:p>
        </w:tc>
      </w:tr>
      <w:tr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Bănci blocate (documentate, fără alt canal)</w:t>
            </w:r>
          </w:p>
        </w:tc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5 — BT, CEC, Intesa, UniCredit, Revolut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t>Surse web descoperite / active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t>5.840 / 2.152</w:t>
            </w:r>
          </w:p>
        </w:tc>
      </w:tr>
      <w:tr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Valori colectate (prețuri, comisioane, dobânzi)</w:t>
            </w:r>
          </w:p>
        </w:tc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27.218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t>Valori „curate" (verificabile și comparabile)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t>14.722 (54%)</w:t>
            </w:r>
          </w:p>
        </w:tc>
      </w:tr>
      <w:tr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Citate regăsite în sursă</w:t>
            </w:r>
          </w:p>
        </w:tc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HTML 100% · PDF 99% (eșantion)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t>Valori datate (dată de vigoare)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t>69%</w:t>
            </w:r>
          </w:p>
        </w:tc>
      </w:tr>
      <w:tr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În coada de verificare umană</w:t>
            </w:r>
          </w:p>
        </w:tc>
        <w:tc>
          <w:tcPr>
            <w:tcW w:type="dxa" w:w="4986"/>
            <w:shd w:val="clear" w:color="auto" w:fill="EEF1F5"/>
          </w:tcPr>
          <w:p>
            <w:pPr>
              <w:spacing w:after="0"/>
            </w:pPr>
            <w:r>
              <w:t>5.395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t>Schimbări de preț detectate (istoric)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t>996</w:t>
            </w:r>
          </w:p>
        </w:tc>
      </w:tr>
    </w:tbl>
    <w:p/>
    <w:p>
      <w:pPr>
        <w:pStyle w:val="Heading1"/>
      </w:pPr>
      <w:r>
        <w:rPr>
          <w:color w:val="142B4C"/>
        </w:rPr>
        <w:t>Ce avem, pe secțiunile din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Secțiune</w:t>
            </w:r>
          </w:p>
        </w:tc>
        <w:tc>
          <w:tcPr>
            <w:tcW w:type="dxa" w:w="3324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Colectat</w:t>
            </w:r>
          </w:p>
        </w:tc>
        <w:tc>
          <w:tcPr>
            <w:tcW w:type="dxa" w:w="3324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Bănci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b/>
              </w:rPr>
              <w:t>2.1 Produse &amp; prețuri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23.080 de comisioane (PDF-uri de tarife + pagini); 607 produse în catalog; 100 de valori la depozite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19–23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rPr>
                <w:b/>
              </w:rPr>
              <w:t>2.2 Rate &amp; indicatori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322 dobânzi nominale · 88 DAE · 58 marje peste IRCC; curs propriu la 13 bănci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8–17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b/>
              </w:rPr>
              <w:t>2.3 Aplicații mobile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 xml:space="preserve">19 aplicații iOS: versiune, rating, </w:t>
            </w:r>
            <w:r>
              <w:rPr>
                <w:b/>
              </w:rPr>
              <w:t>distribuția pe stele</w:t>
            </w:r>
            <w:r>
              <w:t xml:space="preserve"> (17), 130 de capturi, 120 de recenzii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19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rPr>
                <w:b/>
              </w:rPr>
              <w:t>2.5 Rețea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852 de sucursale · 54 de ATM-uri proprii · 572 de ATM-uri partenere (Patria/Euronet)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19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b/>
              </w:rPr>
              <w:t>2.7 Sentiment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120 de recenzii App Store, pseudonimizate, 41 cu răspunsul băncii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16</w:t>
            </w:r>
          </w:p>
        </w:tc>
      </w:tr>
    </w:tbl>
    <w:p/>
    <w:p>
      <w:pPr>
        <w:pStyle w:val="Heading1"/>
      </w:pPr>
      <w:r>
        <w:rPr>
          <w:color w:val="142B4C"/>
        </w:rPr>
        <w:t>Ce nu am colectat încă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Secțiune din PDF</w:t>
            </w:r>
          </w:p>
        </w:tc>
        <w:tc>
          <w:tcPr>
            <w:tcW w:type="dxa" w:w="3324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Lipsește</w:t>
            </w:r>
          </w:p>
        </w:tc>
        <w:tc>
          <w:tcPr>
            <w:tcW w:type="dxa" w:w="3324"/>
            <w:shd w:val="clear" w:color="auto" w:fill="142B4C"/>
          </w:tcPr>
          <w:p>
            <w:pPr>
              <w:spacing w:after="0"/>
            </w:pPr>
            <w:r>
              <w:rPr>
                <w:b/>
                <w:color w:val="FFFFFF"/>
              </w:rPr>
              <w:t>Motiv / următorul pas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t>2.1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Comisioanele 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robots.txt interzice PDF-urile ING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2.1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Toate datele BT, CEC, Intesa, UniCredit, Revolut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ne blochează (403); doar pe o cale aprobată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t>2.1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IMM &amp; corporate (factoring, leasing, cash management) — acoperire slabă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de verificat pe bancă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2.2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Dobânzi din PDF-urile de dobânzi (BCR, BRD, tbi)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trec prin parserul de tarife; de rutat la cel de dobânzi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t>2.2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Curs de referință BNR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 xml:space="preserve">feed-ul </w:t>
            </w:r>
            <w:r>
              <w:rPr>
                <w:rFonts w:ascii="Consolas" w:hAnsi="Consolas"/>
                <w:sz w:val="19"/>
              </w:rPr>
              <w:t>curs.bnr.ro</w:t>
            </w:r>
            <w:r>
              <w:t xml:space="preserve"> e interzis de robots.txt; de găsit pagina de pe </w:t>
            </w:r>
            <w:r>
              <w:rPr>
                <w:rFonts w:ascii="Consolas" w:hAnsi="Consolas"/>
                <w:sz w:val="19"/>
              </w:rPr>
              <w:t>www.bnr.ro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2.2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ROBOR / IRCC actuale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 xml:space="preserve">în bază sunt doar date vechi (4–17.09, fără IRCC); extracția de pe </w:t>
            </w:r>
            <w:r>
              <w:rPr>
                <w:rFonts w:ascii="Consolas" w:hAnsi="Consolas"/>
                <w:sz w:val="19"/>
              </w:rPr>
              <w:t>www.bnr.ro</w:t>
            </w:r>
            <w:r>
              <w:t xml:space="preserve"> merge, neîncărcată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t>2.2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EURIBOR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neînceput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2.3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Android (Play Store, Exodus, APK)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neînceput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t>2.3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Walkthrough pe device, feature matrix, internet banking public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neînceput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2.3 / 2.7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Recenzii complete (sute pe aplicație)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pagina publică arată ~8; restul doar prin furnizor licențiat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b/>
              </w:rPr>
              <w:t>2.4 Campanii &amp; marketing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tot: landing pages, reclame (Meta/TikTok/YouTube), newsroom, LinkedIn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neînceput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2.5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Program sucursale; locatoarele băncilor (în afară de Patria)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API-ul hărții interzis de robots.txt (BRD, CreditCoop, Libra) sau fără coordonate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t>2.5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Job postings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neînceput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rPr>
                <w:b/>
              </w:rPr>
              <w:t>2.6 Context de piață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tot: statistici BNR, ARB, rapoarte financiare, ANPC/CSALB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neînceput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t>2.7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Trustpilot, Google Business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t>neînceput</w:t>
            </w:r>
          </w:p>
        </w:tc>
      </w:tr>
      <w:tr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3. Competitori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Alpha Bank, OTP, First Bank (Nivel 1); tot Nivelul 2 (Wise, N26, bunq…) și Nivelul 3</w:t>
            </w:r>
          </w:p>
        </w:tc>
        <w:tc>
          <w:tcPr>
            <w:tcW w:type="dxa" w:w="3324"/>
            <w:shd w:val="clear" w:color="auto" w:fill="EEF1F5"/>
          </w:tcPr>
          <w:p>
            <w:pPr>
              <w:spacing w:after="0"/>
            </w:pPr>
            <w:r>
              <w:t>nu sunt în lista celor 30 de bănci</w:t>
            </w:r>
          </w:p>
        </w:tc>
      </w:tr>
    </w:tbl>
    <w:p/>
    <w:p>
      <w:pPr>
        <w:pStyle w:val="Heading1"/>
      </w:pPr>
      <w:r>
        <w:rPr>
          <w:color w:val="142B4C"/>
        </w:rPr>
        <w:t>Calitate — de îmbunătățit</w:t>
      </w:r>
    </w:p>
    <w:p>
      <w:pPr>
        <w:pStyle w:val="ListBullet"/>
      </w:pPr>
      <w:r>
        <w:t>Concept comparabil între bănci: 65% (cea mai mare pârghie pentru comparații)</w:t>
      </w:r>
    </w:p>
    <w:p>
      <w:pPr>
        <w:pStyle w:val="ListBullet"/>
      </w:pPr>
      <w:r>
        <w:t xml:space="preserve">Pagini fără </w:t>
      </w:r>
      <w:r>
        <w:rPr>
          <w:rFonts w:ascii="Consolas" w:hAnsi="Consolas"/>
          <w:sz w:val="19"/>
        </w:rPr>
        <w:t>&lt;main&gt;</w:t>
      </w:r>
      <w:r>
        <w:t xml:space="preserve"> (ex. ING): conținutul principal ales greșit → dobânzi pierdute</w:t>
      </w:r>
    </w:p>
    <w:p>
      <w:pPr>
        <w:pStyle w:val="ListBullet"/>
      </w:pPr>
      <w:r>
        <w:t>BCR: 13.661 de valori — de verificat versiunile vechi din arhivă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