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CTI Group</w:t>
      </w:r>
    </w:p>
    <w:p>
      <w:pPr>
        <w:pStyle w:val="Title"/>
      </w:pPr>
      <w:r>
        <w:t xml:space="preserve">Brand Voice Guide</w:t>
      </w:r>
    </w:p>
    <w:p>
      <w:pPr>
        <w:spacing w:after="120" w:before="200"/>
      </w:pPr>
      <w:r>
        <w:rPr>
          <w:i/>
          <w:iCs/>
          <w:color w:val="5B6B7B"/>
          <w:sz w:val="24"/>
          <w:szCs w:val="24"/>
        </w:rPr>
        <w:t xml:space="preserve">The canonical reference for how CTI Group Worldwide Services communicates — across every division, every channel, every audience.</w:t>
      </w:r>
    </w:p>
    <w:p>
      <w:pPr>
        <w:spacing w:before="600"/>
      </w:pPr>
      <w:r>
        <w:rPr>
          <w:b/>
          <w:bCs/>
          <w:color w:val="0A1628"/>
        </w:rPr>
        <w:t xml:space="preserve">Version 1.0</w:t>
      </w:r>
    </w:p>
    <w:p>
      <w:r>
        <w:rPr>
          <w:color w:val="5B6B7B"/>
        </w:rPr>
        <w:t xml:space="preserve">Issued: May 19, 2026</w:t>
      </w:r>
    </w:p>
    <w:p>
      <w:r>
        <w:rPr>
          <w:color w:val="5B6B7B"/>
        </w:rPr>
        <w:t xml:space="preserve">Owner: Robert Upchurch, President &amp; CEO</w:t>
      </w:r>
    </w:p>
    <w:p>
      <w:r>
        <w:rPr>
          <w:color w:val="5B6B7B"/>
        </w:rPr>
        <w:t xml:space="preserve">Status: Canon — all CTI marketing references this document</w:t>
      </w:r>
    </w:p>
    <w:p>
      <w:r>
        <w:br w:type="page"/>
      </w:r>
    </w:p>
    <w:p>
      <w:pPr>
        <w:pStyle w:val="Heading1"/>
      </w:pPr>
      <w:r>
        <w:t xml:space="preserve">How to Use This Guide</w:t>
      </w:r>
    </w:p>
    <w:p>
      <w:pPr>
        <w:spacing w:after="160"/>
      </w:pPr>
      <w:r>
        <w:t xml:space="preserve">This is the parent document for all CTI Group marketing. Every post, video script, email, brochure, landing page, and partner communication — across all five divisions — inherits its voice, tone, and rules from here. When content is produced for any division, it is checked against this guide before it goes out.</w:t>
      </w:r>
    </w:p>
    <w:p>
      <w:pPr>
        <w:spacing w:after="160"/>
      </w:pPr>
      <w:r>
        <w:t xml:space="preserve">The purpose is consistency. CTI has been operating for over forty years and competes as an institutional partner, not a vendor. Communications that sound improvised or inconsistent undercut that position. This guide makes the voice repeatable so that whether a message comes from corporate, J-1, cruise staffing, uniforms, promotions, or marine travel, it unmistakably sounds like CTI.</w:t>
      </w:r>
    </w:p>
    <w:p>
      <w:pPr>
        <w:pStyle w:val="Heading1"/>
      </w:pPr>
      <w:r>
        <w:t xml:space="preserve">1. Who CTI Is</w:t>
      </w:r>
    </w:p>
    <w:p>
      <w:pPr>
        <w:spacing w:after="160"/>
      </w:pPr>
      <w:r>
        <w:t xml:space="preserve">CTI Group Worldwide Services Inc. is a U.S.-based international exchange and staffing organization headquartered in Weirsdale, Florida, with more than forty years of international business experience and a global operational footprint including offices in Bali and Thailand and business associations in Myanmar and Malaysia.</w:t>
      </w:r>
    </w:p>
    <w:p>
      <w:pPr>
        <w:spacing w:after="160"/>
      </w:pPr>
      <w:r>
        <w:t xml:space="preserve">CTI operates five divisions:</w:t>
      </w:r>
    </w:p>
    <w:p>
      <w:pPr>
        <w:pStyle w:val="ListParagraph"/>
        <w:numPr>
          <w:ilvl w:val="0"/>
          <w:numId w:val="2"/>
        </w:numPr>
        <w:spacing w:after="80"/>
      </w:pPr>
      <w:r>
        <w:t xml:space="preserve">J-1 Visa — international exchange and placement programs</w:t>
      </w:r>
    </w:p>
    <w:p>
      <w:pPr>
        <w:pStyle w:val="ListParagraph"/>
        <w:numPr>
          <w:ilvl w:val="0"/>
          <w:numId w:val="2"/>
        </w:numPr>
        <w:spacing w:after="80"/>
      </w:pPr>
      <w:r>
        <w:t xml:space="preserve">Cruise Ship Staffing (C1/D) — maritime crew sourcing and placement</w:t>
      </w:r>
    </w:p>
    <w:p>
      <w:pPr>
        <w:pStyle w:val="ListParagraph"/>
        <w:numPr>
          <w:ilvl w:val="0"/>
          <w:numId w:val="2"/>
        </w:numPr>
        <w:spacing w:after="80"/>
      </w:pPr>
      <w:r>
        <w:t xml:space="preserve">UNO Uniforms — uniform supply</w:t>
      </w:r>
    </w:p>
    <w:p>
      <w:pPr>
        <w:pStyle w:val="ListParagraph"/>
        <w:numPr>
          <w:ilvl w:val="0"/>
          <w:numId w:val="2"/>
        </w:numPr>
        <w:spacing w:after="80"/>
      </w:pPr>
      <w:r>
        <w:t xml:space="preserve">Baron Promotions — promotional products and branded merchandise</w:t>
      </w:r>
    </w:p>
    <w:p>
      <w:pPr>
        <w:pStyle w:val="ListParagraph"/>
        <w:numPr>
          <w:ilvl w:val="0"/>
          <w:numId w:val="2"/>
        </w:numPr>
        <w:spacing w:after="80"/>
      </w:pPr>
      <w:r>
        <w:t xml:space="preserve">CTI Marine Travel — travel services for the maritime sector</w:t>
      </w:r>
    </w:p>
    <w:p>
      <w:pPr>
        <w:spacing w:after="160"/>
      </w:pPr>
      <w:r>
        <w:rPr>
          <w:b/>
          <w:bCs/>
        </w:rPr>
        <w:t xml:space="preserve">The brand position is institutional peer, not vendor. CTI brings four decades of infrastructure, international relationships, and operational depth to every partnership. This is the single idea every communication should reinforce.</w:t>
      </w:r>
    </w:p>
    <w:p>
      <w:pPr>
        <w:pStyle w:val="Heading1"/>
      </w:pPr>
      <w:r>
        <w:t xml:space="preserve">2. Brand Personality</w:t>
      </w:r>
    </w:p>
    <w:p>
      <w:pPr>
        <w:spacing w:after="160"/>
      </w:pPr>
      <w:r>
        <w:t xml:space="preserve">If CTI were a person in a meeting, that person would be the most experienced one in the room — calm, precise, and unhurried, with nothing to prove because the track record speaks for itself. Five traits define the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Trait</w:t>
            </w:r>
          </w:p>
        </w:tc>
        <w:tc>
          <w:tcPr>
            <w:tcW w:type="dxa" w:w="6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What It Means In Practice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Established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Four-plus decades of operation. CTI references its experience as evidence, never as nostalgia.</w:t>
            </w:r>
          </w:p>
        </w:tc>
      </w:tr>
      <w:tr>
        <w:tc>
          <w:tcPr>
            <w:tcW w:type="dxa" w:w="24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Precise</w:t>
            </w:r>
          </w:p>
        </w:tc>
        <w:tc>
          <w:tcPr>
            <w:tcW w:type="dxa" w:w="69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Specific numbers, specific countries, specific programs. CTI does not deal in vague 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Composed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Confident without hype. CTI never oversells, never uses pressure, never sounds anxious for the business.</w:t>
            </w:r>
          </w:p>
        </w:tc>
      </w:tr>
      <w:tr>
        <w:tc>
          <w:tcPr>
            <w:tcW w:type="dxa" w:w="24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Global</w:t>
            </w:r>
          </w:p>
        </w:tc>
        <w:tc>
          <w:tcPr>
            <w:tcW w:type="dxa" w:w="69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International by default. CTI speaks naturally about cross-border work because that is its everyday operation.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Reliable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CTI says what it will do and does it. The voice reflects operational dependability, not promotional excitement.</w:t>
            </w:r>
          </w:p>
        </w:tc>
      </w:tr>
    </w:tbl>
    <w:p>
      <w:pPr>
        <w:pStyle w:val="Heading1"/>
      </w:pPr>
      <w:r>
        <w:t xml:space="preserve">3. Voice Principles</w:t>
      </w:r>
    </w:p>
    <w:p>
      <w:pPr>
        <w:spacing w:after="160"/>
      </w:pPr>
      <w:r>
        <w:t xml:space="preserve">These five principles govern every piece of CTI content. They are not stylistic suggestions — they are the test a draft must pass.</w:t>
      </w:r>
    </w:p>
    <w:p>
      <w:pPr>
        <w:pStyle w:val="Heading2"/>
      </w:pPr>
      <w:r>
        <w:t xml:space="preserve">3.1 Lead with proof, not adjectives</w:t>
      </w:r>
    </w:p>
    <w:p>
      <w:pPr>
        <w:spacing w:after="160"/>
      </w:pPr>
      <w:r>
        <w:t xml:space="preserve">CTI earns claims with specifics. “Forty years of placements across five divisions” is CTI. “We are passionate about excellence” is not. Replace every unsupported adjective with a fact.</w:t>
      </w:r>
    </w:p>
    <w:p>
      <w:pPr>
        <w:pStyle w:val="Heading2"/>
      </w:pPr>
      <w:r>
        <w:t xml:space="preserve">3.2 Speak as a peer to decision-makers</w:t>
      </w:r>
    </w:p>
    <w:p>
      <w:pPr>
        <w:spacing w:after="160"/>
      </w:pPr>
      <w:r>
        <w:t xml:space="preserve">CTI’s audiences are partners, sponsors, employers, and institutions — not consumers to be persuaded. The tone is one professional addressing another, assuming intelligence and respecting time.</w:t>
      </w:r>
    </w:p>
    <w:p>
      <w:pPr>
        <w:pStyle w:val="Heading2"/>
      </w:pPr>
      <w:r>
        <w:t xml:space="preserve">3.3 Be concise and direct</w:t>
      </w:r>
    </w:p>
    <w:p>
      <w:pPr>
        <w:spacing w:after="160"/>
      </w:pPr>
      <w:r>
        <w:t xml:space="preserve">Short sentences. Plain words. No filler. If a sentence can be cut without losing meaning, cut it. Concision signals competence.</w:t>
      </w:r>
    </w:p>
    <w:p>
      <w:pPr>
        <w:pStyle w:val="Heading2"/>
      </w:pPr>
      <w:r>
        <w:t xml:space="preserve">3.4 Stay calm and never pressure</w:t>
      </w:r>
    </w:p>
    <w:p>
      <w:pPr>
        <w:spacing w:after="160"/>
      </w:pPr>
      <w:r>
        <w:t xml:space="preserve">No urgency tactics, no countdown language, no hard sells. CTI’s confidence is quiet. The reader should feel informed, never pushed.</w:t>
      </w:r>
    </w:p>
    <w:p>
      <w:pPr>
        <w:pStyle w:val="Heading2"/>
      </w:pPr>
      <w:r>
        <w:t xml:space="preserve">3.5 Respect the division firewall</w:t>
      </w:r>
    </w:p>
    <w:p>
      <w:pPr>
        <w:spacing w:after="160"/>
      </w:pPr>
      <w:r>
        <w:rPr>
          <w:b/>
          <w:bCs/>
        </w:rPr>
        <w:t xml:space="preserve">Cruise / maritime (C1/D, MLC) communications and J-1 / exchange communications are never blended in a single piece of content. They serve different regulatory worlds and different audiences. This is a hard rule, covered fully in Section 7.</w:t>
      </w:r>
    </w:p>
    <w:p>
      <w:pPr>
        <w:pStyle w:val="Heading1"/>
      </w:pPr>
      <w:r>
        <w:t xml:space="preserve">4. Tone by Audience</w:t>
      </w:r>
    </w:p>
    <w:p>
      <w:pPr>
        <w:spacing w:after="160"/>
      </w:pPr>
      <w:r>
        <w:t xml:space="preserve">The core voice never changes. Tone flexes by who is reading. Same personality, adjusted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Audience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Tone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Partners &amp; sponsors (B2B)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Peer-to-peer, institutional, evidence-led. Emphasize infrastructure, track record, and reliability. This is CTI’s primary register.</w:t>
            </w:r>
          </w:p>
        </w:tc>
      </w:tr>
      <w:tr>
        <w:tc>
          <w:tcPr>
            <w:tcW w:type="dxa" w:w="30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Candidates &amp; applicants</w:t>
            </w:r>
          </w:p>
        </w:tc>
        <w:tc>
          <w:tcPr>
            <w:tcW w:type="dxa" w:w="63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Clear, encouraging, and practical. Warmer than the B2B register but never casual or salesy. Focus on clarity of process and what to expect.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Employers &amp; cruise 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Operational and precise. Emphasize sourcing capacity, compliance, and speed-to-placement. Numbers forward.</w:t>
            </w:r>
          </w:p>
        </w:tc>
      </w:tr>
      <w:tr>
        <w:tc>
          <w:tcPr>
            <w:tcW w:type="dxa" w:w="30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General public / social</w:t>
            </w:r>
          </w:p>
        </w:tc>
        <w:tc>
          <w:tcPr>
            <w:tcW w:type="dxa" w:w="63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Accessible and confident. Plain-language proof points. Approachable without diluting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Internal /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Direct and instructional. Clarity over polish. Decisions and actions stated plainly.</w:t>
            </w:r>
          </w:p>
        </w:tc>
      </w:tr>
    </w:tbl>
    <w:p>
      <w:pPr>
        <w:pStyle w:val="Heading1"/>
      </w:pPr>
      <w:r>
        <w:t xml:space="preserve">5. Words and Phrases</w:t>
      </w:r>
    </w:p>
    <w:p>
      <w:pPr>
        <w:pStyle w:val="Heading2"/>
      </w:pPr>
      <w:r>
        <w:t xml:space="preserve">5.1 Words CTI uses</w:t>
      </w:r>
    </w:p>
    <w:p>
      <w:pPr>
        <w:pStyle w:val="ListParagraph"/>
        <w:numPr>
          <w:ilvl w:val="0"/>
          <w:numId w:val="2"/>
        </w:numPr>
        <w:spacing w:after="80"/>
      </w:pPr>
      <w:r>
        <w:t xml:space="preserve">Experienced, established, international, placement, partner, infrastructure, sponsor, program, compliance, sourcing, decades, operational</w:t>
      </w:r>
    </w:p>
    <w:p>
      <w:pPr>
        <w:pStyle w:val="Heading2"/>
      </w:pPr>
      <w:r>
        <w:t xml:space="preserve">5.2 Words and patterns CTI avoids</w:t>
      </w:r>
    </w:p>
    <w:p>
      <w:pPr>
        <w:pStyle w:val="ListParagraph"/>
        <w:numPr>
          <w:ilvl w:val="0"/>
          <w:numId w:val="2"/>
        </w:numPr>
        <w:spacing w:after="80"/>
      </w:pPr>
      <w:r>
        <w:t xml:space="preserve">Hype: “game-changing,” “revolutionary,” “world-class,” “best-in-class,” “cutting-edge”</w:t>
      </w:r>
    </w:p>
    <w:p>
      <w:pPr>
        <w:pStyle w:val="ListParagraph"/>
        <w:numPr>
          <w:ilvl w:val="0"/>
          <w:numId w:val="2"/>
        </w:numPr>
        <w:spacing w:after="80"/>
      </w:pPr>
      <w:r>
        <w:t xml:space="preserve">Pressure: “act now,” “limited time,” “don’t miss out,” “hurry”</w:t>
      </w:r>
    </w:p>
    <w:p>
      <w:pPr>
        <w:pStyle w:val="ListParagraph"/>
        <w:numPr>
          <w:ilvl w:val="0"/>
          <w:numId w:val="2"/>
        </w:numPr>
        <w:spacing w:after="80"/>
      </w:pPr>
      <w:r>
        <w:t xml:space="preserve">Vague filler: “passionate,” “synergy,” “leverage” as a verb, “empower” without an object</w:t>
      </w:r>
    </w:p>
    <w:p>
      <w:pPr>
        <w:pStyle w:val="ListParagraph"/>
        <w:numPr>
          <w:ilvl w:val="0"/>
          <w:numId w:val="2"/>
        </w:numPr>
        <w:spacing w:after="80"/>
      </w:pPr>
      <w:r>
        <w:t xml:space="preserve">Hedging: “we think we might be able to,” “probably,” “hopefully”</w:t>
      </w:r>
    </w:p>
    <w:p>
      <w:pPr>
        <w:pStyle w:val="Heading2"/>
      </w:pPr>
      <w:r>
        <w:t xml:space="preserve">5.3 Naming conventions</w:t>
      </w:r>
    </w:p>
    <w:p>
      <w:pPr>
        <w:pStyle w:val="ListParagraph"/>
        <w:numPr>
          <w:ilvl w:val="0"/>
          <w:numId w:val="2"/>
        </w:numPr>
        <w:spacing w:after="80"/>
      </w:pPr>
      <w:r>
        <w:t xml:space="preserve">Full legal name on formal/first reference: CTI Group Worldwide Services Inc.</w:t>
      </w:r>
    </w:p>
    <w:p>
      <w:pPr>
        <w:pStyle w:val="ListParagraph"/>
        <w:numPr>
          <w:ilvl w:val="0"/>
          <w:numId w:val="2"/>
        </w:numPr>
        <w:spacing w:after="80"/>
      </w:pPr>
      <w:r>
        <w:t xml:space="preserve">“CTI” or “CTI Group” acceptable thereafter</w:t>
      </w:r>
    </w:p>
    <w:p>
      <w:pPr>
        <w:pStyle w:val="ListParagraph"/>
        <w:numPr>
          <w:ilvl w:val="0"/>
          <w:numId w:val="2"/>
        </w:numPr>
        <w:spacing w:after="80"/>
      </w:pPr>
      <w:r>
        <w:t xml:space="preserve">Divisions named exactly: J-1 Visa; Cruise Ship Staffing; UNO Uniforms; Baron Promotions; CTI Marine Travel</w:t>
      </w:r>
    </w:p>
    <w:p>
      <w:pPr>
        <w:pStyle w:val="ListParagraph"/>
        <w:numPr>
          <w:ilvl w:val="0"/>
          <w:numId w:val="2"/>
        </w:numPr>
        <w:spacing w:after="80"/>
      </w:pPr>
      <w:r>
        <w:t xml:space="preserve">“J-1” always hyphenated; “C1/D” written exactly that way</w:t>
      </w:r>
    </w:p>
    <w:p>
      <w:pPr>
        <w:pStyle w:val="Heading1"/>
      </w:pPr>
      <w:r>
        <w:t xml:space="preserve">6. Before / After Examples</w:t>
      </w:r>
    </w:p>
    <w:p>
      <w:pPr>
        <w:spacing w:after="160"/>
      </w:pPr>
      <w:r>
        <w:t xml:space="preserve">These show the voice in operation. The “after” column is the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Off-voice</w:t>
            </w:r>
          </w:p>
        </w:tc>
        <w:tc>
          <w:tcPr>
            <w:tcW w:type="dxa" w:w="5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On-voice (the standard)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We are passionate about connecting world-class talent with amazing opportunities!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 over forty years, CTI has placed international candidates across five divisions worldwide.</w:t>
            </w:r>
          </w:p>
        </w:tc>
      </w:tr>
      <w:tr>
        <w:tc>
          <w:tcPr>
            <w:tcW w:type="dxa" w:w="42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Don’t miss this limited opportunity to partner with the best in the business!</w:t>
            </w:r>
          </w:p>
        </w:tc>
        <w:tc>
          <w:tcPr>
            <w:tcW w:type="dxa" w:w="51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CTI partners with sponsors and employers who need reliable international placement at scale. We’re open to discussing fit.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We think we might be able to help with your staffing needs.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CTI sources and places maritime crew under C1/D. Tell us the roles and volume; we’ll outline the pipeline.</w:t>
            </w:r>
          </w:p>
        </w:tc>
      </w:tr>
      <w:tr>
        <w:tc>
          <w:tcPr>
            <w:tcW w:type="dxa" w:w="42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Our revolutionary program empowers candidates to achieve their dreams.</w:t>
            </w:r>
          </w:p>
        </w:tc>
        <w:tc>
          <w:tcPr>
            <w:tcW w:type="dxa" w:w="51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The J-1 Visa program gives candidates a structured route to U.S. exchange placement. Here’s how the process works.</w:t>
            </w:r>
          </w:p>
        </w:tc>
      </w:tr>
    </w:tbl>
    <w:p>
      <w:pPr>
        <w:pStyle w:val="Heading1"/>
      </w:pPr>
      <w:r>
        <w:t xml:space="preserve">7. The Division Firewall (Hard Rule)</w:t>
      </w:r>
    </w:p>
    <w:p>
      <w:pPr>
        <w:spacing w:after="160"/>
      </w:pPr>
      <w:r>
        <w:rPr>
          <w:b/>
          <w:bCs/>
        </w:rPr>
        <w:t xml:space="preserve">CTI’s cruise / maritime work (C1/D crew, governed by MLC and maritime regulation) and its J-1 / exchange work (governed by U.S. exchange-visitor rules) operate in separate regulatory and audience worlds. They must never be combined in a single piece of marketing content.</w:t>
      </w:r>
    </w:p>
    <w:p>
      <w:pPr>
        <w:spacing w:after="160"/>
      </w:pPr>
      <w:r>
        <w:t xml:space="preserve">Specifically:</w:t>
      </w:r>
    </w:p>
    <w:p>
      <w:pPr>
        <w:pStyle w:val="ListParagraph"/>
        <w:numPr>
          <w:ilvl w:val="0"/>
          <w:numId w:val="3"/>
        </w:numPr>
        <w:spacing w:after="80"/>
      </w:pPr>
      <w:r>
        <w:t xml:space="preserve">No social post, video, email, brochure, or landing page promotes cruise staffing and J-1 placement together.</w:t>
      </w:r>
    </w:p>
    <w:p>
      <w:pPr>
        <w:pStyle w:val="ListParagraph"/>
        <w:numPr>
          <w:ilvl w:val="0"/>
          <w:numId w:val="3"/>
        </w:numPr>
        <w:spacing w:after="80"/>
      </w:pPr>
      <w:r>
        <w:t xml:space="preserve">Candidate-facing funnels for each are entirely separate — separate pages, separate forms, separate calls to action.</w:t>
      </w:r>
    </w:p>
    <w:p>
      <w:pPr>
        <w:pStyle w:val="ListParagraph"/>
        <w:numPr>
          <w:ilvl w:val="0"/>
          <w:numId w:val="3"/>
        </w:numPr>
        <w:spacing w:after="80"/>
      </w:pPr>
      <w:r>
        <w:t xml:space="preserve">Corporate / multi-division content may reference that both divisions exist as part of CTI’s portfolio, but must not cross-sell one audience into the other or blend their messaging.</w:t>
      </w:r>
    </w:p>
    <w:p>
      <w:pPr>
        <w:pStyle w:val="ListParagraph"/>
        <w:numPr>
          <w:ilvl w:val="0"/>
          <w:numId w:val="3"/>
        </w:numPr>
        <w:spacing w:after="80"/>
      </w:pPr>
      <w:r>
        <w:t xml:space="preserve">Any draft that blurs this line is rejected and rewritten before publication, regardless of other merits.</w:t>
      </w:r>
    </w:p>
    <w:p>
      <w:pPr>
        <w:spacing w:after="160"/>
      </w:pPr>
      <w:r>
        <w:t xml:space="preserve">This protects regulatory clarity and the integrity of both divisions. It is non-negotiable and overrides any creative or campaign consideration.</w:t>
      </w:r>
    </w:p>
    <w:p>
      <w:pPr>
        <w:pStyle w:val="Heading1"/>
      </w:pPr>
      <w:r>
        <w:t xml:space="preserve">8. Channel Notes</w:t>
      </w:r>
    </w:p>
    <w:p>
      <w:pPr>
        <w:spacing w:after="160"/>
      </w:pPr>
      <w:r>
        <w:t xml:space="preserve">Voice is constant; format adapts to the channel. Brief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Channel</w:t>
            </w:r>
          </w:p>
        </w:tc>
        <w:tc>
          <w:tcPr>
            <w:tcW w:type="dxa" w:w="6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Application of the 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LinkedIn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 B2B channel. Peer register. Proof-led posts about capability, scale, and partnership. No hashtags-as-noise.</w:t>
            </w:r>
          </w:p>
        </w:tc>
      </w:tr>
      <w:tr>
        <w:tc>
          <w:tcPr>
            <w:tcW w:type="dxa" w:w="24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Facebook</w:t>
            </w:r>
          </w:p>
        </w:tc>
        <w:tc>
          <w:tcPr>
            <w:tcW w:type="dxa" w:w="69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Mixed audience. Accessible-confident register. Good for corporate milestones and program awareness.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Instagram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Visual-first. Short, calm captions. Strong for J-1 candidate experience (within firewall) and corporate culture.</w:t>
            </w:r>
          </w:p>
        </w:tc>
      </w:tr>
      <w:tr>
        <w:tc>
          <w:tcPr>
            <w:tcW w:type="dxa" w:w="24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YouTube</w:t>
            </w:r>
          </w:p>
        </w:tc>
        <w:tc>
          <w:tcPr>
            <w:tcW w:type="dxa" w:w="69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Long-form proof: recruitment videos, program explainers. Scripts follow this guide; production follows the J-1 video pipeline 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TikTok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Accessible register, authentic over polished. Highest firewall discipline — division content stays cleanly separated.</w:t>
            </w:r>
          </w:p>
        </w:tc>
      </w:tr>
      <w:tr>
        <w:tc>
          <w:tcPr>
            <w:tcW w:type="dxa" w:w="240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rPr>
                <w:b/>
                <w:bCs/>
              </w:rPr>
              <w:t xml:space="preserve">Email</w:t>
            </w:r>
          </w:p>
        </w:tc>
        <w:tc>
          <w:tcPr>
            <w:tcW w:type="dxa" w:w="6960"/>
            <w:tcBorders>
              <w:top w:val="single" w:color="CCCCCC" w:sz="1"/>
              <w:left w:val="single" w:color="CCCCCC" w:sz="1"/>
              <w:bottom w:val="single" w:color="CCCCCC" w:sz="1"/>
              <w:right w:val="single" w:color="CCCCCC" w:sz="1"/>
            </w:tcBorders>
            <w:shd w:fill="F4F7F9" w:val="clear"/>
            <w:tcMar>
              <w:top w:type="dxa" w:w="80"/>
              <w:left w:type="dxa" w:w="120"/>
              <w:bottom w:type="dxa" w:w="80"/>
              <w:right w:type="dxa" w:w="120"/>
            </w:tcMar>
          </w:tcPr>
          <w:p>
            <w:r>
              <w:t xml:space="preserve">Direct and useful. Subject lines state the point. No pressure language. One clear action per message.</w:t>
            </w:r>
          </w:p>
        </w:tc>
      </w:tr>
    </w:tbl>
    <w:p>
      <w:pPr>
        <w:pStyle w:val="Heading1"/>
      </w:pPr>
      <w:r>
        <w:t xml:space="preserve">9. The One-Line Test</w:t>
      </w:r>
    </w:p>
    <w:p>
      <w:pPr>
        <w:spacing w:after="160"/>
      </w:pPr>
      <w:r>
        <w:t xml:space="preserve">Before any CTI content is published, it passes this check. If the answer to any question is no, the content is revised:</w:t>
      </w:r>
    </w:p>
    <w:p>
      <w:pPr>
        <w:pStyle w:val="ListParagraph"/>
        <w:numPr>
          <w:ilvl w:val="0"/>
          <w:numId w:val="3"/>
        </w:numPr>
        <w:spacing w:after="80"/>
      </w:pPr>
      <w:r>
        <w:t xml:space="preserve">Does it lead with proof rather than adjectives?</w:t>
      </w:r>
    </w:p>
    <w:p>
      <w:pPr>
        <w:pStyle w:val="ListParagraph"/>
        <w:numPr>
          <w:ilvl w:val="0"/>
          <w:numId w:val="3"/>
        </w:numPr>
        <w:spacing w:after="80"/>
      </w:pPr>
      <w:r>
        <w:t xml:space="preserve">Does it sound like an experienced peer, not a vendor pitching?</w:t>
      </w:r>
    </w:p>
    <w:p>
      <w:pPr>
        <w:pStyle w:val="ListParagraph"/>
        <w:numPr>
          <w:ilvl w:val="0"/>
          <w:numId w:val="3"/>
        </w:numPr>
        <w:spacing w:after="80"/>
      </w:pPr>
      <w:r>
        <w:t xml:space="preserve">Is every sentence necessary?</w:t>
      </w:r>
    </w:p>
    <w:p>
      <w:pPr>
        <w:pStyle w:val="ListParagraph"/>
        <w:numPr>
          <w:ilvl w:val="0"/>
          <w:numId w:val="3"/>
        </w:numPr>
        <w:spacing w:after="80"/>
      </w:pPr>
      <w:r>
        <w:t xml:space="preserve">Is it free of hype and pressure language?</w:t>
      </w:r>
    </w:p>
    <w:p>
      <w:pPr>
        <w:pStyle w:val="ListParagraph"/>
        <w:numPr>
          <w:ilvl w:val="0"/>
          <w:numId w:val="3"/>
        </w:numPr>
        <w:spacing w:after="80"/>
      </w:pPr>
      <w:r>
        <w:t xml:space="preserve">Does it respect the cruise / J-1 firewall completely?</w:t>
      </w:r>
    </w:p>
    <w:p>
      <w:pPr>
        <w:pStyle w:val="ListParagraph"/>
        <w:numPr>
          <w:ilvl w:val="0"/>
          <w:numId w:val="3"/>
        </w:numPr>
        <w:spacing w:after="80"/>
      </w:pPr>
      <w:r>
        <w:t xml:space="preserve">Would a forty-year institution be comfortable putting its name on it?</w:t>
      </w:r>
    </w:p>
    <w:p>
      <w:pPr>
        <w:spacing w:after="160"/>
      </w:pPr>
      <w:r>
        <w:rPr>
          <w:b/>
          <w:bCs/>
        </w:rPr>
        <w:t xml:space="preserve">Six yeses means it sounds like CTI. That is the entire standard.</w:t>
      </w:r>
    </w:p>
    <w:p>
      <w:r>
        <w:br w:type="page"/>
      </w:r>
    </w:p>
    <w:p>
      <w:pPr>
        <w:pStyle w:val="Heading1"/>
      </w:pPr>
      <w:r>
        <w:t xml:space="preserve">Appendix: Quick Card</w:t>
      </w:r>
    </w:p>
    <w:p>
      <w:pPr>
        <w:spacing w:after="160"/>
      </w:pPr>
      <w:r>
        <w:t xml:space="preserve">For fast reference when producing content:</w:t>
      </w:r>
    </w:p>
    <w:p>
      <w:pPr>
        <w:spacing w:after="160"/>
      </w:pPr>
      <w:r>
        <w:rPr>
          <w:b/>
          <w:bCs/>
        </w:rPr>
        <w:t xml:space="preserve">VOICE: Established. Precise. Composed. Global. Reliable.</w:t>
      </w:r>
    </w:p>
    <w:p>
      <w:pPr>
        <w:spacing w:after="160"/>
      </w:pPr>
      <w:r>
        <w:rPr>
          <w:b/>
          <w:bCs/>
        </w:rPr>
        <w:t xml:space="preserve">RULE 1: Proof, not adjectives.</w:t>
      </w:r>
    </w:p>
    <w:p>
      <w:pPr>
        <w:spacing w:after="160"/>
      </w:pPr>
      <w:r>
        <w:rPr>
          <w:b/>
          <w:bCs/>
        </w:rPr>
        <w:t xml:space="preserve">RULE 2: Peer, not vendor.</w:t>
      </w:r>
    </w:p>
    <w:p>
      <w:pPr>
        <w:spacing w:after="160"/>
      </w:pPr>
      <w:r>
        <w:rPr>
          <w:b/>
          <w:bCs/>
        </w:rPr>
        <w:t xml:space="preserve">RULE 3: Concise and calm — no pressure.</w:t>
      </w:r>
    </w:p>
    <w:p>
      <w:pPr>
        <w:spacing w:after="160"/>
      </w:pPr>
      <w:r>
        <w:rPr>
          <w:b/>
          <w:bCs/>
        </w:rPr>
        <w:t xml:space="preserve">RULE 4: Cruise and J-1 never mixed in one piece.</w:t>
      </w:r>
    </w:p>
    <w:p>
      <w:pPr>
        <w:spacing w:after="160"/>
      </w:pPr>
      <w:r>
        <w:rPr>
          <w:b/>
          <w:bCs/>
        </w:rPr>
        <w:t xml:space="preserve">TEST: Would a 40-year institution sign its name to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Confidential — Internal Use — Page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B"/>
        <w:sz w:val="16"/>
        <w:szCs w:val="16"/>
      </w:rPr>
      <w:t xml:space="preserve">CTI Group Worldwide Services Inc. — Brand Voice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A1628"/>
      <w:sz w:val="52"/>
      <w:szCs w:val="52"/>
    </w:rPr>
  </w:style>
  <w:style w:type="paragraph" w:styleId="Heading1">
    <w:name w:val="Heading 1"/>
    <w:basedOn w:val="Normal"/>
    <w:next w:val="Normal"/>
    <w:qFormat/>
    <w:pPr>
      <w:pBdr>
        <w:bottom w:val="single" w:color="14B8A6" w:sz="6" w:space="2"/>
      </w:pBd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4B8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2026-05-19T20:58:45.088Z</dcterms:created>
  <dcterms:modified xsi:type="dcterms:W3CDTF">2026-05-19T20:58:45.088Z</dcterms:modified>
</cp:coreProperties>
</file>

<file path=docProps/custom.xml><?xml version="1.0" encoding="utf-8"?>
<Properties xmlns="http://schemas.openxmlformats.org/officeDocument/2006/custom-properties" xmlns:vt="http://schemas.openxmlformats.org/officeDocument/2006/docPropsVTypes"/>
</file>