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Calibri" w:cs="Calibri" w:eastAsia="Calibri" w:hAnsi="Calibri"/>
          <w:b/>
          <w:bCs/>
          <w:color w:val="1F3864"/>
          <w:sz w:val="44"/>
          <w:szCs w:val="44"/>
        </w:rPr>
        <w:t xml:space="preserve">SPELLING BEE</w:t>
      </w:r>
    </w:p>
    <w:p>
      <w:pPr>
        <w:spacing w:after="400"/>
        <w:jc w:val="center"/>
      </w:pPr>
      <w:r>
        <w:rPr>
          <w:rFonts w:ascii="Calibri" w:cs="Calibri" w:eastAsia="Calibri" w:hAnsi="Calibri"/>
          <w:i/>
          <w:iCs/>
          <w:sz w:val="26"/>
          <w:szCs w:val="26"/>
        </w:rPr>
        <w:t xml:space="preserve">A Gamified, Voice-Only Spelling Practice Web Application</w:t>
      </w:r>
    </w:p>
    <w:p>
      <w:pPr>
        <w:spacing w:after="800"/>
        <w:jc w:val="center"/>
      </w:pPr>
      <w:r>
        <w:rPr>
          <w:rFonts w:ascii="Calibri" w:cs="Calibri" w:eastAsia="Calibri" w:hAnsi="Calibri"/>
          <w:b/>
          <w:bCs/>
          <w:sz w:val="28"/>
          <w:szCs w:val="28"/>
        </w:rPr>
        <w:t xml:space="preserve">PROJECT REPORT</w:t>
      </w:r>
    </w:p>
    <w:p>
      <w:pPr>
        <w:spacing w:after="60"/>
        <w:jc w:val="center"/>
      </w:pPr>
      <w:r>
        <w:rPr>
          <w:rFonts w:ascii="Calibri" w:cs="Calibri" w:eastAsia="Calibri" w:hAnsi="Calibri"/>
          <w:b/>
          <w:bCs/>
          <w:sz w:val="22"/>
          <w:szCs w:val="22"/>
        </w:rPr>
        <w:t xml:space="preserve">Student Name:</w:t>
      </w:r>
    </w:p>
    <w:p>
      <w:pPr>
        <w:spacing w:after="240"/>
        <w:jc w:val="center"/>
      </w:pPr>
      <w:r>
        <w:rPr>
          <w:rFonts w:ascii="Calibri" w:cs="Calibri" w:eastAsia="Calibri" w:hAnsi="Calibri"/>
          <w:sz w:val="22"/>
          <w:szCs w:val="22"/>
        </w:rPr>
        <w:t xml:space="preserve">Owusu Robert</w:t>
      </w:r>
    </w:p>
    <w:p>
      <w:pPr>
        <w:spacing w:after="60"/>
        <w:jc w:val="center"/>
      </w:pPr>
      <w:r>
        <w:rPr>
          <w:rFonts w:ascii="Calibri" w:cs="Calibri" w:eastAsia="Calibri" w:hAnsi="Calibri"/>
          <w:b/>
          <w:bCs/>
          <w:sz w:val="22"/>
          <w:szCs w:val="22"/>
        </w:rPr>
        <w:t xml:space="preserve">Student ID / Class:</w:t>
      </w:r>
    </w:p>
    <w:p>
      <w:pPr>
        <w:spacing w:after="240"/>
        <w:jc w:val="center"/>
      </w:pPr>
      <w:r>
        <w:rPr>
          <w:rFonts w:ascii="Calibri" w:cs="Calibri" w:eastAsia="Calibri" w:hAnsi="Calibri"/>
          <w:sz w:val="22"/>
          <w:szCs w:val="22"/>
        </w:rPr>
        <w:t xml:space="preserve">____________________________</w:t>
      </w:r>
    </w:p>
    <w:p>
      <w:pPr>
        <w:spacing w:after="60"/>
        <w:jc w:val="center"/>
      </w:pPr>
      <w:r>
        <w:rPr>
          <w:rFonts w:ascii="Calibri" w:cs="Calibri" w:eastAsia="Calibri" w:hAnsi="Calibri"/>
          <w:b/>
          <w:bCs/>
          <w:sz w:val="22"/>
          <w:szCs w:val="22"/>
        </w:rPr>
        <w:t xml:space="preserve">Course / Module:</w:t>
      </w:r>
    </w:p>
    <w:p>
      <w:pPr>
        <w:spacing w:after="240"/>
        <w:jc w:val="center"/>
      </w:pPr>
      <w:r>
        <w:rPr>
          <w:rFonts w:ascii="Calibri" w:cs="Calibri" w:eastAsia="Calibri" w:hAnsi="Calibri"/>
          <w:sz w:val="22"/>
          <w:szCs w:val="22"/>
        </w:rPr>
        <w:t xml:space="preserve">____________________________</w:t>
      </w:r>
    </w:p>
    <w:p>
      <w:pPr>
        <w:spacing w:after="60"/>
        <w:jc w:val="center"/>
      </w:pPr>
      <w:r>
        <w:rPr>
          <w:rFonts w:ascii="Calibri" w:cs="Calibri" w:eastAsia="Calibri" w:hAnsi="Calibri"/>
          <w:b/>
          <w:bCs/>
          <w:sz w:val="22"/>
          <w:szCs w:val="22"/>
        </w:rPr>
        <w:t xml:space="preserve">Institution:</w:t>
      </w:r>
    </w:p>
    <w:p>
      <w:pPr>
        <w:spacing w:after="240"/>
        <w:jc w:val="center"/>
      </w:pPr>
      <w:r>
        <w:rPr>
          <w:rFonts w:ascii="Calibri" w:cs="Calibri" w:eastAsia="Calibri" w:hAnsi="Calibri"/>
          <w:sz w:val="22"/>
          <w:szCs w:val="22"/>
        </w:rPr>
        <w:t xml:space="preserve">Kumasi Technical University</w:t>
      </w:r>
    </w:p>
    <w:p>
      <w:pPr>
        <w:spacing w:after="60"/>
        <w:jc w:val="center"/>
      </w:pPr>
      <w:r>
        <w:rPr>
          <w:rFonts w:ascii="Calibri" w:cs="Calibri" w:eastAsia="Calibri" w:hAnsi="Calibri"/>
          <w:b/>
          <w:bCs/>
          <w:sz w:val="22"/>
          <w:szCs w:val="22"/>
        </w:rPr>
        <w:t xml:space="preserve">Supervisor:</w:t>
      </w:r>
    </w:p>
    <w:p>
      <w:pPr>
        <w:spacing w:after="240"/>
        <w:jc w:val="center"/>
      </w:pPr>
      <w:r>
        <w:rPr>
          <w:rFonts w:ascii="Calibri" w:cs="Calibri" w:eastAsia="Calibri" w:hAnsi="Calibri"/>
          <w:sz w:val="22"/>
          <w:szCs w:val="22"/>
        </w:rPr>
        <w:t xml:space="preserve">____________________________</w:t>
      </w:r>
    </w:p>
    <w:p>
      <w:pPr>
        <w:spacing w:after="800"/>
      </w:pPr>
    </w:p>
    <w:p>
      <w:pPr>
        <w:jc w:val="center"/>
      </w:pPr>
      <w:r>
        <w:rPr>
          <w:rFonts w:ascii="Calibri" w:cs="Calibri" w:eastAsia="Calibri" w:hAnsi="Calibri"/>
          <w:sz w:val="22"/>
          <w:szCs w:val="22"/>
        </w:rPr>
        <w:t xml:space="preserve">September 2026</w:t>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spacing w:after="24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808080"/>
          <w:sz w:val="18"/>
          <w:szCs w:val="18"/>
        </w:rPr>
        <w:t xml:space="preserve">(Right-click the table above and choose "Update Field" in Word to populate page numbers.)</w:t>
      </w:r>
    </w:p>
    <w:p>
      <w:r>
        <w:br w:type="page"/>
      </w:r>
    </w:p>
    <w:p>
      <w:pPr>
        <w:sectPr>
          <w:pgSz w:w="11906" w:h="16838" w:orient="portrait"/>
          <w:pgMar w:top="1440" w:right="1440" w:bottom="1440" w:left="1440" w:header="708" w:footer="708" w:gutter="0"/>
          <w:pgNumType/>
          <w:docGrid w:linePitch="360"/>
        </w:sectPr>
      </w:pPr>
    </w:p>
    <w:p>
      <w:pPr>
        <w:pStyle w:val="Heading1"/>
        <w:pageBreakBefore/>
        <w:spacing w:after="240" w:before="400"/>
      </w:pPr>
      <w:r>
        <w:t xml:space="preserve">CHAPTER ONE: INTRODUCTION</w:t>
      </w:r>
    </w:p>
    <w:p>
      <w:pPr>
        <w:pStyle w:val="Heading2"/>
        <w:spacing w:after="160" w:before="300"/>
      </w:pPr>
      <w:r>
        <w:t xml:space="preserve">1.1 Background of the Study</w:t>
      </w:r>
    </w:p>
    <w:p>
      <w:pPr>
        <w:spacing w:after="200" w:line="276"/>
        <w:jc w:val="both"/>
      </w:pPr>
      <w:r>
        <w:rPr>
          <w:rFonts w:ascii="Calibri" w:cs="Calibri" w:eastAsia="Calibri" w:hAnsi="Calibri"/>
          <w:sz w:val="22"/>
          <w:szCs w:val="22"/>
        </w:rPr>
        <w:t xml:space="preserve">Spelling is a foundational literacy skill: it underpins reading fluency, comprehension and confident written communication, and difficulties with it are known to persist well beyond the early grades. In the Ghanaian context, Atatsi and Amoakohene (2019) found that spelling errors remain common even among Technical University students, with omission, insertion, substitution and transposition errors dominating learners' written work. Broader research on literacy in Ghanaian basic schools similarly points to limited access to structured, engaging practice materials as a persistent barrier to stronger reading and writing outcomes.</w:t>
      </w:r>
    </w:p>
    <w:p>
      <w:pPr>
        <w:spacing w:after="200" w:line="276"/>
        <w:jc w:val="both"/>
      </w:pPr>
      <w:r>
        <w:rPr>
          <w:rFonts w:ascii="Calibri" w:cs="Calibri" w:eastAsia="Calibri" w:hAnsi="Calibri"/>
          <w:sz w:val="22"/>
          <w:szCs w:val="22"/>
        </w:rPr>
        <w:t xml:space="preserve">Traditional spelling instruction in many Ghanaian basic schools still relies heavily on written dictation and repetitive copying. While these methods have a role to play, they place a premium on a learner's handwriting or typing ability rather than on the spelling skill itself, and they rarely provide the learner with immediate, individualised feedback. Emerging evidence from educational technology research suggests that two complementary approaches can help close this gap: gamification, which uses game-like elements such as points, streaks and badges to sustain motivation (Mohammed, Fatemah &amp; Hassan, 2024), and speech-recognition technology, which allows a learner to demonstrate spelling knowledge by speaking rather than typing (Raskind &amp; Higgins, 1999).</w:t>
      </w:r>
    </w:p>
    <w:p>
      <w:pPr>
        <w:spacing w:after="200" w:line="276"/>
        <w:jc w:val="both"/>
      </w:pPr>
      <w:r>
        <w:rPr>
          <w:rFonts w:ascii="Calibri" w:cs="Calibri" w:eastAsia="Calibri" w:hAnsi="Calibri"/>
          <w:sz w:val="22"/>
          <w:szCs w:val="22"/>
        </w:rPr>
        <w:t xml:space="preserve">This project was undertaken during an industrial attachment at Ed Emporia Educational Services, a STEAM education company based at the Kwame Nkrumah University of Science and Technology (KNUST) in Kumasi, and grew out of a practical need observed in that setting: a way for young learners to practise spelling that does not depend on typing skill, that can be used safely and independently, and that gives parents, teachers and school administrators visibility into a learner's progress.</w:t>
      </w:r>
    </w:p>
    <w:p>
      <w:pPr>
        <w:spacing w:after="200" w:line="276"/>
        <w:jc w:val="both"/>
      </w:pPr>
      <w:r>
        <w:rPr>
          <w:rFonts w:ascii="Calibri" w:cs="Calibri" w:eastAsia="Calibri" w:hAnsi="Calibri"/>
          <w:sz w:val="22"/>
          <w:szCs w:val="22"/>
        </w:rPr>
        <w:t xml:space="preserve">The Spelling Bee system responds to this need. It is a single-school web application in which every word is read aloud through text-to-speech and the learner answers by speaking the letters aloud; the spoken answer is recognised and graded on the device, making the practice experience genuinely hands-free and voice-only. Parents register and manage their children's profiles, teachers organise learners into classrooms and manage a shared school word bank, an administrator oversees the platform as a whole, and students play practice rounds that earn points, streaks, hearts, badges and daily-challenge bonuses. The system is served as a single website backed by one API, with data stored in a hosted PostgreSQL database on Supabase.</w:t>
      </w:r>
    </w:p>
    <w:p>
      <w:pPr>
        <w:pStyle w:val="Heading2"/>
        <w:spacing w:after="160" w:before="300"/>
      </w:pPr>
      <w:r>
        <w:t xml:space="preserve">1.2 Statement of the Problem</w:t>
      </w:r>
    </w:p>
    <w:p>
      <w:pPr>
        <w:spacing w:after="200" w:line="276"/>
        <w:jc w:val="both"/>
      </w:pPr>
      <w:r>
        <w:rPr>
          <w:rFonts w:ascii="Calibri" w:cs="Calibri" w:eastAsia="Calibri" w:hAnsi="Calibri"/>
          <w:sz w:val="22"/>
          <w:szCs w:val="22"/>
        </w:rPr>
        <w:t xml:space="preserve">As Chapter Two sets out in more detail, the spelling applications already in wide use are predominantly typing- or tapping-based. This design choice assumes a level of keyboard or touchscreen fluency that many early-grade learners have not yet developed, and it offers little support to learners who struggle to translate a spoken word into typed letters in the first place. At the same time, the dictation-based practice that is common in Ghanaian classrooms provides no immediate, individualised feedback, and it is difficult for a single teacher to grade the practice of every learner in a class on an ongoing basis.</w:t>
      </w:r>
    </w:p>
    <w:p>
      <w:pPr>
        <w:spacing w:after="200" w:line="276"/>
        <w:jc w:val="both"/>
      </w:pPr>
      <w:r>
        <w:rPr>
          <w:rFonts w:ascii="Calibri" w:cs="Calibri" w:eastAsia="Calibri" w:hAnsi="Calibri"/>
          <w:sz w:val="22"/>
          <w:szCs w:val="22"/>
        </w:rPr>
        <w:t xml:space="preserve">There is, therefore, a need for a spelling-practice tool that (i) lets an early-grade learner demonstrate their spelling knowledge by speaking rather than typing, (ii) keeps learners motivated over repeated practice sessions through structured, game-like feedback, (iii) cannot simply be self-marked or manipulated by the learner's device, and (iv) gives the different people responsible for a learner's progress — parents, teachers and school administrators — an appropriate view of that progress. The Spelling Bee project was designed and built to address this need.</w:t>
      </w:r>
    </w:p>
    <w:p>
      <w:pPr>
        <w:pStyle w:val="Heading2"/>
        <w:spacing w:after="160" w:before="300"/>
      </w:pPr>
      <w:r>
        <w:t xml:space="preserve">1.3 Aim and Objectives of the Study</w:t>
      </w:r>
    </w:p>
    <w:p>
      <w:pPr>
        <w:spacing w:after="200" w:line="276"/>
        <w:jc w:val="both"/>
      </w:pPr>
      <w:r>
        <w:rPr>
          <w:rFonts w:ascii="Calibri" w:cs="Calibri" w:eastAsia="Calibri" w:hAnsi="Calibri"/>
          <w:sz w:val="22"/>
          <w:szCs w:val="22"/>
        </w:rPr>
        <w:t xml:space="preserve">The aim of this project is to design, build and verify a complete, production-quality full-stack web application for voice-based, gamified spelling practice, suitable for use in a single-school setting. The specific objectives are to:</w:t>
      </w:r>
    </w:p>
    <w:p>
      <w:pPr>
        <w:pStyle w:val="ListParagraph"/>
        <w:numPr>
          <w:ilvl w:val="0"/>
          <w:numId w:val="2"/>
        </w:numPr>
        <w:spacing w:after="120"/>
        <w:jc w:val="both"/>
      </w:pPr>
      <w:r>
        <w:rPr>
          <w:rFonts w:ascii="Calibri" w:cs="Calibri" w:eastAsia="Calibri" w:hAnsi="Calibri"/>
          <w:sz w:val="22"/>
          <w:szCs w:val="22"/>
        </w:rPr>
        <w:t xml:space="preserve">Build a complete, production-quality full-stack web application for voice-based spelling practice.</w:t>
      </w:r>
    </w:p>
    <w:p>
      <w:pPr>
        <w:pStyle w:val="ListParagraph"/>
        <w:numPr>
          <w:ilvl w:val="0"/>
          <w:numId w:val="2"/>
        </w:numPr>
        <w:spacing w:after="120"/>
        <w:jc w:val="both"/>
      </w:pPr>
      <w:r>
        <w:rPr>
          <w:rFonts w:ascii="Calibri" w:cs="Calibri" w:eastAsia="Calibri" w:hAnsi="Calibri"/>
          <w:sz w:val="22"/>
          <w:szCs w:val="22"/>
        </w:rPr>
        <w:t xml:space="preserve">Motivate learners through gamification — difficulty tiers, streaks, hearts, points, badges and a daily challenge.</w:t>
      </w:r>
    </w:p>
    <w:p>
      <w:pPr>
        <w:pStyle w:val="ListParagraph"/>
        <w:numPr>
          <w:ilvl w:val="0"/>
          <w:numId w:val="2"/>
        </w:numPr>
        <w:spacing w:after="120"/>
        <w:jc w:val="both"/>
      </w:pPr>
      <w:r>
        <w:rPr>
          <w:rFonts w:ascii="Calibri" w:cs="Calibri" w:eastAsia="Calibri" w:hAnsi="Calibri"/>
          <w:sz w:val="22"/>
          <w:szCs w:val="22"/>
        </w:rPr>
        <w:t xml:space="preserve">Give parents, teachers and administrators clear dashboards over progress, classrooms and the word bank.</w:t>
      </w:r>
    </w:p>
    <w:p>
      <w:pPr>
        <w:pStyle w:val="ListParagraph"/>
        <w:numPr>
          <w:ilvl w:val="0"/>
          <w:numId w:val="2"/>
        </w:numPr>
        <w:spacing w:after="120"/>
        <w:jc w:val="both"/>
      </w:pPr>
      <w:r>
        <w:rPr>
          <w:rFonts w:ascii="Calibri" w:cs="Calibri" w:eastAsia="Calibri" w:hAnsi="Calibri"/>
          <w:sz w:val="22"/>
          <w:szCs w:val="22"/>
        </w:rPr>
        <w:t xml:space="preserve">Apply real-world security and data-protection practices (encrypted passwords, secure sessions, Row Level Security).</w:t>
      </w:r>
    </w:p>
    <w:p>
      <w:pPr>
        <w:pStyle w:val="ListParagraph"/>
        <w:numPr>
          <w:ilvl w:val="0"/>
          <w:numId w:val="2"/>
        </w:numPr>
        <w:spacing w:after="120"/>
        <w:jc w:val="both"/>
      </w:pPr>
      <w:r>
        <w:rPr>
          <w:rFonts w:ascii="Calibri" w:cs="Calibri" w:eastAsia="Calibri" w:hAnsi="Calibri"/>
          <w:sz w:val="22"/>
          <w:szCs w:val="22"/>
        </w:rPr>
        <w:t xml:space="preserve">Verify the system through automated endpoint testing, type-checking and a clean build.</w:t>
      </w:r>
    </w:p>
    <w:p>
      <w:pPr>
        <w:pStyle w:val="Heading2"/>
        <w:spacing w:after="160" w:before="300"/>
      </w:pPr>
      <w:r>
        <w:t xml:space="preserve">1.4 Significance of the Study</w:t>
      </w:r>
    </w:p>
    <w:p>
      <w:pPr>
        <w:spacing w:after="200" w:line="276"/>
        <w:jc w:val="both"/>
      </w:pPr>
      <w:r>
        <w:rPr>
          <w:rFonts w:ascii="Calibri" w:cs="Calibri" w:eastAsia="Calibri" w:hAnsi="Calibri"/>
          <w:sz w:val="22"/>
          <w:szCs w:val="22"/>
        </w:rPr>
        <w:t xml:space="preserve">For learners, the system offers a way to practise spelling that does not depend on typing ability, which is particularly valuable for early readers who are still developing keyboard fluency. For teachers and administrators at a school such as Ed Emporia, it offers a shared word bank and classroom-level analytics that would otherwise have to be maintained manually. For parents, it offers visibility into a child's progress without requiring technical expertise. More broadly, the project contributes a working, security-conscious example of how gamification and speech interaction can be combined in an educational technology product built for a Ghanaian setting, at a time when locally grounded research and tooling in this area remains limited (Atatsi &amp; Amoakohene, 2019).</w:t>
      </w:r>
    </w:p>
    <w:p>
      <w:pPr>
        <w:pStyle w:val="Heading2"/>
        <w:spacing w:after="160" w:before="300"/>
      </w:pPr>
      <w:r>
        <w:t xml:space="preserve">1.5 Scope of the Study</w:t>
      </w:r>
    </w:p>
    <w:p>
      <w:pPr>
        <w:spacing w:after="200" w:line="276"/>
        <w:jc w:val="both"/>
      </w:pPr>
      <w:r>
        <w:rPr>
          <w:rFonts w:ascii="Calibri" w:cs="Calibri" w:eastAsia="Calibri" w:hAnsi="Calibri"/>
          <w:sz w:val="22"/>
          <w:szCs w:val="22"/>
        </w:rPr>
        <w:t xml:space="preserve">The project covers user authentication (parent, teacher, admin and student-code login), learner management, practice rounds with server-side grading, tier progression, badges, a deterministic daily challenge, class leaderboards, classroom management, and a shared, admin-managed word bank with dictionary lookup and CSV import. The system is scoped to a single school and to English-language spelling practice; multi-school deployment, additional languages and live pronunciation feedback are identified in Chapter Five as directions for future work rather than as part of the current scope.</w:t>
      </w:r>
    </w:p>
    <w:p>
      <w:pPr>
        <w:pStyle w:val="Heading2"/>
        <w:spacing w:after="160" w:before="300"/>
      </w:pPr>
      <w:r>
        <w:t xml:space="preserve">1.6 Organisation of the Report</w:t>
      </w:r>
    </w:p>
    <w:p>
      <w:pPr>
        <w:spacing w:after="200" w:line="276"/>
        <w:jc w:val="both"/>
      </w:pPr>
      <w:r>
        <w:rPr>
          <w:rFonts w:ascii="Calibri" w:cs="Calibri" w:eastAsia="Calibri" w:hAnsi="Calibri"/>
          <w:sz w:val="22"/>
          <w:szCs w:val="22"/>
        </w:rPr>
        <w:t xml:space="preserve">The rest of this report is organised as follows. Chapter Two reviews literature on spelling and literacy development, gamification in education, and speech-recognition technology in literacy instruction, and sets out the theoretical and conceptual framework that informed the system's design. Chapter Three describes the methodology followed in developing the system, including the tools used, the system architecture, the database design and the security design. Chapter Four presents the results of the implementation and testing, and discusses them in relation to the objectives and literature. Chapter Five summarises the findings, concludes the report, and makes recommendations for future work.</w:t>
      </w:r>
    </w:p>
    <w:p>
      <w:pPr>
        <w:pStyle w:val="Heading1"/>
        <w:pageBreakBefore/>
        <w:spacing w:after="240" w:before="400"/>
      </w:pPr>
      <w:r>
        <w:t xml:space="preserve">CHAPTER TWO: LITERATURE REVIEW</w:t>
      </w:r>
    </w:p>
    <w:p>
      <w:pPr>
        <w:pStyle w:val="Heading2"/>
        <w:spacing w:after="160" w:before="300"/>
      </w:pPr>
      <w:r>
        <w:t xml:space="preserve">2.1 Introduction</w:t>
      </w:r>
    </w:p>
    <w:p>
      <w:pPr>
        <w:spacing w:after="200" w:line="276"/>
        <w:jc w:val="both"/>
      </w:pPr>
      <w:r>
        <w:rPr>
          <w:rFonts w:ascii="Calibri" w:cs="Calibri" w:eastAsia="Calibri" w:hAnsi="Calibri"/>
          <w:sz w:val="22"/>
          <w:szCs w:val="22"/>
        </w:rPr>
        <w:t xml:space="preserve">This chapter reviews existing research relevant to the Spelling Bee project under three broad strands: the role of spelling in literacy development, gamification as a motivational strategy in education, and the use of speech-recognition technology in literacy and spelling instruction. It then reviews a small sample of existing spelling applications to identify the gap the project addresses, before presenting the theoretical and conceptual framework that guided the system's design.</w:t>
      </w:r>
    </w:p>
    <w:p>
      <w:pPr>
        <w:pStyle w:val="Heading2"/>
        <w:spacing w:after="160" w:before="300"/>
      </w:pPr>
      <w:r>
        <w:t xml:space="preserve">2.2 The Role of Spelling in Literacy Development</w:t>
      </w:r>
    </w:p>
    <w:p>
      <w:pPr>
        <w:spacing w:after="200" w:line="276"/>
        <w:jc w:val="both"/>
      </w:pPr>
      <w:r>
        <w:rPr>
          <w:rFonts w:ascii="Calibri" w:cs="Calibri" w:eastAsia="Calibri" w:hAnsi="Calibri"/>
          <w:sz w:val="22"/>
          <w:szCs w:val="22"/>
        </w:rPr>
        <w:t xml:space="preserve">Spelling competence is widely treated in the literature as closely linked to reading and writing ability rather than as an isolated skill. Atatsi and Amoakohene (2019) studied 275 students across three academic levels at a Technical University in Ghana and found that spelling errors were common at every level, with unfamiliarity with a word, uncertainty about its pronunciation, and a failure to proofread written work identified as the main causes. Their findings, together with the wider Applied Linguistics literature they cite, support the view that spelling difficulties are not confined to early learners and that they can persist into tertiary education when not addressed early. This underlines the value of giving basic-school learners repeated, well-supported opportunities to practise spelling rather than treating it as a skill that is mastered once and then assumed.</w:t>
      </w:r>
    </w:p>
    <w:p>
      <w:pPr>
        <w:pStyle w:val="Heading2"/>
        <w:spacing w:after="160" w:before="300"/>
      </w:pPr>
      <w:r>
        <w:t xml:space="preserve">2.3 Gamification in Education</w:t>
      </w:r>
    </w:p>
    <w:p>
      <w:pPr>
        <w:spacing w:after="200" w:line="276"/>
        <w:jc w:val="both"/>
      </w:pPr>
      <w:r>
        <w:rPr>
          <w:rFonts w:ascii="Calibri" w:cs="Calibri" w:eastAsia="Calibri" w:hAnsi="Calibri"/>
          <w:sz w:val="22"/>
          <w:szCs w:val="22"/>
        </w:rPr>
        <w:t xml:space="preserve">Gamification refers to the use of game-design elements — points, badges, streaks and leaderboards among them — in a non-game context such as a classroom or a learning application. A systematic review of gamified learning strategies reports that such elements are widely used to influence student motivation, though the effect can combine genuine engagement with a short-lived novelty effect that fades with repeated exposure. The dominant theoretical lens used to explain why gamification affects motivation is Self-Determination Theory (SDT), which holds that motivation is strongest when an activity satisfies three basic psychological needs: autonomy, competence and relatedness (Deci &amp; Ryan, 1985).</w:t>
      </w:r>
    </w:p>
    <w:p>
      <w:pPr>
        <w:spacing w:after="200" w:line="276"/>
        <w:jc w:val="both"/>
      </w:pPr>
      <w:r>
        <w:rPr>
          <w:rFonts w:ascii="Calibri" w:cs="Calibri" w:eastAsia="Calibri" w:hAnsi="Calibri"/>
          <w:sz w:val="22"/>
          <w:szCs w:val="22"/>
        </w:rPr>
        <w:t xml:space="preserve">Empirical support for gamification's effect on younger learners in a developing-country setting comes from Mohammed, Fatemah and Hassan (2024), who ran a field experiment with primary-school pupils in Egypt comparing badges against leaderboards as rewards in an educational game. Both reward types produced statistically significant increases in the pupils' cognitive and achievement motivation, with no significant difference between the two, suggesting that the overall design and novelty of a gamified experience matters at least as much as the specific choice of reward mechanic. This finding is directly relevant to the Spelling Bee system, which combines several reward mechanics — points, streaks, hearts, badges and a daily challenge — rather than relying on a single one.</w:t>
      </w:r>
    </w:p>
    <w:p>
      <w:pPr>
        <w:pStyle w:val="Heading2"/>
        <w:spacing w:after="160" w:before="300"/>
      </w:pPr>
      <w:r>
        <w:t xml:space="preserve">2.4 Speech Recognition Technology in Literacy and Spelling Instruction</w:t>
      </w:r>
    </w:p>
    <w:p>
      <w:pPr>
        <w:spacing w:after="200" w:line="276"/>
        <w:jc w:val="both"/>
      </w:pPr>
      <w:r>
        <w:rPr>
          <w:rFonts w:ascii="Calibri" w:cs="Calibri" w:eastAsia="Calibri" w:hAnsi="Calibri"/>
          <w:sz w:val="22"/>
          <w:szCs w:val="22"/>
        </w:rPr>
        <w:t xml:space="preserve">Speech-recognition technology has a longer history in literacy instruction than gamification does. Raskind and Higgins (1999) studied elementary and secondary students with learning disabilities who used speech-recognition software to write self-selected compositions over sixteen weeks, and found that the group using the technology showed significantly greater improvement in word recognition, spelling and reading comprehension than a control group that received general computer instruction. Their work established that speech-recognition technology, though originally designed as a compensatory writing aid, can also produce genuine gains in spelling and reading.</w:t>
      </w:r>
    </w:p>
    <w:p>
      <w:pPr>
        <w:spacing w:after="200" w:line="276"/>
        <w:jc w:val="both"/>
      </w:pPr>
      <w:r>
        <w:rPr>
          <w:rFonts w:ascii="Calibri" w:cs="Calibri" w:eastAsia="Calibri" w:hAnsi="Calibri"/>
          <w:sz w:val="22"/>
          <w:szCs w:val="22"/>
        </w:rPr>
        <w:t xml:space="preserve">More recent work has examined voice-enabled spelling tools built specifically for learners outside the well-resourced, native-English-speaking contexts in which most commercial products are designed. Mohammed and Skerrit (2022) describe an exploratory study of Ozzypi, an online spelling tutor built for Caribbean schoolchildren that combines speech-enabled exercises with an intelligent tutoring core; their evaluation with learners and parents from Trinidad and Jamaica found broad engagement, but also surfaced the importance of culturally-situated design choices when introducing speech-enabled features to a new population of learners. This is a useful caution for the present project: the technical feasibility of voice-based spelling practice is well established, but the design and wording of the practice content still needs to be appropriate to the learners it is built for.</w:t>
      </w:r>
    </w:p>
    <w:p>
      <w:pPr>
        <w:pStyle w:val="Heading2"/>
        <w:spacing w:after="160" w:before="300"/>
      </w:pPr>
      <w:r>
        <w:t xml:space="preserve">2.5 Review of Existing Spelling Applications</w:t>
      </w:r>
    </w:p>
    <w:p>
      <w:pPr>
        <w:spacing w:after="200" w:line="276"/>
        <w:jc w:val="both"/>
      </w:pPr>
      <w:r>
        <w:rPr>
          <w:rFonts w:ascii="Calibri" w:cs="Calibri" w:eastAsia="Calibri" w:hAnsi="Calibri"/>
          <w:sz w:val="22"/>
          <w:szCs w:val="22"/>
        </w:rPr>
        <w:t xml:space="preserve">A number of commercial and free spelling and early-literacy applications are already in wide use, among them Duolingo ABC, VocabularySpellingCity and ABCmouse. These products share a broadly similar design: a learner is shown or told a word and demonstrates knowledge of it by tapping letter tiles, typing, or selecting from multiple-choice options, with gamified elements such as badges, streaks or a "learning path" used to sustain engagement. Reviews of these products consistently note that they are effective at holding a young learner's attention, but that their interaction model still assumes the learner can type or accurately tap individual letters in sequence.</w:t>
      </w:r>
    </w:p>
    <w:p>
      <w:pPr>
        <w:spacing w:after="200" w:line="276"/>
        <w:jc w:val="both"/>
      </w:pPr>
      <w:r>
        <w:rPr>
          <w:rFonts w:ascii="Calibri" w:cs="Calibri" w:eastAsia="Calibri" w:hAnsi="Calibri"/>
          <w:sz w:val="22"/>
          <w:szCs w:val="22"/>
        </w:rPr>
        <w:t xml:space="preserve">None of the widely used products reviewed for this project offer voice-only interaction as the primary mode of practice, and few are designed around the specific needs of a single school with distinct parent, teacher, administrator and student roles sharing one word bank. This is the gap the Spelling Bee project addresses: a system in which speaking is not an add-on feature but the primary and, for the student role, the only way of answering, combined with the classroom- and school-level management features that a Ghanaian basic school setting such as Ed Emporia requires.</w:t>
      </w:r>
    </w:p>
    <w:p>
      <w:pPr>
        <w:pStyle w:val="Heading2"/>
        <w:spacing w:after="160" w:before="300"/>
      </w:pPr>
      <w:r>
        <w:t xml:space="preserve">2.6 Theoretical Framework</w:t>
      </w:r>
    </w:p>
    <w:p>
      <w:pPr>
        <w:spacing w:after="200" w:line="276"/>
        <w:jc w:val="both"/>
      </w:pPr>
      <w:r>
        <w:rPr>
          <w:rFonts w:ascii="Calibri" w:cs="Calibri" w:eastAsia="Calibri" w:hAnsi="Calibri"/>
          <w:sz w:val="22"/>
          <w:szCs w:val="22"/>
        </w:rPr>
        <w:t xml:space="preserve">The system's gamification design is grounded in Self-Determination Theory (Deci &amp; Ryan, 1985), which explains motivation in terms of three psychological needs. Autonomy is supported by the voice-only interaction itself: a learner who cannot yet type confidently is nonetheless able to complete a full practice round independently, without needing an adult to operate a keyboard on their behalf. Competence is supported by the tier-progression system, the badge criteria, and the points and streak mechanics, all of which give a learner concrete, incremental evidence of improvement. Relatedness is supported by the class-aware leaderboard and by the classroom structure itself, which situates a learner's practice within their own class rather than as an isolated, anonymous activity. This mapping between the theory and the system's concrete features is summarised in Table 2.1.</w:t>
      </w:r>
    </w:p>
    <w:p>
      <w:pPr>
        <w:spacing w:after="240"/>
        <w:jc w:val="center"/>
      </w:pPr>
      <w:r>
        <w:rPr>
          <w:rFonts w:ascii="Calibri" w:cs="Calibri" w:eastAsia="Calibri" w:hAnsi="Calibri"/>
          <w:i/>
          <w:iCs/>
          <w:sz w:val="20"/>
          <w:szCs w:val="20"/>
        </w:rPr>
        <w:t xml:space="preserve">Table 2.1: Mapping of Self-Determination Theory to System Design</w:t>
      </w:r>
    </w:p>
    <w:tbl>
      <w:tblPr>
        <w:tblW w:type="dxa" w:w="10000"/>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3200"/>
        <w:gridCol w:w="4400"/>
      </w:tblGrid>
      <w:tr>
        <w:trPr>
          <w:tblHeader/>
        </w:trPr>
        <w:tc>
          <w:tcPr>
            <w:tcW w:type="dxa" w:w="24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SDT Need</w:t>
            </w:r>
          </w:p>
        </w:tc>
        <w:tc>
          <w:tcPr>
            <w:tcW w:type="dxa" w:w="32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System Feature</w:t>
            </w:r>
          </w:p>
        </w:tc>
        <w:tc>
          <w:tcPr>
            <w:tcW w:type="dxa" w:w="44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How the Need is Supported</w:t>
            </w:r>
          </w:p>
        </w:tc>
      </w:tr>
      <w:tr>
        <w:tc>
          <w:tcPr>
            <w:tcW w:type="dxa" w:w="2400"/>
            <w:tcMar>
              <w:top w:type="dxa" w:w="80"/>
              <w:left w:type="dxa" w:w="100"/>
              <w:bottom w:type="dxa" w:w="80"/>
              <w:right w:type="dxa" w:w="100"/>
            </w:tcMar>
            <w:vAlign w:val="center"/>
          </w:tcPr>
          <w:p>
            <w:r>
              <w:rPr>
                <w:rFonts w:ascii="Calibri" w:cs="Calibri" w:eastAsia="Calibri" w:hAnsi="Calibri"/>
                <w:b w:val="false"/>
                <w:bCs w:val="false"/>
                <w:sz w:val="20"/>
                <w:szCs w:val="20"/>
              </w:rPr>
              <w:t xml:space="preserve">Autonomy</w:t>
            </w:r>
          </w:p>
        </w:tc>
        <w:tc>
          <w:tcPr>
            <w:tcW w:type="dxa" w:w="3200"/>
            <w:tcMar>
              <w:top w:type="dxa" w:w="80"/>
              <w:left w:type="dxa" w:w="100"/>
              <w:bottom w:type="dxa" w:w="80"/>
              <w:right w:type="dxa" w:w="100"/>
            </w:tcMar>
            <w:vAlign w:val="center"/>
          </w:tcPr>
          <w:p>
            <w:r>
              <w:rPr>
                <w:rFonts w:ascii="Calibri" w:cs="Calibri" w:eastAsia="Calibri" w:hAnsi="Calibri"/>
                <w:b w:val="false"/>
                <w:bCs w:val="false"/>
                <w:sz w:val="20"/>
                <w:szCs w:val="20"/>
              </w:rPr>
              <w:t xml:space="preserve">Voice-only answering</w:t>
            </w:r>
          </w:p>
        </w:tc>
        <w:tc>
          <w:tcPr>
            <w:tcW w:type="dxa" w:w="4400"/>
            <w:tcMar>
              <w:top w:type="dxa" w:w="80"/>
              <w:left w:type="dxa" w:w="100"/>
              <w:bottom w:type="dxa" w:w="80"/>
              <w:right w:type="dxa" w:w="100"/>
            </w:tcMar>
            <w:vAlign w:val="center"/>
          </w:tcPr>
          <w:p>
            <w:r>
              <w:rPr>
                <w:rFonts w:ascii="Calibri" w:cs="Calibri" w:eastAsia="Calibri" w:hAnsi="Calibri"/>
                <w:b w:val="false"/>
                <w:bCs w:val="false"/>
                <w:sz w:val="20"/>
                <w:szCs w:val="20"/>
              </w:rPr>
              <w:t xml:space="preserve">Learner completes a full round independently, without needing to type.</w:t>
            </w:r>
          </w:p>
        </w:tc>
      </w:tr>
      <w:tr>
        <w:tc>
          <w:tcPr>
            <w:tcW w:type="dxa" w:w="2400"/>
            <w:tcMar>
              <w:top w:type="dxa" w:w="80"/>
              <w:left w:type="dxa" w:w="100"/>
              <w:bottom w:type="dxa" w:w="80"/>
              <w:right w:type="dxa" w:w="100"/>
            </w:tcMar>
            <w:vAlign w:val="center"/>
          </w:tcPr>
          <w:p>
            <w:r>
              <w:rPr>
                <w:rFonts w:ascii="Calibri" w:cs="Calibri" w:eastAsia="Calibri" w:hAnsi="Calibri"/>
                <w:b w:val="false"/>
                <w:bCs w:val="false"/>
                <w:sz w:val="20"/>
                <w:szCs w:val="20"/>
              </w:rPr>
              <w:t xml:space="preserve">Competence</w:t>
            </w:r>
          </w:p>
        </w:tc>
        <w:tc>
          <w:tcPr>
            <w:tcW w:type="dxa" w:w="3200"/>
            <w:tcMar>
              <w:top w:type="dxa" w:w="80"/>
              <w:left w:type="dxa" w:w="100"/>
              <w:bottom w:type="dxa" w:w="80"/>
              <w:right w:type="dxa" w:w="100"/>
            </w:tcMar>
            <w:vAlign w:val="center"/>
          </w:tcPr>
          <w:p>
            <w:r>
              <w:rPr>
                <w:rFonts w:ascii="Calibri" w:cs="Calibri" w:eastAsia="Calibri" w:hAnsi="Calibri"/>
                <w:b w:val="false"/>
                <w:bCs w:val="false"/>
                <w:sz w:val="20"/>
                <w:szCs w:val="20"/>
              </w:rPr>
              <w:t xml:space="preserve">Tiers, points, streaks, badges</w:t>
            </w:r>
          </w:p>
        </w:tc>
        <w:tc>
          <w:tcPr>
            <w:tcW w:type="dxa" w:w="4400"/>
            <w:tcMar>
              <w:top w:type="dxa" w:w="80"/>
              <w:left w:type="dxa" w:w="100"/>
              <w:bottom w:type="dxa" w:w="80"/>
              <w:right w:type="dxa" w:w="100"/>
            </w:tcMar>
            <w:vAlign w:val="center"/>
          </w:tcPr>
          <w:p>
            <w:r>
              <w:rPr>
                <w:rFonts w:ascii="Calibri" w:cs="Calibri" w:eastAsia="Calibri" w:hAnsi="Calibri"/>
                <w:b w:val="false"/>
                <w:bCs w:val="false"/>
                <w:sz w:val="20"/>
                <w:szCs w:val="20"/>
              </w:rPr>
              <w:t xml:space="preserve">Concrete, incremental feedback on improving spelling ability.</w:t>
            </w:r>
          </w:p>
        </w:tc>
      </w:tr>
      <w:tr>
        <w:tc>
          <w:tcPr>
            <w:tcW w:type="dxa" w:w="2400"/>
            <w:tcMar>
              <w:top w:type="dxa" w:w="80"/>
              <w:left w:type="dxa" w:w="100"/>
              <w:bottom w:type="dxa" w:w="80"/>
              <w:right w:type="dxa" w:w="100"/>
            </w:tcMar>
            <w:vAlign w:val="center"/>
          </w:tcPr>
          <w:p>
            <w:r>
              <w:rPr>
                <w:rFonts w:ascii="Calibri" w:cs="Calibri" w:eastAsia="Calibri" w:hAnsi="Calibri"/>
                <w:b w:val="false"/>
                <w:bCs w:val="false"/>
                <w:sz w:val="20"/>
                <w:szCs w:val="20"/>
              </w:rPr>
              <w:t xml:space="preserve">Relatedness</w:t>
            </w:r>
          </w:p>
        </w:tc>
        <w:tc>
          <w:tcPr>
            <w:tcW w:type="dxa" w:w="3200"/>
            <w:tcMar>
              <w:top w:type="dxa" w:w="80"/>
              <w:left w:type="dxa" w:w="100"/>
              <w:bottom w:type="dxa" w:w="80"/>
              <w:right w:type="dxa" w:w="100"/>
            </w:tcMar>
            <w:vAlign w:val="center"/>
          </w:tcPr>
          <w:p>
            <w:r>
              <w:rPr>
                <w:rFonts w:ascii="Calibri" w:cs="Calibri" w:eastAsia="Calibri" w:hAnsi="Calibri"/>
                <w:b w:val="false"/>
                <w:bCs w:val="false"/>
                <w:sz w:val="20"/>
                <w:szCs w:val="20"/>
              </w:rPr>
              <w:t xml:space="preserve">Classrooms, class-aware leaderboard</w:t>
            </w:r>
          </w:p>
        </w:tc>
        <w:tc>
          <w:tcPr>
            <w:tcW w:type="dxa" w:w="4400"/>
            <w:tcMar>
              <w:top w:type="dxa" w:w="80"/>
              <w:left w:type="dxa" w:w="100"/>
              <w:bottom w:type="dxa" w:w="80"/>
              <w:right w:type="dxa" w:w="100"/>
            </w:tcMar>
            <w:vAlign w:val="center"/>
          </w:tcPr>
          <w:p>
            <w:r>
              <w:rPr>
                <w:rFonts w:ascii="Calibri" w:cs="Calibri" w:eastAsia="Calibri" w:hAnsi="Calibri"/>
                <w:b w:val="false"/>
                <w:bCs w:val="false"/>
                <w:sz w:val="20"/>
                <w:szCs w:val="20"/>
              </w:rPr>
              <w:t xml:space="preserve">Practice is situated within a learner's own class, not isolated.</w:t>
            </w:r>
          </w:p>
        </w:tc>
      </w:tr>
    </w:tbl>
    <w:p>
      <w:pPr>
        <w:pStyle w:val="Heading2"/>
        <w:spacing w:after="160" w:before="300"/>
      </w:pPr>
      <w:r>
        <w:t xml:space="preserve">2.7 Conceptual Framework</w:t>
      </w:r>
    </w:p>
    <w:p>
      <w:pPr>
        <w:spacing w:after="200" w:line="276"/>
        <w:jc w:val="both"/>
      </w:pPr>
      <w:r>
        <w:rPr>
          <w:rFonts w:ascii="Calibri" w:cs="Calibri" w:eastAsia="Calibri" w:hAnsi="Calibri"/>
          <w:sz w:val="22"/>
          <w:szCs w:val="22"/>
        </w:rPr>
        <w:t xml:space="preserve">Bringing the two theoretical strands together, the system can be described conceptually as an input–process–output loop. The input is a spoken spelling attempt, captured through on-device speech recognition rather than typed text. The process is server-side: the spoken attempt is graded against the authoritative word bank, and the outcome feeds a gamification engine that updates points, streak, hearts, tier and badges according to fixed rules. The output is twofold — immediate feedback to the learner, and updated progress data made available to parents, teachers and administrators through their respective dashboards. This conceptual loop, illustrated in Figure 2.1, is what Chapter Three's system architecture (Figure 3.1) was designed to implement in software.</w:t>
      </w:r>
    </w:p>
    <w:p>
      <w:pPr>
        <w:spacing w:after="100" w:before="200"/>
        <w:jc w:val="center"/>
      </w:pPr>
      <w:r>
        <w:drawing>
          <wp:inline distT="0" distB="0" distL="0" distR="0">
            <wp:extent cx="57626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047875"/>
                    </a:xfrm>
                    <a:prstGeom prst="rect">
                      <a:avLst/>
                    </a:prstGeom>
                  </pic:spPr>
                </pic:pic>
              </a:graphicData>
            </a:graphic>
          </wp:inline>
        </w:drawing>
      </w:r>
    </w:p>
    <w:p>
      <w:pPr>
        <w:spacing w:after="240"/>
        <w:jc w:val="center"/>
      </w:pPr>
      <w:r>
        <w:rPr>
          <w:rFonts w:ascii="Calibri" w:cs="Calibri" w:eastAsia="Calibri" w:hAnsi="Calibri"/>
          <w:i/>
          <w:iCs/>
          <w:sz w:val="20"/>
          <w:szCs w:val="20"/>
        </w:rPr>
        <w:t xml:space="preserve">Figure 2.1: Conceptual framework — spoken input, server-side grading and gamification, and role-based feedback.</w:t>
      </w:r>
    </w:p>
    <w:p>
      <w:pPr>
        <w:pStyle w:val="Heading2"/>
        <w:spacing w:after="160" w:before="300"/>
      </w:pPr>
      <w:r>
        <w:t xml:space="preserve">2.8 Chapter Summary</w:t>
      </w:r>
    </w:p>
    <w:p>
      <w:pPr>
        <w:spacing w:after="200" w:line="276"/>
        <w:jc w:val="both"/>
      </w:pPr>
      <w:r>
        <w:rPr>
          <w:rFonts w:ascii="Calibri" w:cs="Calibri" w:eastAsia="Calibri" w:hAnsi="Calibri"/>
          <w:sz w:val="22"/>
          <w:szCs w:val="22"/>
        </w:rPr>
        <w:t xml:space="preserve">This chapter has shown that spelling difficulties are well documented at every level of education in Ghana, that gamification has a demonstrated, if sometimes short-lived, positive effect on learner motivation, and that speech-recognition technology has a track record of producing genuine spelling and reading gains rather than simply acting as a convenience feature. It has also shown that existing spelling applications remain predominantly typing-based and are not designed around the multi-role needs of a single school. The Spelling Bee project's combination of voice-only interaction, multi-mechanic gamification grounded in Self-Determination Theory, and school-level role management is intended to address this gap. Chapter Three now turns to how the system was designed and built.</w:t>
      </w:r>
    </w:p>
    <w:p>
      <w:pPr>
        <w:pStyle w:val="Heading1"/>
        <w:pageBreakBefore/>
        <w:spacing w:after="240" w:before="400"/>
      </w:pPr>
      <w:r>
        <w:t xml:space="preserve">CHAPTER THREE: METHODOLOGY</w:t>
      </w:r>
    </w:p>
    <w:p>
      <w:pPr>
        <w:pStyle w:val="Heading2"/>
        <w:spacing w:after="160" w:before="300"/>
      </w:pPr>
      <w:r>
        <w:t xml:space="preserve">3.1 Research Design</w:t>
      </w:r>
    </w:p>
    <w:p>
      <w:pPr>
        <w:spacing w:after="200" w:line="276"/>
        <w:jc w:val="both"/>
      </w:pPr>
      <w:r>
        <w:rPr>
          <w:rFonts w:ascii="Calibri" w:cs="Calibri" w:eastAsia="Calibri" w:hAnsi="Calibri"/>
          <w:sz w:val="22"/>
          <w:szCs w:val="22"/>
        </w:rPr>
        <w:t xml:space="preserve">This project followed an applied, design-science approach rather than a survey- or experiment-based research design: the primary output is a working software artefact — the Spelling Bee system — built to address the problem set out in Chapter One and informed by the literature and theoretical framework set out in Chapter Two. This is the design commonly used for software-engineering capstone and mini-projects, where the central research question is answered by designing, building and verifying a system rather than by collecting and statistically analysing data from human participants.</w:t>
      </w:r>
    </w:p>
    <w:p>
      <w:pPr>
        <w:pStyle w:val="Heading2"/>
        <w:spacing w:after="160" w:before="300"/>
      </w:pPr>
      <w:r>
        <w:t xml:space="preserve">3.2 System Development Methodology</w:t>
      </w:r>
    </w:p>
    <w:p>
      <w:pPr>
        <w:spacing w:after="200" w:line="276"/>
        <w:jc w:val="both"/>
      </w:pPr>
      <w:r>
        <w:rPr>
          <w:rFonts w:ascii="Calibri" w:cs="Calibri" w:eastAsia="Calibri" w:hAnsi="Calibri"/>
          <w:sz w:val="22"/>
          <w:szCs w:val="22"/>
        </w:rPr>
        <w:t xml:space="preserve">The system was developed iteratively and modularly. Each major subsystem — authentication, learner and account management, practice rounds and grading, the word bank, classroom management, and the administrative and parent dashboards — was developed and verified in turn before the next subsystem was integrated on top of it. This iterative approach made it possible to catch integration issues early and to keep the codebase in a working, testable state throughout development, and it is reflected in the layered testing strategy described in Section 3.8.</w:t>
      </w:r>
    </w:p>
    <w:p>
      <w:pPr>
        <w:pStyle w:val="Heading2"/>
        <w:spacing w:after="160" w:before="300"/>
      </w:pPr>
      <w:r>
        <w:t xml:space="preserve">3.3 Requirements Gathering</w:t>
      </w:r>
    </w:p>
    <w:p>
      <w:pPr>
        <w:spacing w:after="200" w:line="276"/>
        <w:jc w:val="both"/>
      </w:pPr>
      <w:r>
        <w:rPr>
          <w:rFonts w:ascii="Calibri" w:cs="Calibri" w:eastAsia="Calibri" w:hAnsi="Calibri"/>
          <w:sz w:val="22"/>
          <w:szCs w:val="22"/>
        </w:rPr>
        <w:t xml:space="preserve">The system's requirements were derived from three sources. First, the gap identified in the literature review (Section 2.5): existing spelling applications are typing-based and are not designed for a single-school setting with distinct parent, teacher, administrator and student roles. Second, the scope defined in Chapter One, which fixed the four user roles the system needed to support and the core practice loop (a spoken word, graded server-side, feeding a gamification engine). Third, the baseline feature set common to the existing applications reviewed in Section 2.5 — a tiered word bank, progress tracking and gamified rewards — which was extended with the project's two key differentiators: voice-only interaction as the primary answering mode, and school-level administration and classroom management.</w:t>
      </w:r>
    </w:p>
    <w:p>
      <w:pPr>
        <w:pStyle w:val="Heading2"/>
        <w:spacing w:after="160" w:before="300"/>
      </w:pPr>
      <w:r>
        <w:t xml:space="preserve">3.4 Tools and Technologies Used</w:t>
      </w:r>
    </w:p>
    <w:p>
      <w:pPr>
        <w:spacing w:after="200" w:line="276"/>
        <w:jc w:val="both"/>
      </w:pPr>
      <w:r>
        <w:rPr>
          <w:rFonts w:ascii="Calibri" w:cs="Calibri" w:eastAsia="Calibri" w:hAnsi="Calibri"/>
          <w:sz w:val="22"/>
          <w:szCs w:val="22"/>
        </w:rPr>
        <w:t xml:space="preserve">The application uses a modern JavaScript/TypeScript stack across three layers: the browser client, the REST API and the database, summarised in Table 3.1.</w:t>
      </w:r>
    </w:p>
    <w:p>
      <w:pPr>
        <w:spacing w:after="240"/>
        <w:jc w:val="center"/>
      </w:pPr>
      <w:r>
        <w:rPr>
          <w:rFonts w:ascii="Calibri" w:cs="Calibri" w:eastAsia="Calibri" w:hAnsi="Calibri"/>
          <w:i/>
          <w:iCs/>
          <w:sz w:val="20"/>
          <w:szCs w:val="20"/>
        </w:rPr>
        <w:t xml:space="preserve">Table 3.1: Technologies Used, by Layer</w:t>
      </w:r>
    </w:p>
    <w:tbl>
      <w:tblPr>
        <w:tblW w:type="dxa" w:w="10000"/>
        <w:tblBorders>
          <w:top w:val="single" w:color="999999" w:sz="4"/>
          <w:left w:val="single" w:color="999999" w:sz="4"/>
          <w:bottom w:val="single" w:color="999999" w:sz="4"/>
          <w:right w:val="single" w:color="999999" w:sz="4"/>
          <w:insideH w:val="single" w:color="CCCCCC" w:sz="4"/>
          <w:insideV w:val="single" w:color="CCCCCC" w:sz="4"/>
        </w:tblBorders>
      </w:tblPr>
      <w:tblGrid>
        <w:gridCol w:w="2000"/>
        <w:gridCol w:w="3800"/>
        <w:gridCol w:w="4200"/>
      </w:tblGrid>
      <w:tr>
        <w:trPr>
          <w:tblHeader/>
        </w:trPr>
        <w:tc>
          <w:tcPr>
            <w:tcW w:type="dxa" w:w="20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Layer</w:t>
            </w:r>
          </w:p>
        </w:tc>
        <w:tc>
          <w:tcPr>
            <w:tcW w:type="dxa" w:w="38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Technology</w:t>
            </w:r>
          </w:p>
        </w:tc>
        <w:tc>
          <w:tcPr>
            <w:tcW w:type="dxa" w:w="42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Purpose</w:t>
            </w:r>
          </w:p>
        </w:tc>
      </w:tr>
      <w:tr>
        <w:tc>
          <w:tcPr>
            <w:tcW w:type="dxa" w:w="2000"/>
            <w:tcMar>
              <w:top w:type="dxa" w:w="80"/>
              <w:left w:type="dxa" w:w="100"/>
              <w:bottom w:type="dxa" w:w="80"/>
              <w:right w:type="dxa" w:w="100"/>
            </w:tcMar>
            <w:vAlign w:val="center"/>
          </w:tcPr>
          <w:p>
            <w:r>
              <w:rPr>
                <w:rFonts w:ascii="Calibri" w:cs="Calibri" w:eastAsia="Calibri" w:hAnsi="Calibri"/>
                <w:b w:val="false"/>
                <w:bCs w:val="false"/>
                <w:sz w:val="20"/>
                <w:szCs w:val="20"/>
              </w:rPr>
              <w:t xml:space="preserve">Frontend</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React 19</w:t>
            </w:r>
          </w:p>
        </w:tc>
        <w:tc>
          <w:tcPr>
            <w:tcW w:type="dxa" w:w="4200"/>
            <w:tcMar>
              <w:top w:type="dxa" w:w="80"/>
              <w:left w:type="dxa" w:w="100"/>
              <w:bottom w:type="dxa" w:w="80"/>
              <w:right w:type="dxa" w:w="100"/>
            </w:tcMar>
            <w:vAlign w:val="center"/>
          </w:tcPr>
          <w:p>
            <w:r>
              <w:rPr>
                <w:rFonts w:ascii="Calibri" w:cs="Calibri" w:eastAsia="Calibri" w:hAnsi="Calibri"/>
                <w:b w:val="false"/>
                <w:bCs w:val="false"/>
                <w:sz w:val="20"/>
                <w:szCs w:val="20"/>
              </w:rPr>
              <w:t xml:space="preserve">Component-based user interface</w:t>
            </w:r>
          </w:p>
        </w:tc>
      </w:tr>
      <w:tr>
        <w:tc>
          <w:tcPr>
            <w:tcW w:type="dxa" w:w="2000"/>
            <w:tcMar>
              <w:top w:type="dxa" w:w="80"/>
              <w:left w:type="dxa" w:w="100"/>
              <w:bottom w:type="dxa" w:w="80"/>
              <w:right w:type="dxa" w:w="100"/>
            </w:tcMar>
            <w:vAlign w:val="center"/>
          </w:tcPr>
          <w:p>
            <w:r>
              <w:rPr>
                <w:rFonts w:ascii="Calibri" w:cs="Calibri" w:eastAsia="Calibri" w:hAnsi="Calibri"/>
                <w:b w:val="false"/>
                <w:bCs w:val="false"/>
                <w:sz w:val="20"/>
                <w:szCs w:val="20"/>
              </w:rPr>
              <w:t xml:space="preserve">Frontend</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Vite 6 + TypeScript 5.8</w:t>
            </w:r>
          </w:p>
        </w:tc>
        <w:tc>
          <w:tcPr>
            <w:tcW w:type="dxa" w:w="4200"/>
            <w:tcMar>
              <w:top w:type="dxa" w:w="80"/>
              <w:left w:type="dxa" w:w="100"/>
              <w:bottom w:type="dxa" w:w="80"/>
              <w:right w:type="dxa" w:w="100"/>
            </w:tcMar>
            <w:vAlign w:val="center"/>
          </w:tcPr>
          <w:p>
            <w:r>
              <w:rPr>
                <w:rFonts w:ascii="Calibri" w:cs="Calibri" w:eastAsia="Calibri" w:hAnsi="Calibri"/>
                <w:b w:val="false"/>
                <w:bCs w:val="false"/>
                <w:sz w:val="20"/>
                <w:szCs w:val="20"/>
              </w:rPr>
              <w:t xml:space="preserve">Development server and production build with static typing</w:t>
            </w:r>
          </w:p>
        </w:tc>
      </w:tr>
      <w:tr>
        <w:tc>
          <w:tcPr>
            <w:tcW w:type="dxa" w:w="2000"/>
            <w:tcMar>
              <w:top w:type="dxa" w:w="80"/>
              <w:left w:type="dxa" w:w="100"/>
              <w:bottom w:type="dxa" w:w="80"/>
              <w:right w:type="dxa" w:w="100"/>
            </w:tcMar>
            <w:vAlign w:val="center"/>
          </w:tcPr>
          <w:p>
            <w:r>
              <w:rPr>
                <w:rFonts w:ascii="Calibri" w:cs="Calibri" w:eastAsia="Calibri" w:hAnsi="Calibri"/>
                <w:b w:val="false"/>
                <w:bCs w:val="false"/>
                <w:sz w:val="20"/>
                <w:szCs w:val="20"/>
              </w:rPr>
              <w:t xml:space="preserve">Frontend</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Tailwind CSS 4</w:t>
            </w:r>
          </w:p>
        </w:tc>
        <w:tc>
          <w:tcPr>
            <w:tcW w:type="dxa" w:w="4200"/>
            <w:tcMar>
              <w:top w:type="dxa" w:w="80"/>
              <w:left w:type="dxa" w:w="100"/>
              <w:bottom w:type="dxa" w:w="80"/>
              <w:right w:type="dxa" w:w="100"/>
            </w:tcMar>
            <w:vAlign w:val="center"/>
          </w:tcPr>
          <w:p>
            <w:r>
              <w:rPr>
                <w:rFonts w:ascii="Calibri" w:cs="Calibri" w:eastAsia="Calibri" w:hAnsi="Calibri"/>
                <w:b w:val="false"/>
                <w:bCs w:val="false"/>
                <w:sz w:val="20"/>
                <w:szCs w:val="20"/>
              </w:rPr>
              <w:t xml:space="preserve">Responsive, mobile-friendly styling</w:t>
            </w:r>
          </w:p>
        </w:tc>
      </w:tr>
      <w:tr>
        <w:tc>
          <w:tcPr>
            <w:tcW w:type="dxa" w:w="2000"/>
            <w:tcMar>
              <w:top w:type="dxa" w:w="80"/>
              <w:left w:type="dxa" w:w="100"/>
              <w:bottom w:type="dxa" w:w="80"/>
              <w:right w:type="dxa" w:w="100"/>
            </w:tcMar>
            <w:vAlign w:val="center"/>
          </w:tcPr>
          <w:p>
            <w:r>
              <w:rPr>
                <w:rFonts w:ascii="Calibri" w:cs="Calibri" w:eastAsia="Calibri" w:hAnsi="Calibri"/>
                <w:b w:val="false"/>
                <w:bCs w:val="false"/>
                <w:sz w:val="20"/>
                <w:szCs w:val="20"/>
              </w:rPr>
              <w:t xml:space="preserve">Frontend</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react-router 7, lucide-react, recharts, motion</w:t>
            </w:r>
          </w:p>
        </w:tc>
        <w:tc>
          <w:tcPr>
            <w:tcW w:type="dxa" w:w="4200"/>
            <w:tcMar>
              <w:top w:type="dxa" w:w="80"/>
              <w:left w:type="dxa" w:w="100"/>
              <w:bottom w:type="dxa" w:w="80"/>
              <w:right w:type="dxa" w:w="100"/>
            </w:tcMar>
            <w:vAlign w:val="center"/>
          </w:tcPr>
          <w:p>
            <w:r>
              <w:rPr>
                <w:rFonts w:ascii="Calibri" w:cs="Calibri" w:eastAsia="Calibri" w:hAnsi="Calibri"/>
                <w:b w:val="false"/>
                <w:bCs w:val="false"/>
                <w:sz w:val="20"/>
                <w:szCs w:val="20"/>
              </w:rPr>
              <w:t xml:space="preserve">Routing, icons, charts and animations</w:t>
            </w:r>
          </w:p>
        </w:tc>
      </w:tr>
      <w:tr>
        <w:tc>
          <w:tcPr>
            <w:tcW w:type="dxa" w:w="2000"/>
            <w:tcMar>
              <w:top w:type="dxa" w:w="80"/>
              <w:left w:type="dxa" w:w="100"/>
              <w:bottom w:type="dxa" w:w="80"/>
              <w:right w:type="dxa" w:w="100"/>
            </w:tcMar>
            <w:vAlign w:val="center"/>
          </w:tcPr>
          <w:p>
            <w:r>
              <w:rPr>
                <w:rFonts w:ascii="Calibri" w:cs="Calibri" w:eastAsia="Calibri" w:hAnsi="Calibri"/>
                <w:b w:val="false"/>
                <w:bCs w:val="false"/>
                <w:sz w:val="20"/>
                <w:szCs w:val="20"/>
              </w:rPr>
              <w:t xml:space="preserve">Backend</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Node.js + Express 4</w:t>
            </w:r>
          </w:p>
        </w:tc>
        <w:tc>
          <w:tcPr>
            <w:tcW w:type="dxa" w:w="4200"/>
            <w:tcMar>
              <w:top w:type="dxa" w:w="80"/>
              <w:left w:type="dxa" w:w="100"/>
              <w:bottom w:type="dxa" w:w="80"/>
              <w:right w:type="dxa" w:w="100"/>
            </w:tcMar>
            <w:vAlign w:val="center"/>
          </w:tcPr>
          <w:p>
            <w:r>
              <w:rPr>
                <w:rFonts w:ascii="Calibri" w:cs="Calibri" w:eastAsia="Calibri" w:hAnsi="Calibri"/>
                <w:b w:val="false"/>
                <w:bCs w:val="false"/>
                <w:sz w:val="20"/>
                <w:szCs w:val="20"/>
              </w:rPr>
              <w:t xml:space="preserve">REST API server (single host)</w:t>
            </w:r>
          </w:p>
        </w:tc>
      </w:tr>
      <w:tr>
        <w:tc>
          <w:tcPr>
            <w:tcW w:type="dxa" w:w="2000"/>
            <w:tcMar>
              <w:top w:type="dxa" w:w="80"/>
              <w:left w:type="dxa" w:w="100"/>
              <w:bottom w:type="dxa" w:w="80"/>
              <w:right w:type="dxa" w:w="100"/>
            </w:tcMar>
            <w:vAlign w:val="center"/>
          </w:tcPr>
          <w:p>
            <w:r>
              <w:rPr>
                <w:rFonts w:ascii="Calibri" w:cs="Calibri" w:eastAsia="Calibri" w:hAnsi="Calibri"/>
                <w:b w:val="false"/>
                <w:bCs w:val="false"/>
                <w:sz w:val="20"/>
                <w:szCs w:val="20"/>
              </w:rPr>
              <w:t xml:space="preserve">Backend</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Prisma ORM 7.9</w:t>
            </w:r>
          </w:p>
        </w:tc>
        <w:tc>
          <w:tcPr>
            <w:tcW w:type="dxa" w:w="4200"/>
            <w:tcMar>
              <w:top w:type="dxa" w:w="80"/>
              <w:left w:type="dxa" w:w="100"/>
              <w:bottom w:type="dxa" w:w="80"/>
              <w:right w:type="dxa" w:w="100"/>
            </w:tcMar>
            <w:vAlign w:val="center"/>
          </w:tcPr>
          <w:p>
            <w:r>
              <w:rPr>
                <w:rFonts w:ascii="Calibri" w:cs="Calibri" w:eastAsia="Calibri" w:hAnsi="Calibri"/>
                <w:b w:val="false"/>
                <w:bCs w:val="false"/>
                <w:sz w:val="20"/>
                <w:szCs w:val="20"/>
              </w:rPr>
              <w:t xml:space="preserve">Type-safe database access and migrations</w:t>
            </w:r>
          </w:p>
        </w:tc>
      </w:tr>
      <w:tr>
        <w:tc>
          <w:tcPr>
            <w:tcW w:type="dxa" w:w="2000"/>
            <w:tcMar>
              <w:top w:type="dxa" w:w="80"/>
              <w:left w:type="dxa" w:w="100"/>
              <w:bottom w:type="dxa" w:w="80"/>
              <w:right w:type="dxa" w:w="100"/>
            </w:tcMar>
            <w:vAlign w:val="center"/>
          </w:tcPr>
          <w:p>
            <w:r>
              <w:rPr>
                <w:rFonts w:ascii="Calibri" w:cs="Calibri" w:eastAsia="Calibri" w:hAnsi="Calibri"/>
                <w:b w:val="false"/>
                <w:bCs w:val="false"/>
                <w:sz w:val="20"/>
                <w:szCs w:val="20"/>
              </w:rPr>
              <w:t xml:space="preserve">Backend</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jsonwebtoken + bcryptjs</w:t>
            </w:r>
          </w:p>
        </w:tc>
        <w:tc>
          <w:tcPr>
            <w:tcW w:type="dxa" w:w="4200"/>
            <w:tcMar>
              <w:top w:type="dxa" w:w="80"/>
              <w:left w:type="dxa" w:w="100"/>
              <w:bottom w:type="dxa" w:w="80"/>
              <w:right w:type="dxa" w:w="100"/>
            </w:tcMar>
            <w:vAlign w:val="center"/>
          </w:tcPr>
          <w:p>
            <w:r>
              <w:rPr>
                <w:rFonts w:ascii="Calibri" w:cs="Calibri" w:eastAsia="Calibri" w:hAnsi="Calibri"/>
                <w:b w:val="false"/>
                <w:bCs w:val="false"/>
                <w:sz w:val="20"/>
                <w:szCs w:val="20"/>
              </w:rPr>
              <w:t xml:space="preserve">Session tokens and password hashing</w:t>
            </w:r>
          </w:p>
        </w:tc>
      </w:tr>
      <w:tr>
        <w:tc>
          <w:tcPr>
            <w:tcW w:type="dxa" w:w="2000"/>
            <w:tcMar>
              <w:top w:type="dxa" w:w="80"/>
              <w:left w:type="dxa" w:w="100"/>
              <w:bottom w:type="dxa" w:w="80"/>
              <w:right w:type="dxa" w:w="100"/>
            </w:tcMar>
            <w:vAlign w:val="center"/>
          </w:tcPr>
          <w:p>
            <w:r>
              <w:rPr>
                <w:rFonts w:ascii="Calibri" w:cs="Calibri" w:eastAsia="Calibri" w:hAnsi="Calibri"/>
                <w:b w:val="false"/>
                <w:bCs w:val="false"/>
                <w:sz w:val="20"/>
                <w:szCs w:val="20"/>
              </w:rPr>
              <w:t xml:space="preserve">Backend</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compression, cors, dotenv, pg</w:t>
            </w:r>
          </w:p>
        </w:tc>
        <w:tc>
          <w:tcPr>
            <w:tcW w:type="dxa" w:w="4200"/>
            <w:tcMar>
              <w:top w:type="dxa" w:w="80"/>
              <w:left w:type="dxa" w:w="100"/>
              <w:bottom w:type="dxa" w:w="80"/>
              <w:right w:type="dxa" w:w="100"/>
            </w:tcMar>
            <w:vAlign w:val="center"/>
          </w:tcPr>
          <w:p>
            <w:r>
              <w:rPr>
                <w:rFonts w:ascii="Calibri" w:cs="Calibri" w:eastAsia="Calibri" w:hAnsi="Calibri"/>
                <w:b w:val="false"/>
                <w:bCs w:val="false"/>
                <w:sz w:val="20"/>
                <w:szCs w:val="20"/>
              </w:rPr>
              <w:t xml:space="preserve">Performance, security headers and database driver</w:t>
            </w:r>
          </w:p>
        </w:tc>
      </w:tr>
      <w:tr>
        <w:tc>
          <w:tcPr>
            <w:tcW w:type="dxa" w:w="2000"/>
            <w:tcMar>
              <w:top w:type="dxa" w:w="80"/>
              <w:left w:type="dxa" w:w="100"/>
              <w:bottom w:type="dxa" w:w="80"/>
              <w:right w:type="dxa" w:w="100"/>
            </w:tcMar>
            <w:vAlign w:val="center"/>
          </w:tcPr>
          <w:p>
            <w:r>
              <w:rPr>
                <w:rFonts w:ascii="Calibri" w:cs="Calibri" w:eastAsia="Calibri" w:hAnsi="Calibri"/>
                <w:b w:val="false"/>
                <w:bCs w:val="false"/>
                <w:sz w:val="20"/>
                <w:szCs w:val="20"/>
              </w:rPr>
              <w:t xml:space="preserve">Database</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Supabase (PostgreSQL)</w:t>
            </w:r>
          </w:p>
        </w:tc>
        <w:tc>
          <w:tcPr>
            <w:tcW w:type="dxa" w:w="4200"/>
            <w:tcMar>
              <w:top w:type="dxa" w:w="80"/>
              <w:left w:type="dxa" w:w="100"/>
              <w:bottom w:type="dxa" w:w="80"/>
              <w:right w:type="dxa" w:w="100"/>
            </w:tcMar>
            <w:vAlign w:val="center"/>
          </w:tcPr>
          <w:p>
            <w:r>
              <w:rPr>
                <w:rFonts w:ascii="Calibri" w:cs="Calibri" w:eastAsia="Calibri" w:hAnsi="Calibri"/>
                <w:b w:val="false"/>
                <w:bCs w:val="false"/>
                <w:sz w:val="20"/>
                <w:szCs w:val="20"/>
              </w:rPr>
              <w:t xml:space="preserve">Hosted relational database; Row Level Security is enabled</w:t>
            </w:r>
          </w:p>
        </w:tc>
      </w:tr>
    </w:tbl>
    <w:p>
      <w:pPr>
        <w:spacing w:after="200" w:line="276"/>
        <w:jc w:val="both"/>
      </w:pPr>
      <w:r>
        <w:rPr>
          <w:rFonts w:ascii="Calibri" w:cs="Calibri" w:eastAsia="Calibri" w:hAnsi="Calibri"/>
          <w:sz w:val="22"/>
          <w:szCs w:val="22"/>
        </w:rPr>
        <w:t xml:space="preserve">The frontend and the API are served from the same host in production: the Vite build output is served by Express, with API routes taking precedence and everything else falling back to the app shell.</w:t>
      </w:r>
    </w:p>
    <w:p>
      <w:pPr>
        <w:pStyle w:val="Heading2"/>
        <w:spacing w:after="160" w:before="300"/>
      </w:pPr>
      <w:r>
        <w:t xml:space="preserve">3.5 System Architecture</w:t>
      </w:r>
    </w:p>
    <w:p>
      <w:pPr>
        <w:spacing w:after="200" w:line="276"/>
        <w:jc w:val="both"/>
      </w:pPr>
      <w:r>
        <w:rPr>
          <w:rFonts w:ascii="Calibri" w:cs="Calibri" w:eastAsia="Calibri" w:hAnsi="Calibri"/>
          <w:sz w:val="22"/>
          <w:szCs w:val="22"/>
        </w:rPr>
        <w:t xml:space="preserve">The system follows a three-tier architecture, shown in Figure 3.1. The browser runs the React single-page application and talks to the Express API over HTTPS/JSON. The API authenticates every request, validates it against role-based rules, and reads and writes the PostgreSQL database through the Prisma client. There is no direct connection between the browser and the database — all data access flows through the API.</w:t>
      </w:r>
    </w:p>
    <w:p>
      <w:pPr>
        <w:spacing w:after="100" w:before="200"/>
        <w:jc w:val="center"/>
      </w:pPr>
      <w:r>
        <w:drawing>
          <wp:inline distT="0" distB="0" distL="0" distR="0">
            <wp:extent cx="5762625"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609975"/>
                    </a:xfrm>
                    <a:prstGeom prst="rect">
                      <a:avLst/>
                    </a:prstGeom>
                  </pic:spPr>
                </pic:pic>
              </a:graphicData>
            </a:graphic>
          </wp:inline>
        </w:drawing>
      </w:r>
    </w:p>
    <w:p>
      <w:pPr>
        <w:spacing w:after="240"/>
        <w:jc w:val="center"/>
      </w:pPr>
      <w:r>
        <w:rPr>
          <w:rFonts w:ascii="Calibri" w:cs="Calibri" w:eastAsia="Calibri" w:hAnsi="Calibri"/>
          <w:i/>
          <w:iCs/>
          <w:sz w:val="20"/>
          <w:szCs w:val="20"/>
        </w:rPr>
        <w:t xml:space="preserve">Figure 3.1: Three-tier system architecture (React SPA, Express API, Supabase PostgreSQL).</w:t>
      </w:r>
    </w:p>
    <w:p>
      <w:pPr>
        <w:spacing w:after="200" w:line="276"/>
        <w:jc w:val="both"/>
      </w:pPr>
      <w:r>
        <w:rPr>
          <w:rFonts w:ascii="Calibri" w:cs="Calibri" w:eastAsia="Calibri" w:hAnsi="Calibri"/>
          <w:sz w:val="22"/>
          <w:szCs w:val="22"/>
        </w:rPr>
        <w:t xml:space="preserve">Every request passes through middleware that checks the JSON Web Token, applies per-IP or per-session rate limits, verifies the account role, and confirms that a learner profile actually belongs to the account making the request. Business rules such as scoring live on the server so that progress cannot simply be edited on a device.</w:t>
      </w:r>
    </w:p>
    <w:p>
      <w:pPr>
        <w:pStyle w:val="Heading2"/>
        <w:spacing w:after="160" w:before="300"/>
      </w:pPr>
      <w:r>
        <w:t xml:space="preserve">3.6 Database Design</w:t>
      </w:r>
    </w:p>
    <w:p>
      <w:pPr>
        <w:spacing w:after="200" w:line="276"/>
        <w:jc w:val="both"/>
      </w:pPr>
      <w:r>
        <w:rPr>
          <w:rFonts w:ascii="Calibri" w:cs="Calibri" w:eastAsia="Calibri" w:hAnsi="Calibri"/>
          <w:sz w:val="22"/>
          <w:szCs w:val="22"/>
        </w:rPr>
        <w:t xml:space="preserve">The data model is defined in a single Prisma schema and deployed as one clean migration. It contains twelve related tables covering accounts, learners, words, progress, badges, classrooms, preferences, the daily challenge, audit logs and practice sessions. The schema generated from the hosted database is shown in Figure 3.2, and the main tables are summarised in Table 3.2.</w:t>
      </w:r>
    </w:p>
    <w:p>
      <w:pPr>
        <w:spacing w:after="100" w:before="200"/>
        <w:jc w:val="center"/>
      </w:pPr>
      <w:r>
        <w:drawing>
          <wp:inline distT="0" distB="0" distL="0" distR="0">
            <wp:extent cx="5210175"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10175" cy="4438650"/>
                    </a:xfrm>
                    <a:prstGeom prst="rect">
                      <a:avLst/>
                    </a:prstGeom>
                  </pic:spPr>
                </pic:pic>
              </a:graphicData>
            </a:graphic>
          </wp:inline>
        </w:drawing>
      </w:r>
    </w:p>
    <w:p>
      <w:pPr>
        <w:spacing w:after="240"/>
        <w:jc w:val="center"/>
      </w:pPr>
      <w:r>
        <w:rPr>
          <w:rFonts w:ascii="Calibri" w:cs="Calibri" w:eastAsia="Calibri" w:hAnsi="Calibri"/>
          <w:i/>
          <w:iCs/>
          <w:sz w:val="20"/>
          <w:szCs w:val="20"/>
        </w:rPr>
        <w:t xml:space="preserve">Figure 3.2: Database schema of the project (generated from Supabase).</w:t>
      </w:r>
    </w:p>
    <w:p>
      <w:pPr>
        <w:spacing w:after="240"/>
        <w:jc w:val="center"/>
      </w:pPr>
      <w:r>
        <w:rPr>
          <w:rFonts w:ascii="Calibri" w:cs="Calibri" w:eastAsia="Calibri" w:hAnsi="Calibri"/>
          <w:i/>
          <w:iCs/>
          <w:sz w:val="20"/>
          <w:szCs w:val="20"/>
        </w:rPr>
        <w:t xml:space="preserve">Table 3.2: Main Database Tables</w:t>
      </w:r>
    </w:p>
    <w:tbl>
      <w:tblPr>
        <w:tblW w:type="dxa" w:w="10000"/>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3800"/>
        <w:gridCol w:w="3600"/>
      </w:tblGrid>
      <w:tr>
        <w:trPr>
          <w:tblHeader/>
        </w:trPr>
        <w:tc>
          <w:tcPr>
            <w:tcW w:type="dxa" w:w="26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Table</w:t>
            </w:r>
          </w:p>
        </w:tc>
        <w:tc>
          <w:tcPr>
            <w:tcW w:type="dxa" w:w="38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Stores</w:t>
            </w:r>
          </w:p>
        </w:tc>
        <w:tc>
          <w:tcPr>
            <w:tcW w:type="dxa" w:w="36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Key Fields / Relations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Account</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Logins for parents, teachers and administrators</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email (unique), passwordHash, role, tokenVersion</w:t>
            </w:r>
          </w:p>
        </w:tc>
      </w:tr>
      <w:tr>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Student</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A child profile that plays the game</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studentCode (unique), currentTier, hearts, streak, points, className</w:t>
            </w:r>
          </w:p>
        </w:tc>
      </w:tr>
      <w:tr>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Word</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The school-wide word bank (tiers 1–6)</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text, tier, category, definition, exampleSentence</w:t>
            </w:r>
          </w:p>
        </w:tc>
      </w:tr>
      <w:tr>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Progress</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Every stored spelling attempt</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correct, attempts, -&gt; Student, -&gt; Word</w:t>
            </w:r>
          </w:p>
        </w:tc>
      </w:tr>
      <w:tr>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Badge</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Achievement definitions and rules</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name, criteria (e.g. streak:7)</w:t>
            </w:r>
          </w:p>
        </w:tc>
      </w:tr>
      <w:tr>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StudentBadge</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Badges a learner has earned</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unique (studentId, badgeId)</w:t>
            </w:r>
          </w:p>
        </w:tc>
      </w:tr>
      <w:tr>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Classroom</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Classes managed by a teacher</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name, grade, teacherId</w:t>
            </w:r>
          </w:p>
        </w:tc>
      </w:tr>
      <w:tr>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DailyChallengeCompletion</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One attempt per learner per day</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unique (studentId, date)</w:t>
            </w:r>
          </w:p>
        </w:tc>
      </w:tr>
      <w:tr>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PracticeSession</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Time learners spend practising</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source, durationSeconds, startedAt, endedAt</w:t>
            </w:r>
          </w:p>
        </w:tc>
      </w:tr>
      <w:tr>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AuditLog</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Administrative actions trail</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accountId, action, target, metadata</w:t>
            </w:r>
          </w:p>
        </w:tc>
      </w:tr>
      <w:tr>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StudentPreference / AccountPreference</w:t>
            </w:r>
          </w:p>
        </w:tc>
        <w:tc>
          <w:tcPr>
            <w:tcW w:type="dxa" w:w="3800"/>
            <w:tcMar>
              <w:top w:type="dxa" w:w="80"/>
              <w:left w:type="dxa" w:w="100"/>
              <w:bottom w:type="dxa" w:w="80"/>
              <w:right w:type="dxa" w:w="100"/>
            </w:tcMar>
            <w:vAlign w:val="center"/>
          </w:tcPr>
          <w:p>
            <w:r>
              <w:rPr>
                <w:rFonts w:ascii="Calibri" w:cs="Calibri" w:eastAsia="Calibri" w:hAnsi="Calibri"/>
                <w:b w:val="false"/>
                <w:bCs w:val="false"/>
                <w:sz w:val="20"/>
                <w:szCs w:val="20"/>
              </w:rPr>
              <w:t xml:space="preserve">Personalisation and accessibility settings</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darkMode, textSize, dyslexiaFont</w:t>
            </w:r>
          </w:p>
        </w:tc>
      </w:tr>
    </w:tbl>
    <w:p>
      <w:pPr>
        <w:pStyle w:val="Heading2"/>
        <w:spacing w:after="160" w:before="300"/>
      </w:pPr>
      <w:r>
        <w:t xml:space="preserve">3.7 Security Design</w:t>
      </w:r>
    </w:p>
    <w:p>
      <w:pPr>
        <w:spacing w:after="200" w:line="276"/>
        <w:jc w:val="both"/>
      </w:pPr>
      <w:r>
        <w:rPr>
          <w:rFonts w:ascii="Calibri" w:cs="Calibri" w:eastAsia="Calibri" w:hAnsi="Calibri"/>
          <w:sz w:val="22"/>
          <w:szCs w:val="22"/>
        </w:rPr>
        <w:t xml:space="preserve">The following security measures were designed into the system from the outset:</w:t>
      </w:r>
    </w:p>
    <w:p>
      <w:pPr>
        <w:pStyle w:val="ListParagraph"/>
        <w:numPr>
          <w:ilvl w:val="0"/>
          <w:numId w:val="2"/>
        </w:numPr>
        <w:spacing w:after="120"/>
        <w:jc w:val="both"/>
      </w:pPr>
      <w:r>
        <w:rPr>
          <w:rFonts w:ascii="Calibri" w:cs="Calibri" w:eastAsia="Calibri" w:hAnsi="Calibri"/>
          <w:sz w:val="22"/>
          <w:szCs w:val="22"/>
        </w:rPr>
        <w:t xml:space="preserve">Passwords are hashed with bcrypt (cost 12); emails are stored lower-case and unique.</w:t>
      </w:r>
    </w:p>
    <w:p>
      <w:pPr>
        <w:pStyle w:val="ListParagraph"/>
        <w:numPr>
          <w:ilvl w:val="0"/>
          <w:numId w:val="2"/>
        </w:numPr>
        <w:spacing w:after="120"/>
        <w:jc w:val="both"/>
      </w:pPr>
      <w:r>
        <w:rPr>
          <w:rFonts w:ascii="Calibri" w:cs="Calibri" w:eastAsia="Calibri" w:hAnsi="Calibri"/>
          <w:sz w:val="22"/>
          <w:szCs w:val="22"/>
        </w:rPr>
        <w:t xml:space="preserve">Sessions use signed JWTs that are verified against a server-side token version, so passwords can be changed or all sessions revoked instantly.</w:t>
      </w:r>
    </w:p>
    <w:p>
      <w:pPr>
        <w:pStyle w:val="ListParagraph"/>
        <w:numPr>
          <w:ilvl w:val="0"/>
          <w:numId w:val="2"/>
        </w:numPr>
        <w:spacing w:after="120"/>
        <w:jc w:val="both"/>
      </w:pPr>
      <w:r>
        <w:rPr>
          <w:rFonts w:ascii="Calibri" w:cs="Calibri" w:eastAsia="Calibri" w:hAnsi="Calibri"/>
          <w:sz w:val="22"/>
          <w:szCs w:val="22"/>
        </w:rPr>
        <w:t xml:space="preserve">Role middleware restricts operations: only administrators manage accounts, only teachers and administrators manage the word bank, and classrooms are teacher/admin-only.</w:t>
      </w:r>
    </w:p>
    <w:p>
      <w:pPr>
        <w:pStyle w:val="ListParagraph"/>
        <w:numPr>
          <w:ilvl w:val="0"/>
          <w:numId w:val="2"/>
        </w:numPr>
        <w:spacing w:after="120"/>
        <w:jc w:val="both"/>
      </w:pPr>
      <w:r>
        <w:rPr>
          <w:rFonts w:ascii="Calibri" w:cs="Calibri" w:eastAsia="Calibri" w:hAnsi="Calibri"/>
          <w:sz w:val="22"/>
          <w:szCs w:val="22"/>
        </w:rPr>
        <w:t xml:space="preserve">Ownership middleware ensures a parent can only touch their own students; a student-code session can only see that single learner.</w:t>
      </w:r>
    </w:p>
    <w:p>
      <w:pPr>
        <w:pStyle w:val="ListParagraph"/>
        <w:numPr>
          <w:ilvl w:val="0"/>
          <w:numId w:val="2"/>
        </w:numPr>
        <w:spacing w:after="120"/>
        <w:jc w:val="both"/>
      </w:pPr>
      <w:r>
        <w:rPr>
          <w:rFonts w:ascii="Calibri" w:cs="Calibri" w:eastAsia="Calibri" w:hAnsi="Calibri"/>
          <w:sz w:val="22"/>
          <w:szCs w:val="22"/>
        </w:rPr>
        <w:t xml:space="preserve">Client-supplied correctness is ignored — every round is re-graded on the server from the learner's actual spelling.</w:t>
      </w:r>
    </w:p>
    <w:p>
      <w:pPr>
        <w:pStyle w:val="ListParagraph"/>
        <w:numPr>
          <w:ilvl w:val="0"/>
          <w:numId w:val="2"/>
        </w:numPr>
        <w:spacing w:after="120"/>
        <w:jc w:val="both"/>
      </w:pPr>
      <w:r>
        <w:rPr>
          <w:rFonts w:ascii="Calibri" w:cs="Calibri" w:eastAsia="Calibri" w:hAnsi="Calibri"/>
          <w:sz w:val="22"/>
          <w:szCs w:val="22"/>
        </w:rPr>
        <w:t xml:space="preserve">Row Level Security is enabled on the Supabase public schema, and the Prisma migration ledger is RLS-locked with all grants revoked from anon/authenticated roles.</w:t>
      </w:r>
    </w:p>
    <w:p>
      <w:pPr>
        <w:pStyle w:val="ListParagraph"/>
        <w:numPr>
          <w:ilvl w:val="0"/>
          <w:numId w:val="2"/>
        </w:numPr>
        <w:spacing w:after="120"/>
        <w:jc w:val="both"/>
      </w:pPr>
      <w:r>
        <w:rPr>
          <w:rFonts w:ascii="Calibri" w:cs="Calibri" w:eastAsia="Calibri" w:hAnsi="Calibri"/>
          <w:sz w:val="22"/>
          <w:szCs w:val="22"/>
        </w:rPr>
        <w:t xml:space="preserve">Rate limiting protects login, signup, gameplay and word-import endpoints; a strict Content-Security-Policy, CORS allow-list and a no-sniff/clickjacking header set are applied.</w:t>
      </w:r>
    </w:p>
    <w:p>
      <w:pPr>
        <w:pStyle w:val="ListParagraph"/>
        <w:numPr>
          <w:ilvl w:val="0"/>
          <w:numId w:val="2"/>
        </w:numPr>
        <w:spacing w:after="120"/>
        <w:jc w:val="both"/>
      </w:pPr>
      <w:r>
        <w:rPr>
          <w:rFonts w:ascii="Calibri" w:cs="Calibri" w:eastAsia="Calibri" w:hAnsi="Calibri"/>
          <w:sz w:val="22"/>
          <w:szCs w:val="22"/>
        </w:rPr>
        <w:t xml:space="preserve">Administrative actions are written to an audit log for accountability.</w:t>
      </w:r>
    </w:p>
    <w:p>
      <w:pPr>
        <w:pStyle w:val="Heading2"/>
        <w:spacing w:after="160" w:before="300"/>
      </w:pPr>
      <w:r>
        <w:t xml:space="preserve">3.8 Testing Methodology</w:t>
      </w:r>
    </w:p>
    <w:p>
      <w:pPr>
        <w:spacing w:after="200" w:line="276"/>
        <w:jc w:val="both"/>
      </w:pPr>
      <w:r>
        <w:rPr>
          <w:rFonts w:ascii="Calibri" w:cs="Calibri" w:eastAsia="Calibri" w:hAnsi="Calibri"/>
          <w:sz w:val="22"/>
          <w:szCs w:val="22"/>
        </w:rPr>
        <w:t xml:space="preserve">Three levels of verification were designed into the development process. First, an automated API audit script was written to exercise end-to-end scenarios against a live database, covering authentication, students, word lists, the daily challenge, rounds, hints, badges, preferences, the leaderboard, classrooms, and admin word and account management. Second, the frontend was type-checked with the TypeScript compiler and put through a production build, and every backend module was syntax-checked. Third, the Prisma schema and database migration state were validated with the Prisma CLI, and the Supabase SQL editor was used to confirm delete-protection and redirect behaviour for signed-out members. The results of applying this testing methodology are presented in Chapter Four.</w:t>
      </w:r>
    </w:p>
    <w:p>
      <w:pPr>
        <w:pStyle w:val="Heading1"/>
        <w:pageBreakBefore/>
        <w:spacing w:after="240" w:before="400"/>
      </w:pPr>
      <w:r>
        <w:t xml:space="preserve">CHAPTER FOUR: RESULTS AND DISCUSSION</w:t>
      </w:r>
    </w:p>
    <w:p>
      <w:pPr>
        <w:pStyle w:val="Heading2"/>
        <w:spacing w:after="160" w:before="300"/>
      </w:pPr>
      <w:r>
        <w:t xml:space="preserve">4.1 Overview of the Implemented System</w:t>
      </w:r>
    </w:p>
    <w:p>
      <w:pPr>
        <w:spacing w:after="200" w:line="276"/>
        <w:jc w:val="both"/>
      </w:pPr>
      <w:r>
        <w:rPr>
          <w:rFonts w:ascii="Calibri" w:cs="Calibri" w:eastAsia="Calibri" w:hAnsi="Calibri"/>
          <w:sz w:val="22"/>
          <w:szCs w:val="22"/>
        </w:rPr>
        <w:t xml:space="preserve">Following the architecture and design set out in Chapter Three, the system was implemented with the key features summarised in Table 4.1.</w:t>
      </w:r>
    </w:p>
    <w:p>
      <w:pPr>
        <w:spacing w:after="240"/>
        <w:jc w:val="center"/>
      </w:pPr>
      <w:r>
        <w:rPr>
          <w:rFonts w:ascii="Calibri" w:cs="Calibri" w:eastAsia="Calibri" w:hAnsi="Calibri"/>
          <w:i/>
          <w:iCs/>
          <w:sz w:val="20"/>
          <w:szCs w:val="20"/>
        </w:rPr>
        <w:t xml:space="preserve">Table 4.1: Key Features of the Implemented System</w:t>
      </w:r>
    </w:p>
    <w:tbl>
      <w:tblPr>
        <w:tblW w:type="dxa" w:w="10000"/>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5000"/>
        <w:gridCol w:w="2600"/>
      </w:tblGrid>
      <w:tr>
        <w:trPr>
          <w:tblHeader/>
        </w:trPr>
        <w:tc>
          <w:tcPr>
            <w:tcW w:type="dxa" w:w="24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Feature</w:t>
            </w:r>
          </w:p>
        </w:tc>
        <w:tc>
          <w:tcPr>
            <w:tcW w:type="dxa" w:w="50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Description</w:t>
            </w:r>
          </w:p>
        </w:tc>
        <w:tc>
          <w:tcPr>
            <w:tcW w:type="dxa" w:w="26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Who Uses It</w:t>
            </w:r>
          </w:p>
        </w:tc>
      </w:tr>
      <w:tr>
        <w:tc>
          <w:tcPr>
            <w:tcW w:type="dxa" w:w="2400"/>
            <w:tcMar>
              <w:top w:type="dxa" w:w="80"/>
              <w:left w:type="dxa" w:w="100"/>
              <w:bottom w:type="dxa" w:w="80"/>
              <w:right w:type="dxa" w:w="100"/>
            </w:tcMar>
            <w:vAlign w:val="center"/>
          </w:tcPr>
          <w:p>
            <w:r>
              <w:rPr>
                <w:rFonts w:ascii="Calibri" w:cs="Calibri" w:eastAsia="Calibri" w:hAnsi="Calibri"/>
                <w:b w:val="false"/>
                <w:bCs w:val="false"/>
                <w:sz w:val="20"/>
                <w:szCs w:val="20"/>
              </w:rPr>
              <w:t xml:space="preserve">Voice-only spelling</w:t>
            </w:r>
          </w:p>
        </w:tc>
        <w:tc>
          <w:tcPr>
            <w:tcW w:type="dxa" w:w="5000"/>
            <w:tcMar>
              <w:top w:type="dxa" w:w="80"/>
              <w:left w:type="dxa" w:w="100"/>
              <w:bottom w:type="dxa" w:w="80"/>
              <w:right w:type="dxa" w:w="100"/>
            </w:tcMar>
            <w:vAlign w:val="center"/>
          </w:tcPr>
          <w:p>
            <w:r>
              <w:rPr>
                <w:rFonts w:ascii="Calibri" w:cs="Calibri" w:eastAsia="Calibri" w:hAnsi="Calibri"/>
                <w:b w:val="false"/>
                <w:bCs w:val="false"/>
                <w:sz w:val="20"/>
                <w:szCs w:val="20"/>
              </w:rPr>
              <w:t xml:space="preserve">Words are read aloud; the learner speaks the answer. No typing input mode exists.</w:t>
            </w:r>
          </w:p>
        </w:tc>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Students</w:t>
            </w:r>
          </w:p>
        </w:tc>
      </w:tr>
      <w:tr>
        <w:tc>
          <w:tcPr>
            <w:tcW w:type="dxa" w:w="2400"/>
            <w:tcMar>
              <w:top w:type="dxa" w:w="80"/>
              <w:left w:type="dxa" w:w="100"/>
              <w:bottom w:type="dxa" w:w="80"/>
              <w:right w:type="dxa" w:w="100"/>
            </w:tcMar>
            <w:vAlign w:val="center"/>
          </w:tcPr>
          <w:p>
            <w:r>
              <w:rPr>
                <w:rFonts w:ascii="Calibri" w:cs="Calibri" w:eastAsia="Calibri" w:hAnsi="Calibri"/>
                <w:b w:val="false"/>
                <w:bCs w:val="false"/>
                <w:sz w:val="20"/>
                <w:szCs w:val="20"/>
              </w:rPr>
              <w:t xml:space="preserve">Practice rounds</w:t>
            </w:r>
          </w:p>
        </w:tc>
        <w:tc>
          <w:tcPr>
            <w:tcW w:type="dxa" w:w="5000"/>
            <w:tcMar>
              <w:top w:type="dxa" w:w="80"/>
              <w:left w:type="dxa" w:w="100"/>
              <w:bottom w:type="dxa" w:w="80"/>
              <w:right w:type="dxa" w:w="100"/>
            </w:tcMar>
            <w:vAlign w:val="center"/>
          </w:tcPr>
          <w:p>
            <w:r>
              <w:rPr>
                <w:rFonts w:ascii="Calibri" w:cs="Calibri" w:eastAsia="Calibri" w:hAnsi="Calibri"/>
                <w:b w:val="false"/>
                <w:bCs w:val="false"/>
                <w:sz w:val="20"/>
                <w:szCs w:val="20"/>
              </w:rPr>
              <w:t xml:space="preserve">Points scale with tier and streak combo; incorrect answers cost a heart and reset the streak.</w:t>
            </w:r>
          </w:p>
        </w:tc>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Students</w:t>
            </w:r>
          </w:p>
        </w:tc>
      </w:tr>
      <w:tr>
        <w:tc>
          <w:tcPr>
            <w:tcW w:type="dxa" w:w="2400"/>
            <w:tcMar>
              <w:top w:type="dxa" w:w="80"/>
              <w:left w:type="dxa" w:w="100"/>
              <w:bottom w:type="dxa" w:w="80"/>
              <w:right w:type="dxa" w:w="100"/>
            </w:tcMar>
            <w:vAlign w:val="center"/>
          </w:tcPr>
          <w:p>
            <w:r>
              <w:rPr>
                <w:rFonts w:ascii="Calibri" w:cs="Calibri" w:eastAsia="Calibri" w:hAnsi="Calibri"/>
                <w:b w:val="false"/>
                <w:bCs w:val="false"/>
                <w:sz w:val="20"/>
                <w:szCs w:val="20"/>
              </w:rPr>
              <w:t xml:space="preserve">Tier progression</w:t>
            </w:r>
          </w:p>
        </w:tc>
        <w:tc>
          <w:tcPr>
            <w:tcW w:type="dxa" w:w="5000"/>
            <w:tcMar>
              <w:top w:type="dxa" w:w="80"/>
              <w:left w:type="dxa" w:w="100"/>
              <w:bottom w:type="dxa" w:w="80"/>
              <w:right w:type="dxa" w:w="100"/>
            </w:tcMar>
            <w:vAlign w:val="center"/>
          </w:tcPr>
          <w:p>
            <w:r>
              <w:rPr>
                <w:rFonts w:ascii="Calibri" w:cs="Calibri" w:eastAsia="Calibri" w:hAnsi="Calibri"/>
                <w:b w:val="false"/>
                <w:bCs w:val="false"/>
                <w:sz w:val="20"/>
                <w:szCs w:val="20"/>
              </w:rPr>
              <w:t xml:space="preserve">Learning path from Tier 1 to Tier 6; a learner advances after 5+ words at 80% accuracy.</w:t>
            </w:r>
          </w:p>
        </w:tc>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Students</w:t>
            </w:r>
          </w:p>
        </w:tc>
      </w:tr>
      <w:tr>
        <w:tc>
          <w:tcPr>
            <w:tcW w:type="dxa" w:w="2400"/>
            <w:tcMar>
              <w:top w:type="dxa" w:w="80"/>
              <w:left w:type="dxa" w:w="100"/>
              <w:bottom w:type="dxa" w:w="80"/>
              <w:right w:type="dxa" w:w="100"/>
            </w:tcMar>
            <w:vAlign w:val="center"/>
          </w:tcPr>
          <w:p>
            <w:r>
              <w:rPr>
                <w:rFonts w:ascii="Calibri" w:cs="Calibri" w:eastAsia="Calibri" w:hAnsi="Calibri"/>
                <w:b w:val="false"/>
                <w:bCs w:val="false"/>
                <w:sz w:val="20"/>
                <w:szCs w:val="20"/>
              </w:rPr>
              <w:t xml:space="preserve">Daily challenge</w:t>
            </w:r>
          </w:p>
        </w:tc>
        <w:tc>
          <w:tcPr>
            <w:tcW w:type="dxa" w:w="5000"/>
            <w:tcMar>
              <w:top w:type="dxa" w:w="80"/>
              <w:left w:type="dxa" w:w="100"/>
              <w:bottom w:type="dxa" w:w="80"/>
              <w:right w:type="dxa" w:w="100"/>
            </w:tcMar>
            <w:vAlign w:val="center"/>
          </w:tcPr>
          <w:p>
            <w:r>
              <w:rPr>
                <w:rFonts w:ascii="Calibri" w:cs="Calibri" w:eastAsia="Calibri" w:hAnsi="Calibri"/>
                <w:b w:val="false"/>
                <w:bCs w:val="false"/>
                <w:sz w:val="20"/>
                <w:szCs w:val="20"/>
              </w:rPr>
              <w:t xml:space="preserve">One deterministic word of the day for everyone, worth a +50 point bonus.</w:t>
            </w:r>
          </w:p>
        </w:tc>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Students</w:t>
            </w:r>
          </w:p>
        </w:tc>
      </w:tr>
      <w:tr>
        <w:tc>
          <w:tcPr>
            <w:tcW w:type="dxa" w:w="2400"/>
            <w:tcMar>
              <w:top w:type="dxa" w:w="80"/>
              <w:left w:type="dxa" w:w="100"/>
              <w:bottom w:type="dxa" w:w="80"/>
              <w:right w:type="dxa" w:w="100"/>
            </w:tcMar>
            <w:vAlign w:val="center"/>
          </w:tcPr>
          <w:p>
            <w:r>
              <w:rPr>
                <w:rFonts w:ascii="Calibri" w:cs="Calibri" w:eastAsia="Calibri" w:hAnsi="Calibri"/>
                <w:b w:val="false"/>
                <w:bCs w:val="false"/>
                <w:sz w:val="20"/>
                <w:szCs w:val="20"/>
              </w:rPr>
              <w:t xml:space="preserve">Badges</w:t>
            </w:r>
          </w:p>
        </w:tc>
        <w:tc>
          <w:tcPr>
            <w:tcW w:type="dxa" w:w="5000"/>
            <w:tcMar>
              <w:top w:type="dxa" w:w="80"/>
              <w:left w:type="dxa" w:w="100"/>
              <w:bottom w:type="dxa" w:w="80"/>
              <w:right w:type="dxa" w:w="100"/>
            </w:tcMar>
            <w:vAlign w:val="center"/>
          </w:tcPr>
          <w:p>
            <w:r>
              <w:rPr>
                <w:rFonts w:ascii="Calibri" w:cs="Calibri" w:eastAsia="Calibri" w:hAnsi="Calibri"/>
                <w:b w:val="false"/>
                <w:bCs w:val="false"/>
                <w:sz w:val="20"/>
                <w:szCs w:val="20"/>
              </w:rPr>
              <w:t xml:space="preserve">Badges are evaluated automatically from real progress rules.</w:t>
            </w:r>
          </w:p>
        </w:tc>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Students</w:t>
            </w:r>
          </w:p>
        </w:tc>
      </w:tr>
      <w:tr>
        <w:tc>
          <w:tcPr>
            <w:tcW w:type="dxa" w:w="2400"/>
            <w:tcMar>
              <w:top w:type="dxa" w:w="80"/>
              <w:left w:type="dxa" w:w="100"/>
              <w:bottom w:type="dxa" w:w="80"/>
              <w:right w:type="dxa" w:w="100"/>
            </w:tcMar>
            <w:vAlign w:val="center"/>
          </w:tcPr>
          <w:p>
            <w:r>
              <w:rPr>
                <w:rFonts w:ascii="Calibri" w:cs="Calibri" w:eastAsia="Calibri" w:hAnsi="Calibri"/>
                <w:b w:val="false"/>
                <w:bCs w:val="false"/>
                <w:sz w:val="20"/>
                <w:szCs w:val="20"/>
              </w:rPr>
              <w:t xml:space="preserve">Leaderboard</w:t>
            </w:r>
          </w:p>
        </w:tc>
        <w:tc>
          <w:tcPr>
            <w:tcW w:type="dxa" w:w="5000"/>
            <w:tcMar>
              <w:top w:type="dxa" w:w="80"/>
              <w:left w:type="dxa" w:w="100"/>
              <w:bottom w:type="dxa" w:w="80"/>
              <w:right w:type="dxa" w:w="100"/>
            </w:tcMar>
            <w:vAlign w:val="center"/>
          </w:tcPr>
          <w:p>
            <w:r>
              <w:rPr>
                <w:rFonts w:ascii="Calibri" w:cs="Calibri" w:eastAsia="Calibri" w:hAnsi="Calibri"/>
                <w:b w:val="false"/>
                <w:bCs w:val="false"/>
                <w:sz w:val="20"/>
                <w:szCs w:val="20"/>
              </w:rPr>
              <w:t xml:space="preserve">School-wide, class-aware points leaderboard.</w:t>
            </w:r>
          </w:p>
        </w:tc>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Students, Parents</w:t>
            </w:r>
          </w:p>
        </w:tc>
      </w:tr>
      <w:tr>
        <w:tc>
          <w:tcPr>
            <w:tcW w:type="dxa" w:w="2400"/>
            <w:tcMar>
              <w:top w:type="dxa" w:w="80"/>
              <w:left w:type="dxa" w:w="100"/>
              <w:bottom w:type="dxa" w:w="80"/>
              <w:right w:type="dxa" w:w="100"/>
            </w:tcMar>
            <w:vAlign w:val="center"/>
          </w:tcPr>
          <w:p>
            <w:r>
              <w:rPr>
                <w:rFonts w:ascii="Calibri" w:cs="Calibri" w:eastAsia="Calibri" w:hAnsi="Calibri"/>
                <w:b w:val="false"/>
                <w:bCs w:val="false"/>
                <w:sz w:val="20"/>
                <w:szCs w:val="20"/>
              </w:rPr>
              <w:t xml:space="preserve">Parent dashboard</w:t>
            </w:r>
          </w:p>
        </w:tc>
        <w:tc>
          <w:tcPr>
            <w:tcW w:type="dxa" w:w="5000"/>
            <w:tcMar>
              <w:top w:type="dxa" w:w="80"/>
              <w:left w:type="dxa" w:w="100"/>
              <w:bottom w:type="dxa" w:w="80"/>
              <w:right w:type="dxa" w:w="100"/>
            </w:tcMar>
            <w:vAlign w:val="center"/>
          </w:tcPr>
          <w:p>
            <w:r>
              <w:rPr>
                <w:rFonts w:ascii="Calibri" w:cs="Calibri" w:eastAsia="Calibri" w:hAnsi="Calibri"/>
                <w:b w:val="false"/>
                <w:bCs w:val="false"/>
                <w:sz w:val="20"/>
                <w:szCs w:val="20"/>
              </w:rPr>
              <w:t xml:space="preserve">Create and track students; view progress, badges and hours spent.</w:t>
            </w:r>
          </w:p>
        </w:tc>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Parents</w:t>
            </w:r>
          </w:p>
        </w:tc>
      </w:tr>
      <w:tr>
        <w:tc>
          <w:tcPr>
            <w:tcW w:type="dxa" w:w="2400"/>
            <w:tcMar>
              <w:top w:type="dxa" w:w="80"/>
              <w:left w:type="dxa" w:w="100"/>
              <w:bottom w:type="dxa" w:w="80"/>
              <w:right w:type="dxa" w:w="100"/>
            </w:tcMar>
            <w:vAlign w:val="center"/>
          </w:tcPr>
          <w:p>
            <w:r>
              <w:rPr>
                <w:rFonts w:ascii="Calibri" w:cs="Calibri" w:eastAsia="Calibri" w:hAnsi="Calibri"/>
                <w:b w:val="false"/>
                <w:bCs w:val="false"/>
                <w:sz w:val="20"/>
                <w:szCs w:val="20"/>
              </w:rPr>
              <w:t xml:space="preserve">Supervisor dashboard</w:t>
            </w:r>
          </w:p>
        </w:tc>
        <w:tc>
          <w:tcPr>
            <w:tcW w:type="dxa" w:w="5000"/>
            <w:tcMar>
              <w:top w:type="dxa" w:w="80"/>
              <w:left w:type="dxa" w:w="100"/>
              <w:bottom w:type="dxa" w:w="80"/>
              <w:right w:type="dxa" w:w="100"/>
            </w:tcMar>
            <w:vAlign w:val="center"/>
          </w:tcPr>
          <w:p>
            <w:r>
              <w:rPr>
                <w:rFonts w:ascii="Calibri" w:cs="Calibri" w:eastAsia="Calibri" w:hAnsi="Calibri"/>
                <w:b w:val="false"/>
                <w:bCs w:val="false"/>
                <w:sz w:val="20"/>
                <w:szCs w:val="20"/>
              </w:rPr>
              <w:t xml:space="preserve">Classrooms, learner tiers, analytics, and moderation of students.</w:t>
            </w:r>
          </w:p>
        </w:tc>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Teachers, Admin</w:t>
            </w:r>
          </w:p>
        </w:tc>
      </w:tr>
      <w:tr>
        <w:tc>
          <w:tcPr>
            <w:tcW w:type="dxa" w:w="2400"/>
            <w:tcMar>
              <w:top w:type="dxa" w:w="80"/>
              <w:left w:type="dxa" w:w="100"/>
              <w:bottom w:type="dxa" w:w="80"/>
              <w:right w:type="dxa" w:w="100"/>
            </w:tcMar>
            <w:vAlign w:val="center"/>
          </w:tcPr>
          <w:p>
            <w:r>
              <w:rPr>
                <w:rFonts w:ascii="Calibri" w:cs="Calibri" w:eastAsia="Calibri" w:hAnsi="Calibri"/>
                <w:b w:val="false"/>
                <w:bCs w:val="false"/>
                <w:sz w:val="20"/>
                <w:szCs w:val="20"/>
              </w:rPr>
              <w:t xml:space="preserve">Word bank manager</w:t>
            </w:r>
          </w:p>
        </w:tc>
        <w:tc>
          <w:tcPr>
            <w:tcW w:type="dxa" w:w="5000"/>
            <w:tcMar>
              <w:top w:type="dxa" w:w="80"/>
              <w:left w:type="dxa" w:w="100"/>
              <w:bottom w:type="dxa" w:w="80"/>
              <w:right w:type="dxa" w:w="100"/>
            </w:tcMar>
            <w:vAlign w:val="center"/>
          </w:tcPr>
          <w:p>
            <w:r>
              <w:rPr>
                <w:rFonts w:ascii="Calibri" w:cs="Calibri" w:eastAsia="Calibri" w:hAnsi="Calibri"/>
                <w:b w:val="false"/>
                <w:bCs w:val="false"/>
                <w:sz w:val="20"/>
                <w:szCs w:val="20"/>
              </w:rPr>
              <w:t xml:space="preserve">Add, edit, delete words; dictionary lookup; bulk CSV import with concurrency limits.</w:t>
            </w:r>
          </w:p>
        </w:tc>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Teachers, Admin</w:t>
            </w:r>
          </w:p>
        </w:tc>
      </w:tr>
      <w:tr>
        <w:tc>
          <w:tcPr>
            <w:tcW w:type="dxa" w:w="2400"/>
            <w:tcMar>
              <w:top w:type="dxa" w:w="80"/>
              <w:left w:type="dxa" w:w="100"/>
              <w:bottom w:type="dxa" w:w="80"/>
              <w:right w:type="dxa" w:w="100"/>
            </w:tcMar>
            <w:vAlign w:val="center"/>
          </w:tcPr>
          <w:p>
            <w:r>
              <w:rPr>
                <w:rFonts w:ascii="Calibri" w:cs="Calibri" w:eastAsia="Calibri" w:hAnsi="Calibri"/>
                <w:b w:val="false"/>
                <w:bCs w:val="false"/>
                <w:sz w:val="20"/>
                <w:szCs w:val="20"/>
              </w:rPr>
              <w:t xml:space="preserve">Account management</w:t>
            </w:r>
          </w:p>
        </w:tc>
        <w:tc>
          <w:tcPr>
            <w:tcW w:type="dxa" w:w="5000"/>
            <w:tcMar>
              <w:top w:type="dxa" w:w="80"/>
              <w:left w:type="dxa" w:w="100"/>
              <w:bottom w:type="dxa" w:w="80"/>
              <w:right w:type="dxa" w:w="100"/>
            </w:tcMar>
            <w:vAlign w:val="center"/>
          </w:tcPr>
          <w:p>
            <w:r>
              <w:rPr>
                <w:rFonts w:ascii="Calibri" w:cs="Calibri" w:eastAsia="Calibri" w:hAnsi="Calibri"/>
                <w:b w:val="false"/>
                <w:bCs w:val="false"/>
                <w:sz w:val="20"/>
                <w:szCs w:val="20"/>
              </w:rPr>
              <w:t xml:space="preserve">Create, approve, edit and delete parent/teacher accounts.</w:t>
            </w:r>
          </w:p>
        </w:tc>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Admin</w:t>
            </w:r>
          </w:p>
        </w:tc>
      </w:tr>
      <w:tr>
        <w:tc>
          <w:tcPr>
            <w:tcW w:type="dxa" w:w="2400"/>
            <w:tcMar>
              <w:top w:type="dxa" w:w="80"/>
              <w:left w:type="dxa" w:w="100"/>
              <w:bottom w:type="dxa" w:w="80"/>
              <w:right w:type="dxa" w:w="100"/>
            </w:tcMar>
            <w:vAlign w:val="center"/>
          </w:tcPr>
          <w:p>
            <w:r>
              <w:rPr>
                <w:rFonts w:ascii="Calibri" w:cs="Calibri" w:eastAsia="Calibri" w:hAnsi="Calibri"/>
                <w:b w:val="false"/>
                <w:bCs w:val="false"/>
                <w:sz w:val="20"/>
                <w:szCs w:val="20"/>
              </w:rPr>
              <w:t xml:space="preserve">Accessibility</w:t>
            </w:r>
          </w:p>
        </w:tc>
        <w:tc>
          <w:tcPr>
            <w:tcW w:type="dxa" w:w="5000"/>
            <w:tcMar>
              <w:top w:type="dxa" w:w="80"/>
              <w:left w:type="dxa" w:w="100"/>
              <w:bottom w:type="dxa" w:w="80"/>
              <w:right w:type="dxa" w:w="100"/>
            </w:tcMar>
            <w:vAlign w:val="center"/>
          </w:tcPr>
          <w:p>
            <w:r>
              <w:rPr>
                <w:rFonts w:ascii="Calibri" w:cs="Calibri" w:eastAsia="Calibri" w:hAnsi="Calibri"/>
                <w:b w:val="false"/>
                <w:bCs w:val="false"/>
                <w:sz w:val="20"/>
                <w:szCs w:val="20"/>
              </w:rPr>
              <w:t xml:space="preserve">Dark mode, text sizes and dyslexia-friendly font, persisted in preferences.</w:t>
            </w:r>
          </w:p>
        </w:tc>
        <w:tc>
          <w:tcPr>
            <w:tcW w:type="dxa" w:w="2600"/>
            <w:tcMar>
              <w:top w:type="dxa" w:w="80"/>
              <w:left w:type="dxa" w:w="100"/>
              <w:bottom w:type="dxa" w:w="80"/>
              <w:right w:type="dxa" w:w="100"/>
            </w:tcMar>
            <w:vAlign w:val="center"/>
          </w:tcPr>
          <w:p>
            <w:r>
              <w:rPr>
                <w:rFonts w:ascii="Calibri" w:cs="Calibri" w:eastAsia="Calibri" w:hAnsi="Calibri"/>
                <w:b w:val="false"/>
                <w:bCs w:val="false"/>
                <w:sz w:val="20"/>
                <w:szCs w:val="20"/>
              </w:rPr>
              <w:t xml:space="preserve">Everyone</w:t>
            </w:r>
          </w:p>
        </w:tc>
      </w:tr>
    </w:tbl>
    <w:p>
      <w:pPr>
        <w:pStyle w:val="Heading2"/>
        <w:spacing w:after="160" w:before="300"/>
      </w:pPr>
      <w:r>
        <w:t xml:space="preserve">4.2 System Workflow</w:t>
      </w:r>
    </w:p>
    <w:p>
      <w:pPr>
        <w:spacing w:after="200" w:line="276"/>
        <w:jc w:val="both"/>
      </w:pPr>
      <w:r>
        <w:rPr>
          <w:rFonts w:ascii="Calibri" w:cs="Calibri" w:eastAsia="Calibri" w:hAnsi="Calibri"/>
          <w:sz w:val="22"/>
          <w:szCs w:val="22"/>
        </w:rPr>
        <w:t xml:space="preserve">Figure 4.1 illustrates the flow of a practice round, which is the core loop through which the features in Table 4.1 come together. The learner logs in with their code, a word is spoken, the learner spells aloud, and the client submits the round. The API grades each spelling against the authoritative word bank, updates points, streak and hearts, checks for tier advancement, awards badges and records practice time before showing the result screen.</w:t>
      </w:r>
    </w:p>
    <w:p>
      <w:pPr>
        <w:spacing w:after="100" w:before="200"/>
        <w:jc w:val="center"/>
      </w:pPr>
      <w:r>
        <w:drawing>
          <wp:inline distT="0" distB="0" distL="0" distR="0">
            <wp:extent cx="3067050" cy="553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67050" cy="5534025"/>
                    </a:xfrm>
                    <a:prstGeom prst="rect">
                      <a:avLst/>
                    </a:prstGeom>
                  </pic:spPr>
                </pic:pic>
              </a:graphicData>
            </a:graphic>
          </wp:inline>
        </w:drawing>
      </w:r>
    </w:p>
    <w:p>
      <w:pPr>
        <w:spacing w:after="240"/>
        <w:jc w:val="center"/>
      </w:pPr>
      <w:r>
        <w:rPr>
          <w:rFonts w:ascii="Calibri" w:cs="Calibri" w:eastAsia="Calibri" w:hAnsi="Calibri"/>
          <w:i/>
          <w:iCs/>
          <w:sz w:val="20"/>
          <w:szCs w:val="20"/>
        </w:rPr>
        <w:t xml:space="preserve">Figure 4.1: Flow of a practice round.</w:t>
      </w:r>
    </w:p>
    <w:p>
      <w:pPr>
        <w:pStyle w:val="Heading2"/>
        <w:spacing w:after="160" w:before="300"/>
      </w:pPr>
      <w:r>
        <w:t xml:space="preserve">4.2.1 Example Walk-Through</w:t>
      </w:r>
    </w:p>
    <w:p>
      <w:pPr>
        <w:pStyle w:val="ListParagraph"/>
        <w:numPr>
          <w:ilvl w:val="0"/>
          <w:numId w:val="3"/>
        </w:numPr>
        <w:spacing w:after="120"/>
        <w:jc w:val="both"/>
      </w:pPr>
      <w:r>
        <w:rPr>
          <w:rFonts w:ascii="Calibri" w:cs="Calibri" w:eastAsia="Calibri" w:hAnsi="Calibri"/>
          <w:sz w:val="22"/>
          <w:szCs w:val="22"/>
        </w:rPr>
        <w:t xml:space="preserve">A parent logs in with email and password; the API returns their approved account and learner profiles.</w:t>
      </w:r>
    </w:p>
    <w:p>
      <w:pPr>
        <w:pStyle w:val="ListParagraph"/>
        <w:numPr>
          <w:ilvl w:val="0"/>
          <w:numId w:val="3"/>
        </w:numPr>
        <w:spacing w:after="120"/>
        <w:jc w:val="both"/>
      </w:pPr>
      <w:r>
        <w:rPr>
          <w:rFonts w:ascii="Calibri" w:cs="Calibri" w:eastAsia="Calibri" w:hAnsi="Calibri"/>
          <w:sz w:val="22"/>
          <w:szCs w:val="22"/>
        </w:rPr>
        <w:t xml:space="preserve">The learner enters the app with their unique code (e.g. ST-10001), or is selected by the parent.</w:t>
      </w:r>
    </w:p>
    <w:p>
      <w:pPr>
        <w:pStyle w:val="ListParagraph"/>
        <w:numPr>
          <w:ilvl w:val="0"/>
          <w:numId w:val="3"/>
        </w:numPr>
        <w:spacing w:after="120"/>
        <w:jc w:val="both"/>
      </w:pPr>
      <w:r>
        <w:rPr>
          <w:rFonts w:ascii="Calibri" w:cs="Calibri" w:eastAsia="Calibri" w:hAnsi="Calibri"/>
          <w:sz w:val="22"/>
          <w:szCs w:val="22"/>
        </w:rPr>
        <w:t xml:space="preserve">The app fetches the word list for the learner's current tier and a daily challenge word.</w:t>
      </w:r>
    </w:p>
    <w:p>
      <w:pPr>
        <w:pStyle w:val="ListParagraph"/>
        <w:numPr>
          <w:ilvl w:val="0"/>
          <w:numId w:val="3"/>
        </w:numPr>
        <w:spacing w:after="120"/>
        <w:jc w:val="both"/>
      </w:pPr>
      <w:r>
        <w:rPr>
          <w:rFonts w:ascii="Calibri" w:cs="Calibri" w:eastAsia="Calibri" w:hAnsi="Calibri"/>
          <w:sz w:val="22"/>
          <w:szCs w:val="22"/>
        </w:rPr>
        <w:t xml:space="preserve">After a round of spoken answers, POST /rounds grades each word server-side and replies with points, streak, hearts, tier changes and earned badges.</w:t>
      </w:r>
    </w:p>
    <w:p>
      <w:pPr>
        <w:pStyle w:val="ListParagraph"/>
        <w:numPr>
          <w:ilvl w:val="0"/>
          <w:numId w:val="3"/>
        </w:numPr>
        <w:spacing w:after="120"/>
        <w:jc w:val="both"/>
      </w:pPr>
      <w:r>
        <w:rPr>
          <w:rFonts w:ascii="Calibri" w:cs="Calibri" w:eastAsia="Calibri" w:hAnsi="Calibri"/>
          <w:sz w:val="22"/>
          <w:szCs w:val="22"/>
        </w:rPr>
        <w:t xml:space="preserve">The result screen and the leaderboard/dashboards update immediately.</w:t>
      </w:r>
    </w:p>
    <w:p>
      <w:pPr>
        <w:pStyle w:val="Heading2"/>
        <w:spacing w:after="160" w:before="300"/>
      </w:pPr>
      <w:r>
        <w:t xml:space="preserve">4.3 Testing Results</w:t>
      </w:r>
    </w:p>
    <w:p>
      <w:pPr>
        <w:spacing w:after="200" w:line="276"/>
        <w:jc w:val="both"/>
      </w:pPr>
      <w:r>
        <w:rPr>
          <w:rFonts w:ascii="Calibri" w:cs="Calibri" w:eastAsia="Calibri" w:hAnsi="Calibri"/>
          <w:sz w:val="22"/>
          <w:szCs w:val="22"/>
        </w:rPr>
        <w:t xml:space="preserve">Table 4.2 presents the results of applying the testing methodology described in Section 3.8.</w:t>
      </w:r>
    </w:p>
    <w:p>
      <w:pPr>
        <w:spacing w:after="240"/>
        <w:jc w:val="center"/>
      </w:pPr>
      <w:r>
        <w:rPr>
          <w:rFonts w:ascii="Calibri" w:cs="Calibri" w:eastAsia="Calibri" w:hAnsi="Calibri"/>
          <w:i/>
          <w:iCs/>
          <w:sz w:val="20"/>
          <w:szCs w:val="20"/>
        </w:rPr>
        <w:t xml:space="preserve">Table 4.2: Testing and Verification Results</w:t>
      </w:r>
    </w:p>
    <w:tbl>
      <w:tblPr>
        <w:tblW w:type="dxa" w:w="10000"/>
        <w:tblBorders>
          <w:top w:val="single" w:color="999999" w:sz="4"/>
          <w:left w:val="single" w:color="999999" w:sz="4"/>
          <w:bottom w:val="single" w:color="999999" w:sz="4"/>
          <w:right w:val="single" w:color="999999" w:sz="4"/>
          <w:insideH w:val="single" w:color="CCCCCC" w:sz="4"/>
          <w:insideV w:val="single" w:color="CCCCCC" w:sz="4"/>
        </w:tblBorders>
      </w:tblPr>
      <w:tblGrid>
        <w:gridCol w:w="3200"/>
        <w:gridCol w:w="3600"/>
        <w:gridCol w:w="3200"/>
      </w:tblGrid>
      <w:tr>
        <w:trPr>
          <w:tblHeader/>
        </w:trPr>
        <w:tc>
          <w:tcPr>
            <w:tcW w:type="dxa" w:w="32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Check</w:t>
            </w:r>
          </w:p>
        </w:tc>
        <w:tc>
          <w:tcPr>
            <w:tcW w:type="dxa" w:w="36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Tool</w:t>
            </w:r>
          </w:p>
        </w:tc>
        <w:tc>
          <w:tcPr>
            <w:tcW w:type="dxa" w:w="32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Result</w:t>
            </w:r>
          </w:p>
        </w:tc>
      </w:tr>
      <w:tr>
        <w:tc>
          <w:tcPr>
            <w:tcW w:type="dxa" w:w="3200"/>
            <w:tcMar>
              <w:top w:type="dxa" w:w="80"/>
              <w:left w:type="dxa" w:w="100"/>
              <w:bottom w:type="dxa" w:w="80"/>
              <w:right w:type="dxa" w:w="100"/>
            </w:tcMar>
            <w:vAlign w:val="center"/>
          </w:tcPr>
          <w:p>
            <w:r>
              <w:rPr>
                <w:rFonts w:ascii="Calibri" w:cs="Calibri" w:eastAsia="Calibri" w:hAnsi="Calibri"/>
                <w:b w:val="false"/>
                <w:bCs w:val="false"/>
                <w:sz w:val="20"/>
                <w:szCs w:val="20"/>
              </w:rPr>
              <w:t xml:space="preserve">40 end-to-end API scenarios</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Node + fetch audit script</w:t>
            </w:r>
          </w:p>
        </w:tc>
        <w:tc>
          <w:tcPr>
            <w:tcW w:type="dxa" w:w="3200"/>
            <w:tcMar>
              <w:top w:type="dxa" w:w="80"/>
              <w:left w:type="dxa" w:w="100"/>
              <w:bottom w:type="dxa" w:w="80"/>
              <w:right w:type="dxa" w:w="100"/>
            </w:tcMar>
            <w:vAlign w:val="center"/>
          </w:tcPr>
          <w:p>
            <w:r>
              <w:rPr>
                <w:rFonts w:ascii="Calibri" w:cs="Calibri" w:eastAsia="Calibri" w:hAnsi="Calibri"/>
                <w:b w:val="false"/>
                <w:bCs w:val="false"/>
                <w:sz w:val="20"/>
                <w:szCs w:val="20"/>
              </w:rPr>
              <w:t xml:space="preserve">40 / 40 passed</w:t>
            </w:r>
          </w:p>
        </w:tc>
      </w:tr>
      <w:tr>
        <w:tc>
          <w:tcPr>
            <w:tcW w:type="dxa" w:w="3200"/>
            <w:tcMar>
              <w:top w:type="dxa" w:w="80"/>
              <w:left w:type="dxa" w:w="100"/>
              <w:bottom w:type="dxa" w:w="80"/>
              <w:right w:type="dxa" w:w="100"/>
            </w:tcMar>
            <w:vAlign w:val="center"/>
          </w:tcPr>
          <w:p>
            <w:r>
              <w:rPr>
                <w:rFonts w:ascii="Calibri" w:cs="Calibri" w:eastAsia="Calibri" w:hAnsi="Calibri"/>
                <w:b w:val="false"/>
                <w:bCs w:val="false"/>
                <w:sz w:val="20"/>
                <w:szCs w:val="20"/>
              </w:rPr>
              <w:t xml:space="preserve">Frontend type check</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tsc --noEmit (npm run lint)</w:t>
            </w:r>
          </w:p>
        </w:tc>
        <w:tc>
          <w:tcPr>
            <w:tcW w:type="dxa" w:w="3200"/>
            <w:tcMar>
              <w:top w:type="dxa" w:w="80"/>
              <w:left w:type="dxa" w:w="100"/>
              <w:bottom w:type="dxa" w:w="80"/>
              <w:right w:type="dxa" w:w="100"/>
            </w:tcMar>
            <w:vAlign w:val="center"/>
          </w:tcPr>
          <w:p>
            <w:r>
              <w:rPr>
                <w:rFonts w:ascii="Calibri" w:cs="Calibri" w:eastAsia="Calibri" w:hAnsi="Calibri"/>
                <w:b w:val="false"/>
                <w:bCs w:val="false"/>
                <w:sz w:val="20"/>
                <w:szCs w:val="20"/>
              </w:rPr>
              <w:t xml:space="preserve">No errors</w:t>
            </w:r>
          </w:p>
        </w:tc>
      </w:tr>
      <w:tr>
        <w:tc>
          <w:tcPr>
            <w:tcW w:type="dxa" w:w="3200"/>
            <w:tcMar>
              <w:top w:type="dxa" w:w="80"/>
              <w:left w:type="dxa" w:w="100"/>
              <w:bottom w:type="dxa" w:w="80"/>
              <w:right w:type="dxa" w:w="100"/>
            </w:tcMar>
            <w:vAlign w:val="center"/>
          </w:tcPr>
          <w:p>
            <w:r>
              <w:rPr>
                <w:rFonts w:ascii="Calibri" w:cs="Calibri" w:eastAsia="Calibri" w:hAnsi="Calibri"/>
                <w:b w:val="false"/>
                <w:bCs w:val="false"/>
                <w:sz w:val="20"/>
                <w:szCs w:val="20"/>
              </w:rPr>
              <w:t xml:space="preserve">Production frontend build</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vite build</w:t>
            </w:r>
          </w:p>
        </w:tc>
        <w:tc>
          <w:tcPr>
            <w:tcW w:type="dxa" w:w="3200"/>
            <w:tcMar>
              <w:top w:type="dxa" w:w="80"/>
              <w:left w:type="dxa" w:w="100"/>
              <w:bottom w:type="dxa" w:w="80"/>
              <w:right w:type="dxa" w:w="100"/>
            </w:tcMar>
            <w:vAlign w:val="center"/>
          </w:tcPr>
          <w:p>
            <w:r>
              <w:rPr>
                <w:rFonts w:ascii="Calibri" w:cs="Calibri" w:eastAsia="Calibri" w:hAnsi="Calibri"/>
                <w:b w:val="false"/>
                <w:bCs w:val="false"/>
                <w:sz w:val="20"/>
                <w:szCs w:val="20"/>
              </w:rPr>
              <w:t xml:space="preserve">Built successfully (code-split chunks)</w:t>
            </w:r>
          </w:p>
        </w:tc>
      </w:tr>
      <w:tr>
        <w:tc>
          <w:tcPr>
            <w:tcW w:type="dxa" w:w="3200"/>
            <w:tcMar>
              <w:top w:type="dxa" w:w="80"/>
              <w:left w:type="dxa" w:w="100"/>
              <w:bottom w:type="dxa" w:w="80"/>
              <w:right w:type="dxa" w:w="100"/>
            </w:tcMar>
            <w:vAlign w:val="center"/>
          </w:tcPr>
          <w:p>
            <w:r>
              <w:rPr>
                <w:rFonts w:ascii="Calibri" w:cs="Calibri" w:eastAsia="Calibri" w:hAnsi="Calibri"/>
                <w:b w:val="false"/>
                <w:bCs w:val="false"/>
                <w:sz w:val="20"/>
                <w:szCs w:val="20"/>
              </w:rPr>
              <w:t xml:space="preserve">Backend syntax check</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node --check (all files)</w:t>
            </w:r>
          </w:p>
        </w:tc>
        <w:tc>
          <w:tcPr>
            <w:tcW w:type="dxa" w:w="3200"/>
            <w:tcMar>
              <w:top w:type="dxa" w:w="80"/>
              <w:left w:type="dxa" w:w="100"/>
              <w:bottom w:type="dxa" w:w="80"/>
              <w:right w:type="dxa" w:w="100"/>
            </w:tcMar>
            <w:vAlign w:val="center"/>
          </w:tcPr>
          <w:p>
            <w:r>
              <w:rPr>
                <w:rFonts w:ascii="Calibri" w:cs="Calibri" w:eastAsia="Calibri" w:hAnsi="Calibri"/>
                <w:b w:val="false"/>
                <w:bCs w:val="false"/>
                <w:sz w:val="20"/>
                <w:szCs w:val="20"/>
              </w:rPr>
              <w:t xml:space="preserve">OK</w:t>
            </w:r>
          </w:p>
        </w:tc>
      </w:tr>
      <w:tr>
        <w:tc>
          <w:tcPr>
            <w:tcW w:type="dxa" w:w="3200"/>
            <w:tcMar>
              <w:top w:type="dxa" w:w="80"/>
              <w:left w:type="dxa" w:w="100"/>
              <w:bottom w:type="dxa" w:w="80"/>
              <w:right w:type="dxa" w:w="100"/>
            </w:tcMar>
            <w:vAlign w:val="center"/>
          </w:tcPr>
          <w:p>
            <w:r>
              <w:rPr>
                <w:rFonts w:ascii="Calibri" w:cs="Calibri" w:eastAsia="Calibri" w:hAnsi="Calibri"/>
                <w:b w:val="false"/>
                <w:bCs w:val="false"/>
                <w:sz w:val="20"/>
                <w:szCs w:val="20"/>
              </w:rPr>
              <w:t xml:space="preserve">Prisma schema / database</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prisma migrate status + validate</w:t>
            </w:r>
          </w:p>
        </w:tc>
        <w:tc>
          <w:tcPr>
            <w:tcW w:type="dxa" w:w="3200"/>
            <w:tcMar>
              <w:top w:type="dxa" w:w="80"/>
              <w:left w:type="dxa" w:w="100"/>
              <w:bottom w:type="dxa" w:w="80"/>
              <w:right w:type="dxa" w:w="100"/>
            </w:tcMar>
            <w:vAlign w:val="center"/>
          </w:tcPr>
          <w:p>
            <w:r>
              <w:rPr>
                <w:rFonts w:ascii="Calibri" w:cs="Calibri" w:eastAsia="Calibri" w:hAnsi="Calibri"/>
                <w:b w:val="false"/>
                <w:bCs w:val="false"/>
                <w:sz w:val="20"/>
                <w:szCs w:val="20"/>
              </w:rPr>
              <w:t xml:space="preserve">Schema up to date, valid</w:t>
            </w:r>
          </w:p>
        </w:tc>
      </w:tr>
      <w:tr>
        <w:tc>
          <w:tcPr>
            <w:tcW w:type="dxa" w:w="3200"/>
            <w:tcMar>
              <w:top w:type="dxa" w:w="80"/>
              <w:left w:type="dxa" w:w="100"/>
              <w:bottom w:type="dxa" w:w="80"/>
              <w:right w:type="dxa" w:w="100"/>
            </w:tcMar>
            <w:vAlign w:val="center"/>
          </w:tcPr>
          <w:p>
            <w:r>
              <w:rPr>
                <w:rFonts w:ascii="Calibri" w:cs="Calibri" w:eastAsia="Calibri" w:hAnsi="Calibri"/>
                <w:b w:val="false"/>
                <w:bCs w:val="false"/>
                <w:sz w:val="20"/>
                <w:szCs w:val="20"/>
              </w:rPr>
              <w:t xml:space="preserve">Database delete-protection redirect</w:t>
            </w:r>
          </w:p>
        </w:tc>
        <w:tc>
          <w:tcPr>
            <w:tcW w:type="dxa" w:w="3600"/>
            <w:tcMar>
              <w:top w:type="dxa" w:w="80"/>
              <w:left w:type="dxa" w:w="100"/>
              <w:bottom w:type="dxa" w:w="80"/>
              <w:right w:type="dxa" w:w="100"/>
            </w:tcMar>
            <w:vAlign w:val="center"/>
          </w:tcPr>
          <w:p>
            <w:r>
              <w:rPr>
                <w:rFonts w:ascii="Calibri" w:cs="Calibri" w:eastAsia="Calibri" w:hAnsi="Calibri"/>
                <w:b w:val="false"/>
                <w:bCs w:val="false"/>
                <w:sz w:val="20"/>
                <w:szCs w:val="20"/>
              </w:rPr>
              <w:t xml:space="preserve">Supabase SQL editor</w:t>
            </w:r>
          </w:p>
        </w:tc>
        <w:tc>
          <w:tcPr>
            <w:tcW w:type="dxa" w:w="3200"/>
            <w:tcMar>
              <w:top w:type="dxa" w:w="80"/>
              <w:left w:type="dxa" w:w="100"/>
              <w:bottom w:type="dxa" w:w="80"/>
              <w:right w:type="dxa" w:w="100"/>
            </w:tcMar>
            <w:vAlign w:val="center"/>
          </w:tcPr>
          <w:p>
            <w:r>
              <w:rPr>
                <w:rFonts w:ascii="Calibri" w:cs="Calibri" w:eastAsia="Calibri" w:hAnsi="Calibri"/>
                <w:b w:val="false"/>
                <w:bCs w:val="false"/>
                <w:sz w:val="20"/>
                <w:szCs w:val="20"/>
              </w:rPr>
              <w:t xml:space="preserve">Passed — members-not-signed-out</w:t>
            </w:r>
          </w:p>
        </w:tc>
      </w:tr>
    </w:tbl>
    <w:p>
      <w:pPr>
        <w:spacing w:after="200" w:line="276"/>
        <w:jc w:val="both"/>
      </w:pPr>
      <w:r>
        <w:rPr>
          <w:rFonts w:ascii="Calibri" w:cs="Calibri" w:eastAsia="Calibri" w:hAnsi="Calibri"/>
          <w:sz w:val="22"/>
          <w:szCs w:val="22"/>
        </w:rPr>
        <w:t xml:space="preserve">The audit also confirmed the intended access-control boundaries: learner-only placement, closed self-registration (accounts are created by the school), and the requirement that teachers be approved by an administrator before first login.</w:t>
      </w:r>
    </w:p>
    <w:p>
      <w:pPr>
        <w:pStyle w:val="Heading2"/>
        <w:spacing w:after="160" w:before="300"/>
      </w:pPr>
      <w:r>
        <w:t xml:space="preserve">4.4 Challenges Encountered and Solutions Applied</w:t>
      </w:r>
    </w:p>
    <w:p>
      <w:pPr>
        <w:spacing w:after="240"/>
        <w:jc w:val="center"/>
      </w:pPr>
      <w:r>
        <w:rPr>
          <w:rFonts w:ascii="Calibri" w:cs="Calibri" w:eastAsia="Calibri" w:hAnsi="Calibri"/>
          <w:i/>
          <w:iCs/>
          <w:sz w:val="20"/>
          <w:szCs w:val="20"/>
        </w:rPr>
        <w:t xml:space="preserve">Table 4.3: Challenges Encountered and Solutions Applied</w:t>
      </w:r>
    </w:p>
    <w:tbl>
      <w:tblPr>
        <w:tblW w:type="dxa" w:w="10000"/>
        <w:tblBorders>
          <w:top w:val="single" w:color="999999" w:sz="4"/>
          <w:left w:val="single" w:color="999999" w:sz="4"/>
          <w:bottom w:val="single" w:color="999999" w:sz="4"/>
          <w:right w:val="single" w:color="999999" w:sz="4"/>
          <w:insideH w:val="single" w:color="CCCCCC" w:sz="4"/>
          <w:insideV w:val="single" w:color="CCCCCC" w:sz="4"/>
        </w:tblBorders>
      </w:tblPr>
      <w:tblGrid>
        <w:gridCol w:w="4800"/>
        <w:gridCol w:w="5200"/>
      </w:tblGrid>
      <w:tr>
        <w:trPr>
          <w:tblHeader/>
        </w:trPr>
        <w:tc>
          <w:tcPr>
            <w:tcW w:type="dxa" w:w="48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Challenge</w:t>
            </w:r>
          </w:p>
        </w:tc>
        <w:tc>
          <w:tcPr>
            <w:tcW w:type="dxa" w:w="5200"/>
            <w:shd w:fill="1F3864" w:color="auto"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Solution</w:t>
            </w:r>
          </w:p>
        </w:tc>
      </w:tr>
      <w:tr>
        <w:tc>
          <w:tcPr>
            <w:tcW w:type="dxa" w:w="4800"/>
            <w:tcMar>
              <w:top w:type="dxa" w:w="80"/>
              <w:left w:type="dxa" w:w="100"/>
              <w:bottom w:type="dxa" w:w="80"/>
              <w:right w:type="dxa" w:w="100"/>
            </w:tcMar>
            <w:vAlign w:val="center"/>
          </w:tcPr>
          <w:p>
            <w:r>
              <w:rPr>
                <w:rFonts w:ascii="Calibri" w:cs="Calibri" w:eastAsia="Calibri" w:hAnsi="Calibri"/>
                <w:b w:val="false"/>
                <w:bCs w:val="false"/>
                <w:sz w:val="20"/>
                <w:szCs w:val="20"/>
              </w:rPr>
              <w:t xml:space="preserve">Cheating-proof scoring (a client could self-mark words correct)</w:t>
            </w:r>
          </w:p>
        </w:tc>
        <w:tc>
          <w:tcPr>
            <w:tcW w:type="dxa" w:w="5200"/>
            <w:tcMar>
              <w:top w:type="dxa" w:w="80"/>
              <w:left w:type="dxa" w:w="100"/>
              <w:bottom w:type="dxa" w:w="80"/>
              <w:right w:type="dxa" w:w="100"/>
            </w:tcMar>
            <w:vAlign w:val="center"/>
          </w:tcPr>
          <w:p>
            <w:r>
              <w:rPr>
                <w:rFonts w:ascii="Calibri" w:cs="Calibri" w:eastAsia="Calibri" w:hAnsi="Calibri"/>
                <w:b w:val="false"/>
                <w:bCs w:val="false"/>
                <w:sz w:val="20"/>
                <w:szCs w:val="20"/>
              </w:rPr>
              <w:t xml:space="preserve">Correctness is re-graded server-side from the learner's spelling against the word bank; client flags are ignored.</w:t>
            </w:r>
          </w:p>
        </w:tc>
      </w:tr>
      <w:tr>
        <w:tc>
          <w:tcPr>
            <w:tcW w:type="dxa" w:w="4800"/>
            <w:tcMar>
              <w:top w:type="dxa" w:w="80"/>
              <w:left w:type="dxa" w:w="100"/>
              <w:bottom w:type="dxa" w:w="80"/>
              <w:right w:type="dxa" w:w="100"/>
            </w:tcMar>
            <w:vAlign w:val="center"/>
          </w:tcPr>
          <w:p>
            <w:r>
              <w:rPr>
                <w:rFonts w:ascii="Calibri" w:cs="Calibri" w:eastAsia="Calibri" w:hAnsi="Calibri"/>
                <w:b w:val="false"/>
                <w:bCs w:val="false"/>
                <w:sz w:val="20"/>
                <w:szCs w:val="20"/>
              </w:rPr>
              <w:t xml:space="preserve">Concurrent rounds could clobber points/streak</w:t>
            </w:r>
          </w:p>
        </w:tc>
        <w:tc>
          <w:tcPr>
            <w:tcW w:type="dxa" w:w="5200"/>
            <w:tcMar>
              <w:top w:type="dxa" w:w="80"/>
              <w:left w:type="dxa" w:w="100"/>
              <w:bottom w:type="dxa" w:w="80"/>
              <w:right w:type="dxa" w:w="100"/>
            </w:tcMar>
            <w:vAlign w:val="center"/>
          </w:tcPr>
          <w:p>
            <w:r>
              <w:rPr>
                <w:rFonts w:ascii="Calibri" w:cs="Calibri" w:eastAsia="Calibri" w:hAnsi="Calibri"/>
                <w:b w:val="false"/>
                <w:bCs w:val="false"/>
                <w:sz w:val="20"/>
                <w:szCs w:val="20"/>
              </w:rPr>
              <w:t xml:space="preserve">A row-level lock (SELECT ... FOR UPDATE) serialises gamification updates inside a transaction.</w:t>
            </w:r>
          </w:p>
        </w:tc>
      </w:tr>
      <w:tr>
        <w:tc>
          <w:tcPr>
            <w:tcW w:type="dxa" w:w="4800"/>
            <w:tcMar>
              <w:top w:type="dxa" w:w="80"/>
              <w:left w:type="dxa" w:w="100"/>
              <w:bottom w:type="dxa" w:w="80"/>
              <w:right w:type="dxa" w:w="100"/>
            </w:tcMar>
            <w:vAlign w:val="center"/>
          </w:tcPr>
          <w:p>
            <w:r>
              <w:rPr>
                <w:rFonts w:ascii="Calibri" w:cs="Calibri" w:eastAsia="Calibri" w:hAnsi="Calibri"/>
                <w:b w:val="false"/>
                <w:bCs w:val="false"/>
                <w:sz w:val="20"/>
                <w:szCs w:val="20"/>
              </w:rPr>
              <w:t xml:space="preserve">Voice data and privacy</w:t>
            </w:r>
          </w:p>
        </w:tc>
        <w:tc>
          <w:tcPr>
            <w:tcW w:type="dxa" w:w="5200"/>
            <w:tcMar>
              <w:top w:type="dxa" w:w="80"/>
              <w:left w:type="dxa" w:w="100"/>
              <w:bottom w:type="dxa" w:w="80"/>
              <w:right w:type="dxa" w:w="100"/>
            </w:tcMar>
            <w:vAlign w:val="center"/>
          </w:tcPr>
          <w:p>
            <w:r>
              <w:rPr>
                <w:rFonts w:ascii="Calibri" w:cs="Calibri" w:eastAsia="Calibri" w:hAnsi="Calibri"/>
                <w:b w:val="false"/>
                <w:bCs w:val="false"/>
                <w:sz w:val="20"/>
                <w:szCs w:val="20"/>
              </w:rPr>
              <w:t xml:space="preserve">Speech is recognised on the device; no audio is uploaded or stored by the server.</w:t>
            </w:r>
          </w:p>
        </w:tc>
      </w:tr>
      <w:tr>
        <w:tc>
          <w:tcPr>
            <w:tcW w:type="dxa" w:w="4800"/>
            <w:tcMar>
              <w:top w:type="dxa" w:w="80"/>
              <w:left w:type="dxa" w:w="100"/>
              <w:bottom w:type="dxa" w:w="80"/>
              <w:right w:type="dxa" w:w="100"/>
            </w:tcMar>
            <w:vAlign w:val="center"/>
          </w:tcPr>
          <w:p>
            <w:r>
              <w:rPr>
                <w:rFonts w:ascii="Calibri" w:cs="Calibri" w:eastAsia="Calibri" w:hAnsi="Calibri"/>
                <w:b w:val="false"/>
                <w:bCs w:val="false"/>
                <w:sz w:val="20"/>
                <w:szCs w:val="20"/>
              </w:rPr>
              <w:t xml:space="preserve">Tampered clients minting points</w:t>
            </w:r>
          </w:p>
        </w:tc>
        <w:tc>
          <w:tcPr>
            <w:tcW w:type="dxa" w:w="5200"/>
            <w:tcMar>
              <w:top w:type="dxa" w:w="80"/>
              <w:left w:type="dxa" w:w="100"/>
              <w:bottom w:type="dxa" w:w="80"/>
              <w:right w:type="dxa" w:w="100"/>
            </w:tcMar>
            <w:vAlign w:val="center"/>
          </w:tcPr>
          <w:p>
            <w:r>
              <w:rPr>
                <w:rFonts w:ascii="Calibri" w:cs="Calibri" w:eastAsia="Calibri" w:hAnsi="Calibri"/>
                <w:b w:val="false"/>
                <w:bCs w:val="false"/>
                <w:sz w:val="20"/>
                <w:szCs w:val="20"/>
              </w:rPr>
              <w:t xml:space="preserve">Per-round point ceilings and hard caps on total points and streak bound any damage.</w:t>
            </w:r>
          </w:p>
        </w:tc>
      </w:tr>
      <w:tr>
        <w:tc>
          <w:tcPr>
            <w:tcW w:type="dxa" w:w="4800"/>
            <w:tcMar>
              <w:top w:type="dxa" w:w="80"/>
              <w:left w:type="dxa" w:w="100"/>
              <w:bottom w:type="dxa" w:w="80"/>
              <w:right w:type="dxa" w:w="100"/>
            </w:tcMar>
            <w:vAlign w:val="center"/>
          </w:tcPr>
          <w:p>
            <w:r>
              <w:rPr>
                <w:rFonts w:ascii="Calibri" w:cs="Calibri" w:eastAsia="Calibri" w:hAnsi="Calibri"/>
                <w:b w:val="false"/>
                <w:bCs w:val="false"/>
                <w:sz w:val="20"/>
                <w:szCs w:val="20"/>
              </w:rPr>
              <w:t xml:space="preserve">Database exposed to PostgREST/anon roles on a hosted platform</w:t>
            </w:r>
          </w:p>
        </w:tc>
        <w:tc>
          <w:tcPr>
            <w:tcW w:type="dxa" w:w="5200"/>
            <w:tcMar>
              <w:top w:type="dxa" w:w="80"/>
              <w:left w:type="dxa" w:w="100"/>
              <w:bottom w:type="dxa" w:w="80"/>
              <w:right w:type="dxa" w:w="100"/>
            </w:tcMar>
            <w:vAlign w:val="center"/>
          </w:tcPr>
          <w:p>
            <w:r>
              <w:rPr>
                <w:rFonts w:ascii="Calibri" w:cs="Calibri" w:eastAsia="Calibri" w:hAnsi="Calibri"/>
                <w:b w:val="false"/>
                <w:bCs w:val="false"/>
                <w:sz w:val="20"/>
                <w:szCs w:val="20"/>
              </w:rPr>
              <w:t xml:space="preserve">Row Level Security was enabled and the migration ledger's grants were revoked from anon/authenticated.</w:t>
            </w:r>
          </w:p>
        </w:tc>
      </w:tr>
      <w:tr>
        <w:tc>
          <w:tcPr>
            <w:tcW w:type="dxa" w:w="4800"/>
            <w:tcMar>
              <w:top w:type="dxa" w:w="80"/>
              <w:left w:type="dxa" w:w="100"/>
              <w:bottom w:type="dxa" w:w="80"/>
              <w:right w:type="dxa" w:w="100"/>
            </w:tcMar>
            <w:vAlign w:val="center"/>
          </w:tcPr>
          <w:p>
            <w:r>
              <w:rPr>
                <w:rFonts w:ascii="Calibri" w:cs="Calibri" w:eastAsia="Calibri" w:hAnsi="Calibri"/>
                <w:b w:val="false"/>
                <w:bCs w:val="false"/>
                <w:sz w:val="20"/>
                <w:szCs w:val="20"/>
              </w:rPr>
              <w:t xml:space="preserve">External dictionary lookup may be offline during word import</w:t>
            </w:r>
          </w:p>
        </w:tc>
        <w:tc>
          <w:tcPr>
            <w:tcW w:type="dxa" w:w="5200"/>
            <w:tcMar>
              <w:top w:type="dxa" w:w="80"/>
              <w:left w:type="dxa" w:w="100"/>
              <w:bottom w:type="dxa" w:w="80"/>
              <w:right w:type="dxa" w:w="100"/>
            </w:tcMar>
            <w:vAlign w:val="center"/>
          </w:tcPr>
          <w:p>
            <w:r>
              <w:rPr>
                <w:rFonts w:ascii="Calibri" w:cs="Calibri" w:eastAsia="Calibri" w:hAnsi="Calibri"/>
                <w:b w:val="false"/>
                <w:bCs w:val="false"/>
                <w:sz w:val="20"/>
                <w:szCs w:val="20"/>
              </w:rPr>
              <w:t xml:space="preserve">Imports degrade gracefully to generated definitions so a school can always import.</w:t>
            </w:r>
          </w:p>
        </w:tc>
      </w:tr>
      <w:tr>
        <w:tc>
          <w:tcPr>
            <w:tcW w:type="dxa" w:w="4800"/>
            <w:tcMar>
              <w:top w:type="dxa" w:w="80"/>
              <w:left w:type="dxa" w:w="100"/>
              <w:bottom w:type="dxa" w:w="80"/>
              <w:right w:type="dxa" w:w="100"/>
            </w:tcMar>
            <w:vAlign w:val="center"/>
          </w:tcPr>
          <w:p>
            <w:r>
              <w:rPr>
                <w:rFonts w:ascii="Calibri" w:cs="Calibri" w:eastAsia="Calibri" w:hAnsi="Calibri"/>
                <w:b w:val="false"/>
                <w:bCs w:val="false"/>
                <w:sz w:val="20"/>
                <w:szCs w:val="20"/>
              </w:rPr>
              <w:t xml:space="preserve">Dev-Tunnel and LAN hosting misconfiguration</w:t>
            </w:r>
          </w:p>
        </w:tc>
        <w:tc>
          <w:tcPr>
            <w:tcW w:type="dxa" w:w="5200"/>
            <w:tcMar>
              <w:top w:type="dxa" w:w="80"/>
              <w:left w:type="dxa" w:w="100"/>
              <w:bottom w:type="dxa" w:w="80"/>
              <w:right w:type="dxa" w:w="100"/>
            </w:tcMar>
            <w:vAlign w:val="center"/>
          </w:tcPr>
          <w:p>
            <w:r>
              <w:rPr>
                <w:rFonts w:ascii="Calibri" w:cs="Calibri" w:eastAsia="Calibri" w:hAnsi="Calibri"/>
                <w:b w:val="false"/>
                <w:bCs w:val="false"/>
                <w:sz w:val="20"/>
                <w:szCs w:val="20"/>
              </w:rPr>
              <w:t xml:space="preserve">Vite host allow-list and a dev-origin CORS allow-list were added without weakening production rules.</w:t>
            </w:r>
          </w:p>
        </w:tc>
      </w:tr>
    </w:tbl>
    <w:p>
      <w:pPr>
        <w:pStyle w:val="Heading2"/>
        <w:spacing w:after="160" w:before="300"/>
      </w:pPr>
      <w:r>
        <w:t xml:space="preserve">4.5 Discussion</w:t>
      </w:r>
    </w:p>
    <w:p>
      <w:pPr>
        <w:spacing w:after="200" w:line="276"/>
        <w:jc w:val="both"/>
      </w:pPr>
      <w:r>
        <w:rPr>
          <w:rFonts w:ascii="Calibri" w:cs="Calibri" w:eastAsia="Calibri" w:hAnsi="Calibri"/>
          <w:sz w:val="22"/>
          <w:szCs w:val="22"/>
        </w:rPr>
        <w:t xml:space="preserve">Taken together, the results in Sections 4.1 to 4.4 show that the objectives set out in Chapter One were met at the level of a working, verified software system: a full-stack voice-based spelling application was built (Objective 1), gamification mechanics spanning tiers, streaks, hearts, points, badges and a daily challenge were implemented (Objective 2), role-specific dashboards were delivered for parents, teachers and administrators (Objective 3), the security measures listed in Section 3.7 were implemented and, where testable, verified (Objective 4), and the system was verified through automated endpoint testing, type-checking and a clean build (Objective 5).</w:t>
      </w:r>
    </w:p>
    <w:p>
      <w:pPr>
        <w:spacing w:after="200" w:line="276"/>
        <w:jc w:val="both"/>
      </w:pPr>
      <w:r>
        <w:rPr>
          <w:rFonts w:ascii="Calibri" w:cs="Calibri" w:eastAsia="Calibri" w:hAnsi="Calibri"/>
          <w:sz w:val="22"/>
          <w:szCs w:val="22"/>
        </w:rPr>
        <w:t xml:space="preserve">Read against the theoretical framework in Section 2.6, the design decisions taken can be seen as a direct attempt to satisfy the three needs identified by Self-Determination Theory: the voice-only interaction supports autonomy in a way that a typing-based competitor could not for a learner who is not yet a confident typist; the tier, points, streak and badge mechanics supply the frequent, concrete feedback that Mohammed, Fatemah and Hassan (2024) found effective at raising cognitive and achievement motivation among primary-school learners; and the class-aware leaderboard supports relatedness by situating a learner's progress within their own classroom rather than an anonymous, school-wide pool.</w:t>
      </w:r>
    </w:p>
    <w:p>
      <w:pPr>
        <w:spacing w:after="200" w:line="276"/>
        <w:jc w:val="both"/>
      </w:pPr>
      <w:r>
        <w:rPr>
          <w:rFonts w:ascii="Calibri" w:cs="Calibri" w:eastAsia="Calibri" w:hAnsi="Calibri"/>
          <w:sz w:val="22"/>
          <w:szCs w:val="22"/>
        </w:rPr>
        <w:t xml:space="preserve">It is important to be precise about what the testing in Section 4.3 does and does not demonstrate. The 40/40 passing end-to-end scenarios, the clean type-check and build, and the database validation checks demonstrate that the system functions correctly and securely as specified — they are a verification of the software artefact, not a classroom efficacy trial. Whether the system produces measurable spelling-outcome improvements for real learners, in the way Raskind and Higgins (1999) demonstrated for speech-recognition-based writing instruction, is a separate question that would require a follow-up study with actual pupils over time; this is identified as a recommendation in Chapter Five rather than a claim made here. Similarly, Mohammed and Skerrit's (2022) finding on the importance of culturally-situated design when introducing speech-enabled tools to a new population of learners is a caution rather than a settled result for the present system: the underlying grading and gamification logic has been verified, but how well the specific word lists, phrasing and voice interaction land with Ghanaian basic-school learners in practice is best established once the system is piloted with real classrooms, which is also noted as future work.</w:t>
      </w:r>
    </w:p>
    <w:p>
      <w:pPr>
        <w:pStyle w:val="Heading1"/>
        <w:pageBreakBefore/>
        <w:spacing w:after="240" w:before="400"/>
      </w:pPr>
      <w:r>
        <w:t xml:space="preserve">CHAPTER FIVE: CONCLUSION AND RECOMMENDATIONS</w:t>
      </w:r>
    </w:p>
    <w:p>
      <w:pPr>
        <w:pStyle w:val="Heading2"/>
        <w:spacing w:after="160" w:before="300"/>
      </w:pPr>
      <w:r>
        <w:t xml:space="preserve">5.1 Summary of Findings</w:t>
      </w:r>
    </w:p>
    <w:p>
      <w:pPr>
        <w:spacing w:after="200" w:line="276"/>
        <w:jc w:val="both"/>
      </w:pPr>
      <w:r>
        <w:rPr>
          <w:rFonts w:ascii="Calibri" w:cs="Calibri" w:eastAsia="Calibri" w:hAnsi="Calibri"/>
          <w:sz w:val="22"/>
          <w:szCs w:val="22"/>
        </w:rPr>
        <w:t xml:space="preserve">This report has described the design, implementation and verification of Spelling Bee, a gamified, voice-only spelling-practice web application built during an industrial attachment at Ed Emporia Educational Services. The literature review in Chapter Two established that spelling difficulties are well documented in the Ghanaian context, that gamification has a demonstrated positive effect on learner motivation, and that speech-recognition technology has a track record of improving spelling and reading outcomes — while also showing that existing spelling applications remain predominantly typing-based. Chapter Three described a three-tier architecture, a twelve-table relational data model, and a security design covering password hashing, revocable sessions, role- and ownership-based access control, and Row Level Security. Chapter Four showed that the resulting system passed 40 of 40 automated end-to-end test scenarios, built and type-checked cleanly, and had its database schema and access-control boundaries validated, while also discussing the seven practical challenges encountered during development and how each was addressed.</w:t>
      </w:r>
    </w:p>
    <w:p>
      <w:pPr>
        <w:pStyle w:val="Heading2"/>
        <w:spacing w:after="160" w:before="300"/>
      </w:pPr>
      <w:r>
        <w:t xml:space="preserve">5.2 Conclusion</w:t>
      </w:r>
    </w:p>
    <w:p>
      <w:pPr>
        <w:spacing w:after="200" w:line="276"/>
        <w:jc w:val="both"/>
      </w:pPr>
      <w:r>
        <w:rPr>
          <w:rFonts w:ascii="Calibri" w:cs="Calibri" w:eastAsia="Calibri" w:hAnsi="Calibri"/>
          <w:sz w:val="22"/>
          <w:szCs w:val="22"/>
        </w:rPr>
        <w:t xml:space="preserve">The Spelling Bee project demonstrates that a complete, secure and accessible full-stack product can be built around voice-only interaction, making spelling practice possible for learners who are not yet confident typists. The gamification design, grounded in Self-Determination Theory, gives children a structured reason to practise every day, and the three-tier architecture keeps client, server and database responsibilities clear. The security measures — from password hashing and session revocation to server-side grading and Row Level Security — make the system reasonably safe to run on a hosted database in a school setting. The verification results reported in Chapter Four give confidence that the application works end to end as designed, and the discussion in Section 4.5 has been careful to distinguish this software verification from a classroom efficacy claim.</w:t>
      </w:r>
    </w:p>
    <w:p>
      <w:pPr>
        <w:pStyle w:val="Heading2"/>
        <w:spacing w:after="160" w:before="300"/>
      </w:pPr>
      <w:r>
        <w:t xml:space="preserve">5.3 Recommendations</w:t>
      </w:r>
    </w:p>
    <w:p>
      <w:pPr>
        <w:spacing w:after="200" w:line="276"/>
        <w:jc w:val="both"/>
      </w:pPr>
      <w:r>
        <w:rPr>
          <w:rFonts w:ascii="Calibri" w:cs="Calibri" w:eastAsia="Calibri" w:hAnsi="Calibri"/>
          <w:sz w:val="22"/>
          <w:szCs w:val="22"/>
        </w:rPr>
        <w:t xml:space="preserve">Building on the discussion in Section 4.5, the following recommendations are made for future work and for any organisation considering deploying or extending the system:</w:t>
      </w:r>
    </w:p>
    <w:p>
      <w:pPr>
        <w:pStyle w:val="ListParagraph"/>
        <w:numPr>
          <w:ilvl w:val="0"/>
          <w:numId w:val="4"/>
        </w:numPr>
        <w:spacing w:after="120"/>
        <w:jc w:val="both"/>
      </w:pPr>
      <w:r>
        <w:rPr>
          <w:rFonts w:ascii="Calibri" w:cs="Calibri" w:eastAsia="Calibri" w:hAnsi="Calibri"/>
          <w:sz w:val="22"/>
          <w:szCs w:val="22"/>
        </w:rPr>
        <w:t xml:space="preserve">Conduct a follow-up pilot study with real classrooms at Ed Emporia or a partner school to measure actual spelling-outcome gains over time, rather than relying on the software-verification results in Chapter Four alone.</w:t>
      </w:r>
    </w:p>
    <w:p>
      <w:pPr>
        <w:pStyle w:val="ListParagraph"/>
        <w:numPr>
          <w:ilvl w:val="0"/>
          <w:numId w:val="4"/>
        </w:numPr>
        <w:spacing w:after="120"/>
        <w:jc w:val="both"/>
      </w:pPr>
      <w:r>
        <w:rPr>
          <w:rFonts w:ascii="Calibri" w:cs="Calibri" w:eastAsia="Calibri" w:hAnsi="Calibri"/>
          <w:sz w:val="22"/>
          <w:szCs w:val="22"/>
        </w:rPr>
        <w:t xml:space="preserve">Extend the speech-recognition feature with live letter-by-letter feedback, so a learner can see or hear where a misspelling occurred rather than only whether the whole word was correct.</w:t>
      </w:r>
    </w:p>
    <w:p>
      <w:pPr>
        <w:pStyle w:val="ListParagraph"/>
        <w:numPr>
          <w:ilvl w:val="0"/>
          <w:numId w:val="4"/>
        </w:numPr>
        <w:spacing w:after="120"/>
        <w:jc w:val="both"/>
      </w:pPr>
      <w:r>
        <w:rPr>
          <w:rFonts w:ascii="Calibri" w:cs="Calibri" w:eastAsia="Calibri" w:hAnsi="Calibri"/>
          <w:sz w:val="22"/>
          <w:szCs w:val="22"/>
        </w:rPr>
        <w:t xml:space="preserve">Extend the system to support multiple schools and, in time, multiple languages, building on the culturally-situated design lesson noted in Section 2.4.</w:t>
      </w:r>
    </w:p>
    <w:p>
      <w:pPr>
        <w:pStyle w:val="ListParagraph"/>
        <w:numPr>
          <w:ilvl w:val="0"/>
          <w:numId w:val="4"/>
        </w:numPr>
        <w:spacing w:after="120"/>
        <w:jc w:val="both"/>
      </w:pPr>
      <w:r>
        <w:rPr>
          <w:rFonts w:ascii="Calibri" w:cs="Calibri" w:eastAsia="Calibri" w:hAnsi="Calibri"/>
          <w:sz w:val="22"/>
          <w:szCs w:val="22"/>
        </w:rPr>
        <w:t xml:space="preserve">Introduce class-specific daily challenges, so that a teacher can align the daily challenge word with what is currently being taught in a particular classroom.</w:t>
      </w:r>
    </w:p>
    <w:p>
      <w:pPr>
        <w:pStyle w:val="ListParagraph"/>
        <w:numPr>
          <w:ilvl w:val="0"/>
          <w:numId w:val="4"/>
        </w:numPr>
        <w:spacing w:after="120"/>
        <w:jc w:val="both"/>
      </w:pPr>
      <w:r>
        <w:rPr>
          <w:rFonts w:ascii="Calibri" w:cs="Calibri" w:eastAsia="Calibri" w:hAnsi="Calibri"/>
          <w:sz w:val="22"/>
          <w:szCs w:val="22"/>
        </w:rPr>
        <w:t xml:space="preserve">Develop richer teacher analytics, giving teachers more detailed visibility into which words or tiers a class is struggling with, to better target classroom instruction.</w:t>
      </w:r>
    </w:p>
    <w:p>
      <w:pPr>
        <w:pStyle w:val="Heading1"/>
        <w:pageBreakBefore/>
        <w:spacing w:after="240" w:before="400"/>
      </w:pPr>
      <w:r>
        <w:t xml:space="preserve">REFERENCES</w:t>
      </w:r>
    </w:p>
    <w:p>
      <w:pPr>
        <w:spacing w:after="180" w:line="276"/>
        <w:ind w:left="400" w:hanging="400"/>
        <w:jc w:val="both"/>
      </w:pPr>
      <w:r>
        <w:rPr>
          <w:rFonts w:ascii="Calibri" w:cs="Calibri" w:eastAsia="Calibri" w:hAnsi="Calibri"/>
          <w:sz w:val="22"/>
          <w:szCs w:val="22"/>
        </w:rPr>
        <w:t xml:space="preserve">Atatsi, E. A., &amp; Amoakohene, B. (2019). An analysis of students' knowledge in spelling: A case of a Technical University in Ghana. Language, Discourse &amp; Society, 6(1), 239–257.</w:t>
      </w:r>
    </w:p>
    <w:p>
      <w:pPr>
        <w:spacing w:after="180" w:line="276"/>
        <w:ind w:left="400" w:hanging="400"/>
        <w:jc w:val="both"/>
      </w:pPr>
      <w:r>
        <w:rPr>
          <w:rFonts w:ascii="Calibri" w:cs="Calibri" w:eastAsia="Calibri" w:hAnsi="Calibri"/>
          <w:sz w:val="22"/>
          <w:szCs w:val="22"/>
        </w:rPr>
        <w:t xml:space="preserve">Deci, E. L., &amp; Ryan, R. M. (1985). Intrinsic motivation and self-determination in human behavior. Springer US.</w:t>
      </w:r>
    </w:p>
    <w:p>
      <w:pPr>
        <w:spacing w:after="180" w:line="276"/>
        <w:ind w:left="400" w:hanging="400"/>
        <w:jc w:val="both"/>
      </w:pPr>
      <w:r>
        <w:rPr>
          <w:rFonts w:ascii="Calibri" w:cs="Calibri" w:eastAsia="Calibri" w:hAnsi="Calibri"/>
          <w:sz w:val="22"/>
          <w:szCs w:val="22"/>
        </w:rPr>
        <w:t xml:space="preserve">Express — https://expressjs.com</w:t>
      </w:r>
    </w:p>
    <w:p>
      <w:pPr>
        <w:spacing w:after="180" w:line="276"/>
        <w:ind w:left="400" w:hanging="400"/>
        <w:jc w:val="both"/>
      </w:pPr>
      <w:r>
        <w:rPr>
          <w:rFonts w:ascii="Calibri" w:cs="Calibri" w:eastAsia="Calibri" w:hAnsi="Calibri"/>
          <w:sz w:val="22"/>
          <w:szCs w:val="22"/>
        </w:rPr>
        <w:t xml:space="preserve">Mohammed, M., Fatemah, A., &amp; Hassan, L. (2024). Effects of gamification on motivations of elementary school students: An action research field experiment. Simulation &amp; Gaming, 55(4). https://doi.org/10.1177/10468781241237389</w:t>
      </w:r>
    </w:p>
    <w:p>
      <w:pPr>
        <w:spacing w:after="180" w:line="276"/>
        <w:ind w:left="400" w:hanging="400"/>
        <w:jc w:val="both"/>
      </w:pPr>
      <w:r>
        <w:rPr>
          <w:rFonts w:ascii="Calibri" w:cs="Calibri" w:eastAsia="Calibri" w:hAnsi="Calibri"/>
          <w:sz w:val="22"/>
          <w:szCs w:val="22"/>
        </w:rPr>
        <w:t xml:space="preserve">Mohammed, P., &amp; Skerrit, P. (2022). The importance of culturally-situated design on children's interaction with speech-enabled features in an online spelling tutor. In HCI International 2022 – Late Breaking Papers (Lecture Notes in Computer Science). Springer. https://doi.org/10.1007/978-3-031-05434-1_7</w:t>
      </w:r>
    </w:p>
    <w:p>
      <w:pPr>
        <w:spacing w:after="180" w:line="276"/>
        <w:ind w:left="400" w:hanging="400"/>
        <w:jc w:val="both"/>
      </w:pPr>
      <w:r>
        <w:rPr>
          <w:rFonts w:ascii="Calibri" w:cs="Calibri" w:eastAsia="Calibri" w:hAnsi="Calibri"/>
          <w:sz w:val="22"/>
          <w:szCs w:val="22"/>
        </w:rPr>
        <w:t xml:space="preserve">OWASP Secure Headers Project — https://owasp.org/www-project-secure-headers</w:t>
      </w:r>
    </w:p>
    <w:p>
      <w:pPr>
        <w:spacing w:after="180" w:line="276"/>
        <w:ind w:left="400" w:hanging="400"/>
        <w:jc w:val="both"/>
      </w:pPr>
      <w:r>
        <w:rPr>
          <w:rFonts w:ascii="Calibri" w:cs="Calibri" w:eastAsia="Calibri" w:hAnsi="Calibri"/>
          <w:sz w:val="22"/>
          <w:szCs w:val="22"/>
        </w:rPr>
        <w:t xml:space="preserve">Prisma ORM — https://www.prisma.io</w:t>
      </w:r>
    </w:p>
    <w:p>
      <w:pPr>
        <w:spacing w:after="180" w:line="276"/>
        <w:ind w:left="400" w:hanging="400"/>
        <w:jc w:val="both"/>
      </w:pPr>
      <w:r>
        <w:rPr>
          <w:rFonts w:ascii="Calibri" w:cs="Calibri" w:eastAsia="Calibri" w:hAnsi="Calibri"/>
          <w:sz w:val="22"/>
          <w:szCs w:val="22"/>
        </w:rPr>
        <w:t xml:space="preserve">Raskind, M. H., &amp; Higgins, E. L. (1999). Speaking to read: The effects of speech recognition technology on the reading and spelling performance of children with learning disabilities. Annals of Dyslexia, 49, 251–281. https://doi.org/10.1007/s11881-999-0026-9</w:t>
      </w:r>
    </w:p>
    <w:p>
      <w:pPr>
        <w:spacing w:after="180" w:line="276"/>
        <w:ind w:left="400" w:hanging="400"/>
        <w:jc w:val="both"/>
      </w:pPr>
      <w:r>
        <w:rPr>
          <w:rFonts w:ascii="Calibri" w:cs="Calibri" w:eastAsia="Calibri" w:hAnsi="Calibri"/>
          <w:sz w:val="22"/>
          <w:szCs w:val="22"/>
        </w:rPr>
        <w:t xml:space="preserve">React — https://react.dev</w:t>
      </w:r>
    </w:p>
    <w:p>
      <w:pPr>
        <w:spacing w:after="180" w:line="276"/>
        <w:ind w:left="400" w:hanging="400"/>
        <w:jc w:val="both"/>
      </w:pPr>
      <w:r>
        <w:rPr>
          <w:rFonts w:ascii="Calibri" w:cs="Calibri" w:eastAsia="Calibri" w:hAnsi="Calibri"/>
          <w:sz w:val="22"/>
          <w:szCs w:val="22"/>
        </w:rPr>
        <w:t xml:space="preserve">Supabase — https://supabase.com</w:t>
      </w:r>
    </w:p>
    <w:p>
      <w:pPr>
        <w:spacing w:after="180" w:line="276"/>
        <w:ind w:left="400" w:hanging="400"/>
        <w:jc w:val="both"/>
      </w:pPr>
      <w:r>
        <w:rPr>
          <w:rFonts w:ascii="Calibri" w:cs="Calibri" w:eastAsia="Calibri" w:hAnsi="Calibri"/>
          <w:sz w:val="22"/>
          <w:szCs w:val="22"/>
        </w:rPr>
        <w:t xml:space="preserve">Tailwind CSS — https://tailwindcss.com</w:t>
      </w:r>
    </w:p>
    <w:p>
      <w:pPr>
        <w:spacing w:after="180" w:line="276"/>
        <w:ind w:left="400" w:hanging="400"/>
        <w:jc w:val="both"/>
      </w:pPr>
      <w:r>
        <w:rPr>
          <w:rFonts w:ascii="Calibri" w:cs="Calibri" w:eastAsia="Calibri" w:hAnsi="Calibri"/>
          <w:sz w:val="22"/>
          <w:szCs w:val="22"/>
        </w:rPr>
        <w:t xml:space="preserve">TypeScript — https://www.typescriptlang.org</w:t>
      </w:r>
    </w:p>
    <w:p>
      <w:pPr>
        <w:spacing w:after="180" w:line="276"/>
        <w:ind w:left="400" w:hanging="400"/>
        <w:jc w:val="both"/>
      </w:pPr>
      <w:r>
        <w:rPr>
          <w:rFonts w:ascii="Calibri" w:cs="Calibri" w:eastAsia="Calibri" w:hAnsi="Calibri"/>
          <w:sz w:val="22"/>
          <w:szCs w:val="22"/>
        </w:rPr>
        <w:t xml:space="preserve">Vite — https://vite.dev</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t xml:space="preserve">Page </w:t>
    </w: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Spelling Bee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40" w:before="400"/>
    </w:pPr>
    <w:rPr>
      <w:rFonts w:ascii="Calibri" w:cs="Calibri" w:eastAsia="Calibri" w:hAnsi="Calibri"/>
      <w:b/>
      <w:bCs/>
      <w:color w:val="1F3864"/>
      <w:sz w:val="32"/>
      <w:szCs w:val="32"/>
    </w:rPr>
  </w:style>
  <w:style w:type="paragraph" w:styleId="Heading2">
    <w:name w:val="Heading 2"/>
    <w:basedOn w:val="Normal"/>
    <w:next w:val="Normal"/>
    <w:qFormat/>
    <w:pPr>
      <w:spacing w:after="160" w:before="300"/>
    </w:pPr>
    <w:rPr>
      <w:rFonts w:ascii="Calibri" w:cs="Calibri" w:eastAsia="Calibri" w:hAnsi="Calibri"/>
      <w:b/>
      <w:bCs/>
      <w:color w:val="1F386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c0ef3e06ef37cf11c267ad7cdbde2ef3453788.png"/><Relationship Id="rId10" Type="http://schemas.openxmlformats.org/officeDocument/2006/relationships/image" Target="media/367b3b90c1421babaf3483d21f21e24439f5b5ff.png"/><Relationship Id="rId11" Type="http://schemas.openxmlformats.org/officeDocument/2006/relationships/image" Target="media/e0352aa5c34d71ec5d4d0b048791a470c03aca11.png"/><Relationship Id="rId12" Type="http://schemas.openxmlformats.org/officeDocument/2006/relationships/image" Target="media/cd2c0d2ba1677b8505a9c8eecd38a689647fb59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2026-09-02T07:45:11.005Z</dcterms:created>
  <dcterms:modified xsi:type="dcterms:W3CDTF">2026-09-02T07:45:11.017Z</dcterms:modified>
</cp:coreProperties>
</file>

<file path=docProps/custom.xml><?xml version="1.0" encoding="utf-8"?>
<Properties xmlns="http://schemas.openxmlformats.org/officeDocument/2006/custom-properties" xmlns:vt="http://schemas.openxmlformats.org/officeDocument/2006/docPropsVTypes"/>
</file>