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601F" w14:textId="77777777" w:rsidR="004F34E7" w:rsidRDefault="004F34E7" w:rsidP="00BE3AFA">
      <w:pPr>
        <w:pStyle w:val="Heading2"/>
        <w:numPr>
          <w:ilvl w:val="0"/>
          <w:numId w:val="7"/>
        </w:numPr>
        <w:rPr>
          <w:lang w:val="en-US"/>
        </w:rPr>
      </w:pPr>
      <w:r>
        <w:rPr>
          <w:lang w:val="en-US"/>
        </w:rPr>
        <w:t>Introduction</w:t>
      </w:r>
    </w:p>
    <w:p w14:paraId="046E775A" w14:textId="77777777" w:rsidR="009C6A46" w:rsidRDefault="009C6A46" w:rsidP="009C6A46">
      <w:pPr>
        <w:spacing w:line="360" w:lineRule="auto"/>
        <w:jc w:val="both"/>
        <w:rPr>
          <w:rFonts w:cstheme="minorHAnsi"/>
          <w:lang w:val="en-US"/>
        </w:rPr>
      </w:pPr>
    </w:p>
    <w:p w14:paraId="379ED47D" w14:textId="00B885D2"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 xml:space="preserve">(HEAT), which </w:t>
      </w:r>
      <w:r w:rsidR="00AA6CDB">
        <w:rPr>
          <w:rFonts w:cstheme="minorHAnsi"/>
          <w:lang w:val="en-US"/>
        </w:rPr>
        <w:t>has been widely used, primarily by</w:t>
      </w:r>
      <w:r w:rsidR="00086FC3" w:rsidRPr="009C6A46">
        <w:rPr>
          <w:rFonts w:cstheme="minorHAnsi"/>
          <w:lang w:val="en-US"/>
        </w:rPr>
        <w:t xml:space="preserve"> transport planners</w:t>
      </w:r>
      <w:r w:rsidR="00AA6CDB">
        <w:rPr>
          <w:rFonts w:cstheme="minorHAnsi"/>
          <w:lang w:val="en-US"/>
        </w:rPr>
        <w:t>,</w:t>
      </w:r>
      <w:r w:rsidR="00086FC3" w:rsidRPr="009C6A46">
        <w:rPr>
          <w:rFonts w:cstheme="minorHAnsi"/>
          <w:lang w:val="en-US"/>
        </w:rPr>
        <w:t xml:space="preserve"> to </w:t>
      </w:r>
      <w:r w:rsidR="00AA6CDB">
        <w:rPr>
          <w:rFonts w:cstheme="minorHAnsi"/>
          <w:lang w:val="en-US"/>
        </w:rPr>
        <w:t>estimate</w:t>
      </w:r>
      <w:r w:rsidR="00086FC3" w:rsidRPr="009C6A46">
        <w:rPr>
          <w:rFonts w:cstheme="minorHAnsi"/>
          <w:lang w:val="en-US"/>
        </w:rPr>
        <w:t xml:space="preserv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2632F641"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w:t>
      </w:r>
      <w:r w:rsidR="0072009B">
        <w:rPr>
          <w:rFonts w:cstheme="minorHAnsi"/>
          <w:lang w:val="en-US"/>
        </w:rPr>
        <w:t xml:space="preserve"> </w:t>
      </w:r>
      <w:r w:rsidR="009C6A46">
        <w:rPr>
          <w:rFonts w:cstheme="minorHAnsi"/>
          <w:lang w:val="en-US"/>
        </w:rPr>
        <w:t>to</w:t>
      </w:r>
      <w:r w:rsidR="009C6A46" w:rsidRPr="009C6A46">
        <w:rPr>
          <w:rFonts w:cstheme="minorHAnsi"/>
          <w:lang w:val="en-US"/>
        </w:rPr>
        <w:t xml:space="preserve"> estimate the distribution of physical activity in </w:t>
      </w:r>
      <w:r w:rsidR="0072009B">
        <w:rPr>
          <w:rFonts w:cstheme="minorHAnsi"/>
          <w:lang w:val="en-US"/>
        </w:rPr>
        <w:t>44</w:t>
      </w:r>
      <w:r w:rsidR="00AE11E9">
        <w:rPr>
          <w:rFonts w:cstheme="minorHAnsi"/>
          <w:lang w:val="en-US"/>
        </w:rPr>
        <w:t xml:space="preserve"> countries in the WHO European Region which for which the HEAT applies</w:t>
      </w:r>
      <w:r w:rsidR="009C6A46" w:rsidRPr="009C6A46">
        <w:rPr>
          <w:rFonts w:cstheme="minorHAnsi"/>
          <w:lang w:val="en-US"/>
        </w:rPr>
        <w:t xml:space="preserve">.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w:t>
      </w:r>
      <w:r w:rsidR="0072009B">
        <w:rPr>
          <w:rFonts w:cstheme="minorHAnsi"/>
          <w:lang w:val="en-US"/>
        </w:rPr>
        <w:t xml:space="preserve">, </w:t>
      </w:r>
      <w:r w:rsidR="009C6A46" w:rsidRPr="009C6A46">
        <w:rPr>
          <w:rFonts w:cstheme="minorHAnsi"/>
          <w:lang w:val="en-US"/>
        </w:rPr>
        <w:t>as done by the current HEAT model</w:t>
      </w:r>
      <w:r w:rsidR="0072009B">
        <w:rPr>
          <w:rFonts w:cstheme="minorHAnsi"/>
          <w:lang w:val="en-US"/>
        </w:rPr>
        <w:t>,</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w:t>
      </w:r>
      <w:r w:rsidR="00CC4000">
        <w:rPr>
          <w:rFonts w:cstheme="minorHAnsi"/>
          <w:lang w:val="en-US"/>
        </w:rPr>
        <w:t>,</w:t>
      </w:r>
      <w:r w:rsidR="009C6A46">
        <w:rPr>
          <w:rFonts w:cstheme="minorHAnsi"/>
          <w:lang w:val="en-US"/>
        </w:rPr>
        <w:t xml:space="preserve">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6AD53A55"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 xml:space="preserve">from </w:t>
      </w:r>
      <w:r w:rsidR="00CC4000">
        <w:rPr>
          <w:lang w:val="en-US"/>
        </w:rPr>
        <w:t>a systematic review</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w:t>
      </w:r>
      <w:r w:rsidR="00AE11E9">
        <w:rPr>
          <w:lang w:val="en-US"/>
        </w:rPr>
        <w:t xml:space="preserve"> from Kelly et al. (2014) as described in</w:t>
      </w:r>
      <w:r w:rsidR="009C6A46">
        <w:rPr>
          <w:lang w:val="en-US"/>
        </w:rPr>
        <w:t xml:space="preserve">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4B5E33">
        <w:rPr>
          <w:lang w:val="en-US"/>
        </w:rPr>
        <w:t xml:space="preserve"> as</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fldSimple w:instr=" SEQ Table \* ARABIC ">
        <w:r w:rsidR="00E84456">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935"/>
        <w:gridCol w:w="4206"/>
        <w:gridCol w:w="3875"/>
      </w:tblGrid>
      <w:tr w:rsidR="005B7791" w:rsidRPr="009E15CC" w14:paraId="0EE6F4C1" w14:textId="77777777" w:rsidTr="004B5E33">
        <w:tc>
          <w:tcPr>
            <w:tcW w:w="846" w:type="dxa"/>
          </w:tcPr>
          <w:p w14:paraId="461260CF" w14:textId="77777777" w:rsidR="005B7791" w:rsidRDefault="005B7791" w:rsidP="006C73C1">
            <w:pPr>
              <w:jc w:val="both"/>
              <w:rPr>
                <w:sz w:val="20"/>
                <w:lang w:val="en-US"/>
              </w:rPr>
            </w:pPr>
            <w:r>
              <w:rPr>
                <w:sz w:val="20"/>
                <w:lang w:val="en-US"/>
              </w:rPr>
              <w:t>Variable</w:t>
            </w:r>
          </w:p>
        </w:tc>
        <w:tc>
          <w:tcPr>
            <w:tcW w:w="4252" w:type="dxa"/>
          </w:tcPr>
          <w:p w14:paraId="4A18B200" w14:textId="77777777" w:rsidR="005B7791" w:rsidRDefault="005B7791" w:rsidP="006C73C1">
            <w:pPr>
              <w:jc w:val="both"/>
              <w:rPr>
                <w:sz w:val="20"/>
                <w:lang w:val="en-US"/>
              </w:rPr>
            </w:pPr>
            <w:r>
              <w:rPr>
                <w:sz w:val="20"/>
                <w:lang w:val="en-US"/>
              </w:rPr>
              <w:t>Description</w:t>
            </w:r>
          </w:p>
        </w:tc>
        <w:tc>
          <w:tcPr>
            <w:tcW w:w="3918" w:type="dxa"/>
          </w:tcPr>
          <w:p w14:paraId="30718ACF" w14:textId="77777777" w:rsidR="005B7791" w:rsidRDefault="005B7791" w:rsidP="006C73C1">
            <w:pPr>
              <w:jc w:val="both"/>
              <w:rPr>
                <w:sz w:val="20"/>
                <w:lang w:val="en-US"/>
              </w:rPr>
            </w:pPr>
            <w:r>
              <w:rPr>
                <w:sz w:val="20"/>
                <w:lang w:val="en-US"/>
              </w:rPr>
              <w:t>Source</w:t>
            </w:r>
          </w:p>
        </w:tc>
      </w:tr>
      <w:tr w:rsidR="004B5E33" w:rsidRPr="009E15CC" w14:paraId="138D355A" w14:textId="77777777" w:rsidTr="001557F4">
        <w:tc>
          <w:tcPr>
            <w:tcW w:w="9016" w:type="dxa"/>
            <w:gridSpan w:val="3"/>
          </w:tcPr>
          <w:p w14:paraId="4FDAAF8B" w14:textId="22C83C10" w:rsidR="004B5E33" w:rsidRDefault="004B5E33" w:rsidP="006C73C1">
            <w:pPr>
              <w:jc w:val="both"/>
              <w:rPr>
                <w:sz w:val="20"/>
                <w:lang w:val="en-US"/>
              </w:rPr>
            </w:pPr>
            <w:r>
              <w:rPr>
                <w:sz w:val="20"/>
                <w:lang w:val="en-US"/>
              </w:rPr>
              <w:t>From the HEAT methodology</w:t>
            </w:r>
          </w:p>
        </w:tc>
      </w:tr>
      <w:tr w:rsidR="004B5E33" w:rsidRPr="009E15CC" w14:paraId="2D29A4DF" w14:textId="77777777" w:rsidTr="004B5E33">
        <w:tc>
          <w:tcPr>
            <w:tcW w:w="846" w:type="dxa"/>
          </w:tcPr>
          <w:p w14:paraId="2B44669C" w14:textId="5E25BB83" w:rsidR="004B5E33" w:rsidRDefault="004B5E33" w:rsidP="004B5E33">
            <w:pPr>
              <w:jc w:val="both"/>
              <w:rPr>
                <w:sz w:val="20"/>
                <w:lang w:val="en-US"/>
              </w:rPr>
            </w:pPr>
            <w:r>
              <w:rPr>
                <w:sz w:val="20"/>
                <w:lang w:val="en-US"/>
              </w:rPr>
              <w:t>MR</w:t>
            </w:r>
          </w:p>
        </w:tc>
        <w:tc>
          <w:tcPr>
            <w:tcW w:w="4252" w:type="dxa"/>
          </w:tcPr>
          <w:p w14:paraId="7A2128E3" w14:textId="1EBD8078" w:rsidR="004B5E33" w:rsidRDefault="004B5E33" w:rsidP="004B5E33">
            <w:pPr>
              <w:jc w:val="both"/>
              <w:rPr>
                <w:sz w:val="20"/>
                <w:lang w:val="en-US"/>
              </w:rPr>
            </w:pPr>
            <w:r>
              <w:rPr>
                <w:sz w:val="20"/>
                <w:lang w:val="en-US"/>
              </w:rPr>
              <w:t>Country specific mortality rates (for ages 20-74)</w:t>
            </w:r>
          </w:p>
        </w:tc>
        <w:tc>
          <w:tcPr>
            <w:tcW w:w="3918" w:type="dxa"/>
          </w:tcPr>
          <w:p w14:paraId="652A91D6" w14:textId="14E6239C" w:rsidR="004B5E33" w:rsidRDefault="004B5E33" w:rsidP="004B5E33">
            <w:pPr>
              <w:jc w:val="both"/>
              <w:rPr>
                <w:sz w:val="20"/>
                <w:lang w:val="en-US"/>
              </w:rPr>
            </w:pPr>
            <w:r>
              <w:rPr>
                <w:sz w:val="20"/>
              </w:rPr>
              <w:t xml:space="preserve">European Mortality Database (2017) </w:t>
            </w:r>
          </w:p>
        </w:tc>
      </w:tr>
      <w:tr w:rsidR="004B5E33" w:rsidRPr="009E15CC" w14:paraId="4FD7CBDB" w14:textId="77777777" w:rsidTr="004B5E33">
        <w:tc>
          <w:tcPr>
            <w:tcW w:w="846" w:type="dxa"/>
          </w:tcPr>
          <w:p w14:paraId="31A6C898" w14:textId="71D952A9" w:rsidR="004B5E33" w:rsidRDefault="004B5E33" w:rsidP="004B5E33">
            <w:pPr>
              <w:jc w:val="both"/>
              <w:rPr>
                <w:sz w:val="20"/>
                <w:lang w:val="en-US"/>
              </w:rPr>
            </w:pPr>
            <w:proofErr w:type="spellStart"/>
            <w:r>
              <w:rPr>
                <w:sz w:val="20"/>
                <w:lang w:val="en-US"/>
              </w:rPr>
              <w:t>RR_lit</w:t>
            </w:r>
            <w:proofErr w:type="spellEnd"/>
          </w:p>
        </w:tc>
        <w:tc>
          <w:tcPr>
            <w:tcW w:w="4252" w:type="dxa"/>
          </w:tcPr>
          <w:p w14:paraId="666A30EE" w14:textId="39450266" w:rsidR="004B5E33" w:rsidRDefault="004B5E33" w:rsidP="004B5E33">
            <w:pPr>
              <w:jc w:val="both"/>
              <w:rPr>
                <w:sz w:val="20"/>
                <w:lang w:val="en-US"/>
              </w:rPr>
            </w:pPr>
            <w:r>
              <w:rPr>
                <w:sz w:val="20"/>
                <w:lang w:val="en-US"/>
              </w:rPr>
              <w:t>Relative risk in literature</w:t>
            </w:r>
          </w:p>
        </w:tc>
        <w:tc>
          <w:tcPr>
            <w:tcW w:w="3918" w:type="dxa"/>
          </w:tcPr>
          <w:p w14:paraId="12E3FFC4" w14:textId="7939E626"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08F860C8" w14:textId="77777777" w:rsidTr="004B5E33">
        <w:tc>
          <w:tcPr>
            <w:tcW w:w="846" w:type="dxa"/>
          </w:tcPr>
          <w:p w14:paraId="7211D89C" w14:textId="69B118B6" w:rsidR="004B5E33" w:rsidRDefault="004B5E33" w:rsidP="004B5E33">
            <w:pPr>
              <w:jc w:val="both"/>
              <w:rPr>
                <w:sz w:val="20"/>
                <w:lang w:val="en-US"/>
              </w:rPr>
            </w:pPr>
            <w:proofErr w:type="spellStart"/>
            <w:r>
              <w:rPr>
                <w:sz w:val="20"/>
                <w:lang w:val="en-US"/>
              </w:rPr>
              <w:t>mins_ref</w:t>
            </w:r>
            <w:proofErr w:type="spellEnd"/>
          </w:p>
        </w:tc>
        <w:tc>
          <w:tcPr>
            <w:tcW w:w="4252" w:type="dxa"/>
          </w:tcPr>
          <w:p w14:paraId="31AFC41F" w14:textId="4AABA0D1" w:rsidR="004B5E33" w:rsidRDefault="004B5E33" w:rsidP="004B5E33">
            <w:pPr>
              <w:jc w:val="both"/>
              <w:rPr>
                <w:sz w:val="20"/>
                <w:lang w:val="en-US"/>
              </w:rPr>
            </w:pPr>
            <w:r>
              <w:rPr>
                <w:sz w:val="20"/>
                <w:lang w:val="en-US"/>
              </w:rPr>
              <w:t>Reference physical activity duration</w:t>
            </w:r>
          </w:p>
        </w:tc>
        <w:tc>
          <w:tcPr>
            <w:tcW w:w="3918" w:type="dxa"/>
          </w:tcPr>
          <w:p w14:paraId="3F039F05" w14:textId="6CC57DC8" w:rsidR="004B5E33" w:rsidRDefault="004B5E33" w:rsidP="004B5E33">
            <w:pPr>
              <w:jc w:val="both"/>
              <w:rPr>
                <w:sz w:val="20"/>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79C2D142" w14:textId="77777777" w:rsidTr="004B5E33">
        <w:tc>
          <w:tcPr>
            <w:tcW w:w="846" w:type="dxa"/>
          </w:tcPr>
          <w:p w14:paraId="2774AB71" w14:textId="486146A6" w:rsidR="004B5E33" w:rsidRDefault="004B5E33" w:rsidP="004B5E33">
            <w:pPr>
              <w:jc w:val="both"/>
              <w:rPr>
                <w:sz w:val="20"/>
                <w:lang w:val="en-US"/>
              </w:rPr>
            </w:pPr>
            <w:proofErr w:type="spellStart"/>
            <w:r>
              <w:rPr>
                <w:sz w:val="20"/>
                <w:lang w:val="en-US"/>
              </w:rPr>
              <w:t>RR_min</w:t>
            </w:r>
            <w:proofErr w:type="spellEnd"/>
          </w:p>
        </w:tc>
        <w:tc>
          <w:tcPr>
            <w:tcW w:w="4252" w:type="dxa"/>
          </w:tcPr>
          <w:p w14:paraId="41E1C400" w14:textId="2E0E514D" w:rsidR="004B5E33" w:rsidRDefault="004B5E33" w:rsidP="004B5E33">
            <w:pPr>
              <w:jc w:val="both"/>
              <w:rPr>
                <w:sz w:val="20"/>
                <w:lang w:val="en-US"/>
              </w:rPr>
            </w:pPr>
            <w:r>
              <w:rPr>
                <w:sz w:val="20"/>
                <w:lang w:val="en-US"/>
              </w:rPr>
              <w:t>Minimum relative risk (max effect)</w:t>
            </w:r>
          </w:p>
        </w:tc>
        <w:tc>
          <w:tcPr>
            <w:tcW w:w="3918" w:type="dxa"/>
          </w:tcPr>
          <w:p w14:paraId="0D290573" w14:textId="0E9B19B5"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532EF6BE" w14:textId="77777777" w:rsidTr="004B5E33">
        <w:tc>
          <w:tcPr>
            <w:tcW w:w="846" w:type="dxa"/>
          </w:tcPr>
          <w:p w14:paraId="2B6F5897" w14:textId="79B063A0" w:rsidR="004B5E33" w:rsidRDefault="004B5E33" w:rsidP="004B5E33">
            <w:pPr>
              <w:jc w:val="both"/>
              <w:rPr>
                <w:sz w:val="20"/>
                <w:lang w:val="en-US"/>
              </w:rPr>
            </w:pPr>
            <w:r>
              <w:rPr>
                <w:sz w:val="20"/>
                <w:lang w:val="en-US"/>
              </w:rPr>
              <w:t>VSL</w:t>
            </w:r>
          </w:p>
        </w:tc>
        <w:tc>
          <w:tcPr>
            <w:tcW w:w="4252" w:type="dxa"/>
          </w:tcPr>
          <w:p w14:paraId="69A65B51" w14:textId="7EEAD9DF" w:rsidR="004B5E33" w:rsidRDefault="004B5E33" w:rsidP="004B5E33">
            <w:pPr>
              <w:jc w:val="both"/>
              <w:rPr>
                <w:sz w:val="20"/>
                <w:lang w:val="en-US"/>
              </w:rPr>
            </w:pPr>
            <w:r>
              <w:rPr>
                <w:sz w:val="20"/>
                <w:lang w:val="en-US"/>
              </w:rPr>
              <w:t>Value of a Statistical Life for each country</w:t>
            </w:r>
          </w:p>
        </w:tc>
        <w:tc>
          <w:tcPr>
            <w:tcW w:w="3918" w:type="dxa"/>
          </w:tcPr>
          <w:p w14:paraId="2E0A10B0" w14:textId="12B53DD2" w:rsidR="004B5E33" w:rsidRDefault="004B5E33" w:rsidP="004B5E33">
            <w:pPr>
              <w:jc w:val="both"/>
              <w:rPr>
                <w:sz w:val="20"/>
                <w:lang w:val="en-US"/>
              </w:rPr>
            </w:pPr>
            <w:r>
              <w:rPr>
                <w:sz w:val="20"/>
                <w:lang w:val="en-US"/>
              </w:rPr>
              <w:t>OECD (2012)</w:t>
            </w:r>
          </w:p>
        </w:tc>
      </w:tr>
      <w:tr w:rsidR="004B5E33" w:rsidRPr="009E15CC" w14:paraId="5C39B600" w14:textId="77777777" w:rsidTr="001557F4">
        <w:tc>
          <w:tcPr>
            <w:tcW w:w="9016" w:type="dxa"/>
            <w:gridSpan w:val="3"/>
          </w:tcPr>
          <w:p w14:paraId="6EB2CB9A" w14:textId="2E509FBD" w:rsidR="004B5E33" w:rsidRDefault="004B5E33" w:rsidP="004B5E33">
            <w:pPr>
              <w:jc w:val="both"/>
              <w:rPr>
                <w:sz w:val="20"/>
                <w:lang w:val="en-US"/>
              </w:rPr>
            </w:pPr>
            <w:r>
              <w:rPr>
                <w:sz w:val="20"/>
                <w:lang w:val="en-US"/>
              </w:rPr>
              <w:t>Other sources</w:t>
            </w:r>
          </w:p>
        </w:tc>
      </w:tr>
      <w:tr w:rsidR="004B5E33" w:rsidRPr="009E15CC" w14:paraId="2041A8FA" w14:textId="77777777" w:rsidTr="004B5E33">
        <w:tc>
          <w:tcPr>
            <w:tcW w:w="846" w:type="dxa"/>
          </w:tcPr>
          <w:p w14:paraId="24B47F9B" w14:textId="531E55DA" w:rsidR="004B5E33" w:rsidRDefault="004B5E33" w:rsidP="004B5E33">
            <w:pPr>
              <w:jc w:val="both"/>
              <w:rPr>
                <w:sz w:val="20"/>
                <w:lang w:val="en-US"/>
              </w:rPr>
            </w:pPr>
            <w:proofErr w:type="spellStart"/>
            <w:r>
              <w:rPr>
                <w:sz w:val="20"/>
                <w:lang w:val="en-US"/>
              </w:rPr>
              <w:t>piap</w:t>
            </w:r>
            <w:proofErr w:type="spellEnd"/>
          </w:p>
        </w:tc>
        <w:tc>
          <w:tcPr>
            <w:tcW w:w="4252" w:type="dxa"/>
          </w:tcPr>
          <w:p w14:paraId="3B901821" w14:textId="07029745" w:rsidR="004B5E33" w:rsidRDefault="004B5E33" w:rsidP="004B5E33">
            <w:pPr>
              <w:jc w:val="both"/>
              <w:rPr>
                <w:sz w:val="20"/>
                <w:lang w:val="en-US"/>
              </w:rPr>
            </w:pPr>
            <w:r>
              <w:rPr>
                <w:sz w:val="20"/>
                <w:lang w:val="en-US"/>
              </w:rPr>
              <w:t>% of population inactive</w:t>
            </w:r>
          </w:p>
        </w:tc>
        <w:tc>
          <w:tcPr>
            <w:tcW w:w="3918" w:type="dxa"/>
          </w:tcPr>
          <w:p w14:paraId="21FA7405" w14:textId="0971DB5B" w:rsidR="004B5E33" w:rsidRDefault="004B5E33" w:rsidP="004B5E33">
            <w:pPr>
              <w:jc w:val="both"/>
              <w:rPr>
                <w:sz w:val="20"/>
                <w:lang w:val="en-US"/>
              </w:rPr>
            </w:pPr>
            <w:proofErr w:type="spellStart"/>
            <w:r>
              <w:rPr>
                <w:sz w:val="20"/>
                <w:lang w:val="en-US"/>
              </w:rPr>
              <w:t>Guthold</w:t>
            </w:r>
            <w:proofErr w:type="spellEnd"/>
            <w:r>
              <w:rPr>
                <w:sz w:val="20"/>
                <w:lang w:val="en-US"/>
              </w:rPr>
              <w:t xml:space="preserve"> et al. (2018) Appendix 5</w:t>
            </w:r>
          </w:p>
        </w:tc>
      </w:tr>
      <w:tr w:rsidR="004B5E33" w:rsidRPr="009E15CC" w14:paraId="5B115C7B" w14:textId="77777777" w:rsidTr="004B5E33">
        <w:tc>
          <w:tcPr>
            <w:tcW w:w="846" w:type="dxa"/>
          </w:tcPr>
          <w:p w14:paraId="5C0A217D" w14:textId="1468E768" w:rsidR="004B5E33" w:rsidRDefault="004B5E33" w:rsidP="004B5E33">
            <w:pPr>
              <w:jc w:val="both"/>
              <w:rPr>
                <w:sz w:val="20"/>
                <w:lang w:val="en-US"/>
              </w:rPr>
            </w:pPr>
            <w:proofErr w:type="spellStart"/>
            <w:r>
              <w:rPr>
                <w:sz w:val="20"/>
                <w:lang w:val="en-US"/>
              </w:rPr>
              <w:t>mets</w:t>
            </w:r>
            <w:proofErr w:type="spellEnd"/>
          </w:p>
        </w:tc>
        <w:tc>
          <w:tcPr>
            <w:tcW w:w="4252" w:type="dxa"/>
          </w:tcPr>
          <w:p w14:paraId="0BB38E95" w14:textId="3B0624E2" w:rsidR="004B5E33" w:rsidRDefault="004B5E33" w:rsidP="004B5E33">
            <w:pPr>
              <w:jc w:val="both"/>
              <w:rPr>
                <w:sz w:val="20"/>
                <w:lang w:val="en-US"/>
              </w:rPr>
            </w:pPr>
            <w:r>
              <w:rPr>
                <w:sz w:val="20"/>
                <w:lang w:val="en-US"/>
              </w:rPr>
              <w:t>Distribution of met mins in English population</w:t>
            </w:r>
          </w:p>
        </w:tc>
        <w:tc>
          <w:tcPr>
            <w:tcW w:w="3918" w:type="dxa"/>
          </w:tcPr>
          <w:p w14:paraId="02719943" w14:textId="2B15E4CC" w:rsidR="004B5E33" w:rsidRDefault="004B5E33" w:rsidP="004B5E33">
            <w:pPr>
              <w:jc w:val="both"/>
              <w:rPr>
                <w:sz w:val="20"/>
                <w:lang w:val="en-US"/>
              </w:rPr>
            </w:pPr>
            <w:r>
              <w:rPr>
                <w:sz w:val="20"/>
                <w:lang w:val="en-US"/>
              </w:rPr>
              <w:t>HSE 2015 (NHS Digital, 2016)</w:t>
            </w:r>
          </w:p>
        </w:tc>
      </w:tr>
      <w:tr w:rsidR="004B5E33" w:rsidRPr="009E15CC" w14:paraId="463F78D5" w14:textId="77777777" w:rsidTr="004B5E33">
        <w:tc>
          <w:tcPr>
            <w:tcW w:w="846" w:type="dxa"/>
          </w:tcPr>
          <w:p w14:paraId="1BCEA7F0" w14:textId="0C0B5BA6" w:rsidR="004B5E33" w:rsidRDefault="004B5E33" w:rsidP="004B5E33">
            <w:pPr>
              <w:jc w:val="both"/>
              <w:rPr>
                <w:sz w:val="20"/>
                <w:lang w:val="en-US"/>
              </w:rPr>
            </w:pPr>
            <w:r>
              <w:rPr>
                <w:sz w:val="20"/>
                <w:lang w:val="en-US"/>
              </w:rPr>
              <w:t>t</w:t>
            </w:r>
          </w:p>
        </w:tc>
        <w:tc>
          <w:tcPr>
            <w:tcW w:w="4252" w:type="dxa"/>
          </w:tcPr>
          <w:p w14:paraId="620D6EB0" w14:textId="533D32EE" w:rsidR="004B5E33" w:rsidRDefault="004B5E33" w:rsidP="004B5E33">
            <w:pPr>
              <w:jc w:val="both"/>
              <w:rPr>
                <w:sz w:val="20"/>
                <w:lang w:val="en-US"/>
              </w:rPr>
            </w:pPr>
            <w:r>
              <w:rPr>
                <w:sz w:val="20"/>
                <w:lang w:val="en-US"/>
              </w:rPr>
              <w:t>Log-linear dose response function power (t)</w:t>
            </w:r>
          </w:p>
        </w:tc>
        <w:tc>
          <w:tcPr>
            <w:tcW w:w="3918" w:type="dxa"/>
          </w:tcPr>
          <w:p w14:paraId="385C413C" w14:textId="4CD9D21F" w:rsidR="004B5E33" w:rsidRDefault="004B5E33" w:rsidP="004B5E33">
            <w:pPr>
              <w:jc w:val="both"/>
              <w:rPr>
                <w:sz w:val="20"/>
              </w:rPr>
            </w:pPr>
            <w:r>
              <w:rPr>
                <w:sz w:val="20"/>
              </w:rPr>
              <w:t>Woodcock et al., (2010)</w:t>
            </w:r>
          </w:p>
        </w:tc>
      </w:tr>
    </w:tbl>
    <w:p w14:paraId="20B6F3BC" w14:textId="77777777" w:rsidR="00F049B2" w:rsidRDefault="00F049B2" w:rsidP="006C73C1">
      <w:pPr>
        <w:jc w:val="both"/>
        <w:rPr>
          <w:u w:val="single"/>
          <w:lang w:val="en-US"/>
        </w:rPr>
      </w:pPr>
    </w:p>
    <w:p w14:paraId="4760F6BE" w14:textId="328393A4" w:rsidR="006C73C1" w:rsidRPr="00AE11E9" w:rsidRDefault="00F049B2" w:rsidP="00AE11E9">
      <w:pPr>
        <w:pStyle w:val="Heading2"/>
        <w:numPr>
          <w:ilvl w:val="1"/>
          <w:numId w:val="7"/>
        </w:numPr>
        <w:jc w:val="both"/>
        <w:rPr>
          <w:lang w:val="en-US"/>
        </w:rPr>
      </w:pPr>
      <w:r w:rsidRPr="00F049B2">
        <w:rPr>
          <w:lang w:val="en-US"/>
        </w:rPr>
        <w:t>Analysis</w:t>
      </w:r>
    </w:p>
    <w:p w14:paraId="7B40D203" w14:textId="77777777" w:rsidR="00AE11E9" w:rsidRDefault="00AE11E9" w:rsidP="006C73C1">
      <w:pPr>
        <w:spacing w:line="360" w:lineRule="auto"/>
        <w:jc w:val="both"/>
        <w:rPr>
          <w:lang w:val="en-US"/>
        </w:rPr>
      </w:pPr>
    </w:p>
    <w:p w14:paraId="1C84996D" w14:textId="7CC3B698"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 xml:space="preserve">non-linear dose-response </w:t>
      </w:r>
      <w:r w:rsidR="00AC4811" w:rsidRPr="00F02595">
        <w:rPr>
          <w:iCs/>
          <w:lang w:val="en-US"/>
        </w:rPr>
        <w:t>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2BFE7209"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w:t>
      </w:r>
      <w:r w:rsidR="00F02595">
        <w:rPr>
          <w:lang w:val="en-US"/>
        </w:rPr>
        <w:t>population aged 20-74</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5697A9ED"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w:t>
      </w:r>
      <w:r w:rsidR="004B5E33">
        <w:rPr>
          <w:lang w:val="en-US"/>
        </w:rPr>
        <w:t>the scenarios.</w:t>
      </w:r>
      <w:r w:rsidR="005B7791">
        <w:rPr>
          <w:lang w:val="en-US"/>
        </w:rPr>
        <w:t xml:space="preserve"> </w:t>
      </w:r>
      <w:r w:rsidR="004B5E33">
        <w:rPr>
          <w:lang w:val="en-US"/>
        </w:rPr>
        <w:t>For</w:t>
      </w:r>
      <w:r w:rsidR="005B7791">
        <w:rPr>
          <w:lang w:val="en-US"/>
        </w:rPr>
        <w:t xml:space="preserve">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w:t>
      </w:r>
      <w:r w:rsidR="004B5E33">
        <w:rPr>
          <w:lang w:val="en-US"/>
        </w:rPr>
        <w:t xml:space="preserve"> and monetize these benefits using the VSL.</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37FB3382"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requires the user to input pre-intervention and post-intervention physical activity levels</w:t>
      </w:r>
      <w:r w:rsidR="004B5E33">
        <w:rPr>
          <w:lang w:val="en-US"/>
        </w:rPr>
        <w:t xml:space="preserve">, in terms of </w:t>
      </w:r>
      <w:r w:rsidR="0006459C">
        <w:rPr>
          <w:lang w:val="en-US"/>
        </w:rPr>
        <w:t>minutes of walking and cycling</w:t>
      </w:r>
      <w:r w:rsidR="004B5E33">
        <w:rPr>
          <w:lang w:val="en-US"/>
        </w:rPr>
        <w:t xml:space="preserve"> (see </w:t>
      </w:r>
      <w:proofErr w:type="spellStart"/>
      <w:r w:rsidR="004B5E33">
        <w:rPr>
          <w:lang w:val="en-US"/>
        </w:rPr>
        <w:t>Kahlmeier</w:t>
      </w:r>
      <w:proofErr w:type="spellEnd"/>
      <w:r w:rsidR="004B5E33">
        <w:rPr>
          <w:lang w:val="en-US"/>
        </w:rPr>
        <w:t xml:space="preserve"> et al. 2017)</w:t>
      </w:r>
      <w:r w:rsidR="0006459C">
        <w:rPr>
          <w:lang w:val="en-US"/>
        </w:rPr>
        <w:t xml:space="preserve">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24C82296" w:rsidR="00FD7105" w:rsidRDefault="00711C4A" w:rsidP="006C73C1">
      <w:pPr>
        <w:spacing w:line="360" w:lineRule="auto"/>
        <w:jc w:val="both"/>
        <w:rPr>
          <w:lang w:val="en-US"/>
        </w:rPr>
      </w:pPr>
      <w:r>
        <w:rPr>
          <w:lang w:val="en-US"/>
        </w:rPr>
        <w:t xml:space="preserve">For a walking intervention the relative risk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7E93051C"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w:t>
      </w:r>
      <w:r w:rsidR="00DB00F2">
        <w:rPr>
          <w:lang w:val="en-US"/>
        </w:rPr>
        <w:t xml:space="preserve">absolute </w:t>
      </w:r>
      <w:r w:rsidR="001F4A9F">
        <w:rPr>
          <w:lang w:val="en-US"/>
        </w:rPr>
        <w:t xml:space="preserve">difference in relative risk between intervention and </w:t>
      </w:r>
      <w:r w:rsidR="00F02595">
        <w:rPr>
          <w:lang w:val="en-US"/>
        </w:rPr>
        <w:t xml:space="preserve">comparator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r>
          <m:rPr>
            <m:sty m:val="bi"/>
          </m:rPr>
          <w:rPr>
            <w:rFonts w:ascii="Cambria Math" w:hAnsi="Cambria Math"/>
            <w:lang w:val="en-US"/>
          </w:rPr>
          <m:t xml:space="preserve">) </m:t>
        </m:r>
      </m:oMath>
      <w:r w:rsidR="001F4A9F">
        <w:rPr>
          <w:lang w:val="en-US"/>
        </w:rPr>
        <w:t xml:space="preserve">by the </w:t>
      </w:r>
      <w:r w:rsidR="00DB00F2">
        <w:rPr>
          <w:lang w:val="en-US"/>
        </w:rPr>
        <w:t xml:space="preserve">country specific </w:t>
      </w:r>
      <w:r w:rsidR="001F4A9F">
        <w:rPr>
          <w:lang w:val="en-US"/>
        </w:rPr>
        <w:t>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lang w:val="en-US"/>
        </w:rPr>
        <w:t xml:space="preserve"> and the population affected, </w:t>
      </w:r>
      <w:r w:rsidR="00DB00F2" w:rsidRPr="00DB00F2">
        <w:rPr>
          <w:b/>
          <w:bCs/>
          <w:lang w:val="en-US"/>
        </w:rPr>
        <w:t>pop</w:t>
      </w:r>
      <w:r w:rsidR="00DB00F2">
        <w:rPr>
          <w:lang w:val="en-US"/>
        </w:rPr>
        <w:t xml:space="preserve">. </w:t>
      </w:r>
      <w:r>
        <w:rPr>
          <w:lang w:val="en-US"/>
        </w:rPr>
        <w:t>This is then monetized in</w:t>
      </w:r>
      <w:r w:rsidR="007F5421">
        <w:rPr>
          <w:lang w:val="en-US"/>
        </w:rPr>
        <w:t xml:space="preserve"> terms of monetary benefit (MB) in</w:t>
      </w:r>
      <w:r>
        <w:rPr>
          <w:lang w:val="en-US"/>
        </w:rPr>
        <w:t xml:space="preserve">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19136B07"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rFonts w:eastAsiaTheme="minorEastAsia"/>
          <w:b/>
          <w:lang w:val="en-US"/>
        </w:rPr>
        <w:t xml:space="preserve"> </w:t>
      </w:r>
      <w:r w:rsidR="00DB00F2" w:rsidRPr="00C6025E">
        <w:rPr>
          <w:b/>
          <w:lang w:val="en-US"/>
        </w:rPr>
        <w:t xml:space="preserve">× </w:t>
      </w:r>
      <m:oMath>
        <m:sSub>
          <m:sSubPr>
            <m:ctrlPr>
              <w:rPr>
                <w:rFonts w:ascii="Cambria Math" w:hAnsi="Cambria Math"/>
                <w:b/>
                <w:i/>
                <w:lang w:val="en-US"/>
              </w:rPr>
            </m:ctrlPr>
          </m:sSubPr>
          <m:e>
            <m:r>
              <m:rPr>
                <m:sty m:val="b"/>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 xml:space="preserve"> </m:t>
                </m:r>
                <m:r>
                  <m:rPr>
                    <m:sty m:val="bi"/>
                  </m:rPr>
                  <w:rPr>
                    <w:rFonts w:ascii="Cambria Math" w:hAnsi="Cambria Math"/>
                    <w:lang w:val="en-US"/>
                  </w:rPr>
                  <m:t>pop</m:t>
                </m:r>
              </m:e>
              <m:sub/>
            </m:sSub>
          </m:e>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141678EB"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w:t>
      </w:r>
      <w:r w:rsidR="00F02595">
        <w:rPr>
          <w:lang w:val="en-US"/>
        </w:rPr>
        <w:t xml:space="preserve">baseline </w:t>
      </w:r>
      <w:r w:rsidR="0006459C" w:rsidRPr="00C84F00">
        <w:rPr>
          <w:lang w:val="en-US"/>
        </w:rPr>
        <w:t>distribution of physical activity.</w:t>
      </w:r>
      <w:r w:rsidR="00FD050C">
        <w:rPr>
          <w:lang w:val="en-US"/>
        </w:rPr>
        <w:t xml:space="preserve"> We use weekly metabolic equivalent of task minutes (MET-minutes) from moderate and vigorous physical activity to summarize an individual’s physical activity level in one number (Ainsworth et al., 2000). </w:t>
      </w:r>
      <w:r w:rsidR="0006459C" w:rsidRPr="00C84F00">
        <w:rPr>
          <w:lang w:val="en-US"/>
        </w:rPr>
        <w:t xml:space="preserve"> A distribution</w:t>
      </w:r>
      <w:r w:rsidR="00FD050C">
        <w:rPr>
          <w:lang w:val="en-US"/>
        </w:rPr>
        <w:t xml:space="preserve"> of weekly MET-mins</w:t>
      </w:r>
      <w:r w:rsidR="0006459C" w:rsidRPr="00C84F00">
        <w:rPr>
          <w:lang w:val="en-US"/>
        </w:rPr>
        <w:t xml:space="preserve"> for each country was derived using a method from Hafner et al. (2019)</w:t>
      </w:r>
      <w:r w:rsidR="00F02595">
        <w:rPr>
          <w:lang w:val="en-US"/>
        </w:rPr>
        <w:t>. These are</w:t>
      </w:r>
      <w:r w:rsidR="0006459C" w:rsidRPr="00C84F00">
        <w:rPr>
          <w:lang w:val="en-US"/>
        </w:rPr>
        <w:t xml:space="preserve"> available in the supplementary material.</w:t>
      </w:r>
    </w:p>
    <w:p w14:paraId="7CC9F0A6" w14:textId="6367B533" w:rsidR="0006459C" w:rsidRPr="00C84F00" w:rsidRDefault="00127FC8" w:rsidP="006C73C1">
      <w:pPr>
        <w:spacing w:line="360" w:lineRule="auto"/>
        <w:jc w:val="both"/>
        <w:rPr>
          <w:lang w:val="en-US"/>
        </w:rPr>
      </w:pPr>
      <w:r>
        <w:rPr>
          <w:lang w:val="en-US"/>
        </w:rPr>
        <w:t xml:space="preserve">The </w:t>
      </w:r>
      <w:r w:rsidR="007E6597">
        <w:rPr>
          <w:lang w:val="en-US"/>
        </w:rPr>
        <w:t>population</w:t>
      </w:r>
      <w:r>
        <w:rPr>
          <w:lang w:val="en-US"/>
        </w:rPr>
        <w:t xml:space="preserve"> relative risk </w:t>
      </w:r>
      <w:r w:rsidR="007E6597">
        <w:rPr>
          <w:lang w:val="en-US"/>
        </w:rPr>
        <w:t xml:space="preserve">is calculated as </w:t>
      </w:r>
      <w:r>
        <w:rPr>
          <w:lang w:val="en-US"/>
        </w:rPr>
        <w:t>the simple arithmetic mean of relative risk</w:t>
      </w:r>
      <w:r w:rsidR="007E6597">
        <w:rPr>
          <w:lang w:val="en-US"/>
        </w:rPr>
        <w:t xml:space="preserve"> for each percentile of the physical activity distribution</w:t>
      </w:r>
      <w:r>
        <w:rPr>
          <w:lang w:val="en-US"/>
        </w:rPr>
        <w:t xml:space="preserve">, as shown in equation 4 below. </w:t>
      </w:r>
      <w:r w:rsidR="00C84F00">
        <w:rPr>
          <w:lang w:val="en-US"/>
        </w:rPr>
        <w:t xml:space="preserve">For each percentile </w:t>
      </w:r>
      <w:r>
        <w:rPr>
          <w:lang w:val="en-US"/>
        </w:rPr>
        <w:t>r</w:t>
      </w:r>
      <w:r w:rsidRPr="00C84F00">
        <w:rPr>
          <w:lang w:val="en-US"/>
        </w:rPr>
        <w:t xml:space="preserve">elative risk is </w:t>
      </w:r>
      <w:r>
        <w:rPr>
          <w:lang w:val="en-US"/>
        </w:rPr>
        <w:t>estimated using a</w:t>
      </w:r>
      <w:r w:rsidRPr="00C84F00">
        <w:rPr>
          <w:lang w:val="en-US"/>
        </w:rPr>
        <w:t xml:space="preserve"> log-linear relationship</w:t>
      </w:r>
      <w:r w:rsidR="00A50E7A">
        <w:rPr>
          <w:lang w:val="en-US"/>
        </w:rPr>
        <w:t>,</w:t>
      </w:r>
      <w:r w:rsidR="00C84F00">
        <w:rPr>
          <w:lang w:val="en-US"/>
        </w:rPr>
        <w:t xml:space="preserve">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w:t>
      </w:r>
      <w:r w:rsidR="00CA53D6">
        <w:rPr>
          <w:lang w:val="en-US"/>
        </w:rPr>
        <w:t>percentile MET-mins</w:t>
      </w:r>
      <w:r w:rsidR="00DB00F2">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p</m:t>
            </m:r>
          </m:sub>
        </m:sSub>
      </m:oMath>
      <w:r w:rsidR="00DB00F2">
        <w:rPr>
          <w:lang w:val="en-US"/>
        </w:rPr>
        <w:t xml:space="preserve">), </w:t>
      </w:r>
      <w:r>
        <w:rPr>
          <w:lang w:val="en-US"/>
        </w:rPr>
        <w:t>reference</w:t>
      </w:r>
      <w:r w:rsidR="00DB00F2">
        <w:rPr>
          <w:lang w:val="en-US"/>
        </w:rPr>
        <w:t xml:space="preserve"> MET-mins</w:t>
      </w:r>
      <w:r w:rsidR="00C84F00">
        <w:rPr>
          <w:lang w:val="en-US"/>
        </w:rPr>
        <w:t xml:space="preserve"> </w:t>
      </w:r>
      <w:r w:rsidR="00DB00F2">
        <w:rPr>
          <w:lang w:val="en-US"/>
        </w:rPr>
        <w:t>(</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DB00F2">
        <w:rPr>
          <w:rFonts w:eastAsiaTheme="minorEastAsia"/>
          <w:b/>
          <w:lang w:val="en-US"/>
        </w:rPr>
        <w:t>)</w:t>
      </w:r>
      <w:r w:rsidR="00CA53D6">
        <w:rPr>
          <w:lang w:val="en-US"/>
        </w:rPr>
        <w:t xml:space="preserve"> </w:t>
      </w:r>
      <w:r w:rsidR="00DB00F2">
        <w:rPr>
          <w:lang w:val="en-US"/>
        </w:rPr>
        <w:t xml:space="preserve">which is simply </w:t>
      </w:r>
      <w:r w:rsidR="008A5423" w:rsidRPr="008A5423">
        <w:rPr>
          <w:b/>
          <w:bCs/>
          <w:lang w:val="en-US"/>
        </w:rPr>
        <w:t>4</w:t>
      </w:r>
      <w:r w:rsidR="008A5423">
        <w:rPr>
          <w:lang w:val="en-US"/>
        </w:rPr>
        <w:t xml:space="preserve"> * </w:t>
      </w:r>
      <m:oMath>
        <m:sSub>
          <m:sSubPr>
            <m:ctrlPr>
              <w:rPr>
                <w:rFonts w:ascii="Cambria Math" w:hAnsi="Cambria Math"/>
                <w:b/>
                <w:i/>
                <w:lang w:val="en-US"/>
              </w:rPr>
            </m:ctrlPr>
          </m:sSubPr>
          <m:e>
            <m:r>
              <m:rPr>
                <m:sty m:val="b"/>
              </m:rPr>
              <w:rPr>
                <w:rFonts w:ascii="Cambria Math" w:hAnsi="Cambria Math"/>
                <w:lang w:val="en-US"/>
              </w:rPr>
              <m:t>mins</m:t>
            </m:r>
          </m:e>
          <m:sub>
            <m:r>
              <m:rPr>
                <m:sty m:val="bi"/>
              </m:rPr>
              <w:rPr>
                <w:rFonts w:ascii="Cambria Math" w:hAnsi="Cambria Math"/>
                <w:lang w:val="en-US"/>
              </w:rPr>
              <m:t>ref</m:t>
            </m:r>
          </m:sub>
        </m:sSub>
      </m:oMath>
      <w:r w:rsidR="008A5423">
        <w:rPr>
          <w:lang w:val="en-US"/>
        </w:rPr>
        <w:t xml:space="preserve"> (from Kelly et al., 2014), </w:t>
      </w:r>
      <w:r w:rsidR="00CA53D6">
        <w:rPr>
          <w:lang w:val="en-US"/>
        </w:rPr>
        <w:t>and</w:t>
      </w:r>
      <w:r w:rsidR="008A5423">
        <w:rPr>
          <w:lang w:val="en-US"/>
        </w:rPr>
        <w:t xml:space="preserve"> a</w:t>
      </w:r>
      <w:r w:rsidR="00CA53D6">
        <w:rPr>
          <w:lang w:val="en-US"/>
        </w:rPr>
        <w:t xml:space="preserve"> </w:t>
      </w:r>
      <w:r w:rsidRPr="00C84F00">
        <w:rPr>
          <w:lang w:val="en-US"/>
        </w:rPr>
        <w:t>power transformation</w:t>
      </w:r>
      <w:r>
        <w:rPr>
          <w:lang w:val="en-US"/>
        </w:rPr>
        <w:t xml:space="preserve"> </w:t>
      </w:r>
      <m:oMath>
        <m:r>
          <m:rPr>
            <m:sty m:val="b"/>
          </m:rPr>
          <w:rPr>
            <w:rFonts w:ascii="Cambria Math" w:hAnsi="Cambria Math"/>
            <w:lang w:val="en-US"/>
          </w:rPr>
          <m:t>t</m:t>
        </m:r>
      </m:oMath>
      <w:r w:rsidR="00DB00F2">
        <w:rPr>
          <w:lang w:val="en-US"/>
        </w:rPr>
        <w:t xml:space="preserve">. The power transformation </w:t>
      </w:r>
      <w:r w:rsidR="00CA53D6">
        <w:rPr>
          <w:lang w:val="en-US"/>
        </w:rPr>
        <w:t>is 0</w:t>
      </w:r>
      <w:r w:rsidRPr="00C84F00">
        <w:rPr>
          <w:lang w:val="en-US"/>
        </w:rPr>
        <w:t>.375</w:t>
      </w:r>
      <w:r w:rsidR="00CA53D6">
        <w:rPr>
          <w:lang w:val="en-US"/>
        </w:rPr>
        <w:t xml:space="preserve"> </w:t>
      </w:r>
      <w:r w:rsidR="00CA53D6">
        <w:rPr>
          <w:lang w:val="en-US"/>
        </w:rPr>
        <w:lastRenderedPageBreak/>
        <w:t>in the main analysis,</w:t>
      </w:r>
      <w:r w:rsidRPr="00C84F00">
        <w:rPr>
          <w:lang w:val="en-US"/>
        </w:rPr>
        <w:t xml:space="preserve"> </w:t>
      </w:r>
      <w:r>
        <w:rPr>
          <w:lang w:val="en-US"/>
        </w:rPr>
        <w:t xml:space="preserve">as in </w:t>
      </w:r>
      <w:r w:rsidRPr="00C84F00">
        <w:rPr>
          <w:lang w:val="en-US"/>
        </w:rPr>
        <w:t>Woodcock et al., 2010</w:t>
      </w:r>
      <w:r w:rsidR="00CA53D6">
        <w:rPr>
          <w:lang w:val="en-US"/>
        </w:rPr>
        <w:t xml:space="preserve">. </w:t>
      </w:r>
      <w:r>
        <w:rPr>
          <w:lang w:val="en-US"/>
        </w:rPr>
        <w:t>Th</w:t>
      </w:r>
      <w:r w:rsidR="00CA53D6">
        <w:rPr>
          <w:lang w:val="en-US"/>
        </w:rPr>
        <w:t xml:space="preserve">e value of </w:t>
      </w:r>
      <m:oMath>
        <m:r>
          <m:rPr>
            <m:sty m:val="b"/>
          </m:rPr>
          <w:rPr>
            <w:rFonts w:ascii="Cambria Math" w:hAnsi="Cambria Math"/>
            <w:lang w:val="en-US"/>
          </w:rPr>
          <m:t>t</m:t>
        </m:r>
      </m:oMath>
      <w:r>
        <w:rPr>
          <w:lang w:val="en-US"/>
        </w:rPr>
        <w:t xml:space="preserve"> is </w:t>
      </w:r>
      <w:r w:rsidRPr="00C84F00">
        <w:rPr>
          <w:lang w:val="en-US"/>
        </w:rPr>
        <w:t>varied from 0.25 to 0.75 in sensitivity analysis</w:t>
      </w:r>
      <w:r w:rsidR="00CA53D6">
        <w:rPr>
          <w:lang w:val="en-US"/>
        </w:rPr>
        <w:t xml:space="preserve"> (as </w:t>
      </w:r>
      <w:r w:rsidR="008A5423">
        <w:rPr>
          <w:lang w:val="en-US"/>
        </w:rPr>
        <w:t>recommended in</w:t>
      </w:r>
      <w:r w:rsidR="00CA53D6">
        <w:rPr>
          <w:lang w:val="en-US"/>
        </w:rPr>
        <w:t xml:space="preserve"> Woodcock et al., 2010)</w:t>
      </w:r>
      <w:r w:rsidRPr="00C84F00">
        <w:rPr>
          <w:lang w:val="en-US"/>
        </w:rPr>
        <w:t>.</w:t>
      </w:r>
    </w:p>
    <w:p w14:paraId="797C1B68" w14:textId="69380984"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t>EQ4:</w:t>
      </w:r>
      <w:r w:rsidR="00DB00F2">
        <w:rPr>
          <w:rFonts w:eastAsiaTheme="minorEastAsia" w:cstheme="minorHAnsi"/>
          <w:sz w:val="24"/>
          <w:szCs w:val="24"/>
          <w:lang w:val="en-US"/>
        </w:rPr>
        <w:tab/>
      </w:r>
      <w:r w:rsidRPr="00C84F00">
        <w:rPr>
          <w:rFonts w:eastAsiaTheme="minorEastAsia" w:cstheme="minorHAnsi"/>
          <w:sz w:val="24"/>
          <w:szCs w:val="24"/>
          <w:lang w:val="en-US"/>
        </w:rPr>
        <w:t xml:space="preserve"> </w:t>
      </w:r>
      <m:oMath>
        <m:r>
          <w:rPr>
            <w:rFonts w:ascii="Cambria Math" w:hAnsi="Cambria Math" w:cstheme="minorHAnsi"/>
            <w:sz w:val="32"/>
            <w:szCs w:val="32"/>
            <w:lang w:val="en-US"/>
          </w:rPr>
          <m:t>RR =</m:t>
        </m:r>
        <m:f>
          <m:fPr>
            <m:ctrlPr>
              <w:rPr>
                <w:rFonts w:ascii="Cambria Math" w:hAnsi="Cambria Math" w:cstheme="minorHAnsi"/>
                <w:i/>
                <w:sz w:val="32"/>
                <w:szCs w:val="32"/>
                <w:lang w:val="en-US"/>
              </w:rPr>
            </m:ctrlPr>
          </m:fPr>
          <m:num>
            <m:nary>
              <m:naryPr>
                <m:chr m:val="∑"/>
                <m:limLoc m:val="undOvr"/>
                <m:ctrlPr>
                  <w:rPr>
                    <w:rFonts w:ascii="Cambria Math" w:hAnsi="Cambria Math" w:cstheme="minorHAnsi"/>
                    <w:i/>
                    <w:sz w:val="32"/>
                    <w:szCs w:val="32"/>
                    <w:lang w:val="en-US"/>
                  </w:rPr>
                </m:ctrlPr>
              </m:naryPr>
              <m:sub>
                <m:r>
                  <w:rPr>
                    <w:rFonts w:ascii="Cambria Math" w:hAnsi="Cambria Math" w:cstheme="minorHAnsi"/>
                    <w:sz w:val="32"/>
                    <w:szCs w:val="32"/>
                    <w:lang w:val="en-US"/>
                  </w:rPr>
                  <m:t>p=1</m:t>
                </m:r>
              </m:sub>
              <m:sup>
                <m:r>
                  <w:rPr>
                    <w:rFonts w:ascii="Cambria Math" w:hAnsi="Cambria Math" w:cstheme="minorHAnsi"/>
                    <w:sz w:val="32"/>
                    <w:szCs w:val="32"/>
                    <w:lang w:val="en-US"/>
                  </w:rPr>
                  <m:t>N=100</m:t>
                </m:r>
              </m:sup>
              <m:e>
                <m:sSup>
                  <m:sSupPr>
                    <m:ctrlPr>
                      <w:rPr>
                        <w:rFonts w:ascii="Cambria Math" w:hAnsi="Cambria Math" w:cstheme="minorHAnsi"/>
                        <w:i/>
                        <w:sz w:val="32"/>
                        <w:szCs w:val="32"/>
                        <w:lang w:val="en-US"/>
                      </w:rPr>
                    </m:ctrlPr>
                  </m:sSupPr>
                  <m:e>
                    <m:sSub>
                      <m:sSubPr>
                        <m:ctrlPr>
                          <w:rPr>
                            <w:rFonts w:ascii="Cambria Math" w:hAnsi="Cambria Math" w:cstheme="minorHAnsi"/>
                            <w:i/>
                            <w:sz w:val="32"/>
                            <w:szCs w:val="32"/>
                            <w:lang w:val="en-US"/>
                          </w:rPr>
                        </m:ctrlPr>
                      </m:sSubPr>
                      <m:e>
                        <m:r>
                          <w:rPr>
                            <w:rFonts w:ascii="Cambria Math" w:hAnsi="Cambria Math" w:cstheme="minorHAnsi"/>
                            <w:sz w:val="32"/>
                            <w:szCs w:val="32"/>
                            <w:lang w:val="en-US"/>
                          </w:rPr>
                          <m:t>RR</m:t>
                        </m:r>
                      </m:e>
                      <m:sub>
                        <m:r>
                          <w:rPr>
                            <w:rFonts w:ascii="Cambria Math" w:hAnsi="Cambria Math" w:cstheme="minorHAnsi"/>
                            <w:sz w:val="32"/>
                            <w:szCs w:val="32"/>
                            <w:lang w:val="en-US"/>
                          </w:rPr>
                          <m:t>lit</m:t>
                        </m:r>
                      </m:sub>
                    </m:sSub>
                  </m:e>
                  <m:sup>
                    <m:sSup>
                      <m:sSupPr>
                        <m:ctrlPr>
                          <w:rPr>
                            <w:rFonts w:ascii="Cambria Math" w:hAnsi="Cambria Math" w:cstheme="minorHAnsi"/>
                            <w:i/>
                            <w:sz w:val="32"/>
                            <w:szCs w:val="32"/>
                            <w:lang w:val="en-US"/>
                          </w:rPr>
                        </m:ctrlPr>
                      </m:sSupPr>
                      <m:e>
                        <m:r>
                          <w:rPr>
                            <w:rFonts w:ascii="Cambria Math" w:hAnsi="Cambria Math" w:cstheme="minorHAnsi"/>
                            <w:sz w:val="32"/>
                            <w:szCs w:val="32"/>
                            <w:lang w:val="en-US"/>
                          </w:rPr>
                          <m:t>(</m:t>
                        </m:r>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p</m:t>
                                </m:r>
                              </m:sub>
                            </m:sSub>
                          </m:num>
                          <m:den>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ref</m:t>
                                </m:r>
                              </m:sub>
                            </m:sSub>
                            <m:r>
                              <w:rPr>
                                <w:rFonts w:ascii="Cambria Math" w:hAnsi="Cambria Math" w:cstheme="minorHAnsi"/>
                                <w:sz w:val="32"/>
                                <w:szCs w:val="32"/>
                                <w:lang w:val="en-US"/>
                              </w:rPr>
                              <m:t xml:space="preserve"> </m:t>
                            </m:r>
                          </m:den>
                        </m:f>
                        <m:r>
                          <w:rPr>
                            <w:rFonts w:ascii="Cambria Math" w:hAnsi="Cambria Math" w:cstheme="minorHAnsi"/>
                            <w:sz w:val="32"/>
                            <w:szCs w:val="32"/>
                            <w:lang w:val="en-US"/>
                          </w:rPr>
                          <m:t>)</m:t>
                        </m:r>
                      </m:e>
                      <m:sup>
                        <m:r>
                          <w:rPr>
                            <w:rFonts w:ascii="Cambria Math" w:hAnsi="Cambria Math" w:cstheme="minorHAnsi"/>
                            <w:sz w:val="32"/>
                            <w:szCs w:val="32"/>
                            <w:lang w:val="en-US"/>
                          </w:rPr>
                          <m:t>t</m:t>
                        </m:r>
                      </m:sup>
                    </m:sSup>
                  </m:sup>
                </m:sSup>
              </m:e>
            </m:nary>
          </m:num>
          <m:den>
            <m:r>
              <w:rPr>
                <w:rFonts w:ascii="Cambria Math" w:hAnsi="Cambria Math" w:cstheme="minorHAnsi"/>
                <w:sz w:val="32"/>
                <w:szCs w:val="32"/>
                <w:lang w:val="en-US"/>
              </w:rPr>
              <m:t>100</m:t>
            </m:r>
          </m:den>
        </m:f>
      </m:oMath>
    </w:p>
    <w:p w14:paraId="6236FADF" w14:textId="2742C8CF" w:rsidR="001F622A" w:rsidRDefault="001F622A" w:rsidP="006C73C1">
      <w:pPr>
        <w:spacing w:line="360" w:lineRule="auto"/>
        <w:jc w:val="both"/>
        <w:rPr>
          <w:noProof/>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47038A">
        <w:rPr>
          <w:noProof/>
        </w:rPr>
        <w:t>supplementary material.</w:t>
      </w:r>
      <w:r>
        <w:rPr>
          <w:noProof/>
        </w:rPr>
        <w:t xml:space="preserve"> </w:t>
      </w:r>
    </w:p>
    <w:p w14:paraId="481E7CEC" w14:textId="622BFA9F" w:rsidR="008A5423" w:rsidRDefault="008A5423" w:rsidP="006C73C1">
      <w:pPr>
        <w:spacing w:line="360" w:lineRule="auto"/>
        <w:jc w:val="both"/>
        <w:rPr>
          <w:rFonts w:eastAsiaTheme="minorEastAsia"/>
          <w:lang w:val="en-US"/>
        </w:rPr>
      </w:pPr>
      <w:r>
        <w:rPr>
          <w:noProof/>
        </w:rPr>
        <w:t xml:space="preserve">Once relative risk is calculated, the deaths averted and monetary benefit are calculated using equation 2 and 3.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7EACFBB8"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degree line of equality and monetary benefit</w:t>
      </w:r>
      <w:r w:rsidR="008A5423">
        <w:rPr>
          <w:rFonts w:eastAsiaTheme="minorEastAsia"/>
          <w:lang w:val="en-US"/>
        </w:rPr>
        <w:t xml:space="preserve"> estimates</w:t>
      </w:r>
      <w:r w:rsidR="00194512">
        <w:rPr>
          <w:rFonts w:eastAsiaTheme="minorEastAsia"/>
          <w:lang w:val="en-US"/>
        </w:rPr>
        <w:t xml:space="preserve">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37ABD481" w14:textId="39C5E812" w:rsidR="00317DF8"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w:t>
      </w:r>
      <w:r w:rsidR="00C71420">
        <w:rPr>
          <w:lang w:val="en-US"/>
        </w:rPr>
        <w:t xml:space="preserve"> which can be found on an online repository</w:t>
      </w:r>
      <w:r w:rsidR="00486459">
        <w:rPr>
          <w:lang w:val="en-US"/>
        </w:rPr>
        <w:t xml:space="preserve"> (</w:t>
      </w:r>
      <w:r w:rsidR="0047038A">
        <w:t>insert link (Anonymised)</w:t>
      </w:r>
      <w:r w:rsidR="00486459">
        <w:t>)</w:t>
      </w:r>
      <w:r w:rsidR="00812B8E">
        <w:rPr>
          <w:lang w:val="en-US"/>
        </w:rPr>
        <w:t xml:space="preserve">. </w:t>
      </w:r>
    </w:p>
    <w:p w14:paraId="2D05E9BA" w14:textId="6DC32999" w:rsidR="003F698F" w:rsidRDefault="003F698F" w:rsidP="006C73C1">
      <w:pPr>
        <w:spacing w:line="360" w:lineRule="auto"/>
        <w:jc w:val="both"/>
        <w:rPr>
          <w:lang w:val="en-US"/>
        </w:rPr>
      </w:pPr>
      <w:r>
        <w:rPr>
          <w:lang w:val="en-US"/>
        </w:rPr>
        <w:t>A comparison of the</w:t>
      </w:r>
      <w:r w:rsidR="00812B8E">
        <w:rPr>
          <w:lang w:val="en-US"/>
        </w:rPr>
        <w:t xml:space="preserve"> number of </w:t>
      </w:r>
      <w:r w:rsidR="008A5423">
        <w:rPr>
          <w:lang w:val="en-US"/>
        </w:rPr>
        <w:t xml:space="preserve">premature </w:t>
      </w:r>
      <w:r w:rsidR="00812B8E">
        <w:rPr>
          <w:lang w:val="en-US"/>
        </w:rPr>
        <w:t xml:space="preserve">annual deaths averted per 100,000 people </w:t>
      </w:r>
      <w:r>
        <w:rPr>
          <w:lang w:val="en-US"/>
        </w:rPr>
        <w:t xml:space="preserve">using the two different methods </w:t>
      </w:r>
      <w:r w:rsidR="00812B8E">
        <w:rPr>
          <w:lang w:val="en-US"/>
        </w:rPr>
        <w:t xml:space="preserve">in each </w:t>
      </w:r>
      <w:r>
        <w:rPr>
          <w:lang w:val="en-US"/>
        </w:rPr>
        <w:t xml:space="preserve">of the three </w:t>
      </w:r>
      <w:r w:rsidR="00812B8E">
        <w:rPr>
          <w:lang w:val="en-US"/>
        </w:rPr>
        <w:t>scenario</w:t>
      </w:r>
      <w:r>
        <w:rPr>
          <w:lang w:val="en-US"/>
        </w:rPr>
        <w:t>s</w:t>
      </w:r>
      <w:r w:rsidR="00812B8E">
        <w:rPr>
          <w:lang w:val="en-US"/>
        </w:rPr>
        <w:t xml:space="preserve"> for</w:t>
      </w:r>
      <w:r>
        <w:rPr>
          <w:lang w:val="en-US"/>
        </w:rPr>
        <w:t xml:space="preserve"> the</w:t>
      </w:r>
      <w:r w:rsidR="00812B8E">
        <w:rPr>
          <w:lang w:val="en-US"/>
        </w:rPr>
        <w:t xml:space="preserve"> 44 </w:t>
      </w:r>
      <w:r w:rsidR="008A5423">
        <w:rPr>
          <w:lang w:val="en-US"/>
        </w:rPr>
        <w:t xml:space="preserve">WHO European Region </w:t>
      </w:r>
      <w:r w:rsidR="00812B8E">
        <w:rPr>
          <w:lang w:val="en-US"/>
        </w:rPr>
        <w:t>countries</w:t>
      </w:r>
      <w:r>
        <w:rPr>
          <w:lang w:val="en-US"/>
        </w:rPr>
        <w:t xml:space="preserve"> </w:t>
      </w:r>
      <w:r w:rsidR="00812B8E">
        <w:rPr>
          <w:lang w:val="en-US"/>
        </w:rPr>
        <w:t xml:space="preserve">is </w:t>
      </w:r>
      <w:r>
        <w:rPr>
          <w:lang w:val="en-US"/>
        </w:rPr>
        <w:t xml:space="preserve">shown in </w:t>
      </w:r>
      <w:r w:rsidR="00432F99">
        <w:rPr>
          <w:lang w:val="en-US"/>
        </w:rPr>
        <w:t>F</w:t>
      </w:r>
      <w:r>
        <w:rPr>
          <w:lang w:val="en-US"/>
        </w:rPr>
        <w:t xml:space="preserve">igure 1 below. The </w:t>
      </w:r>
      <w:r w:rsidR="00432F99">
        <w:rPr>
          <w:lang w:val="en-US"/>
        </w:rPr>
        <w:t xml:space="preserve">estimates derived using the </w:t>
      </w:r>
      <w:r>
        <w:rPr>
          <w:lang w:val="en-US"/>
        </w:rPr>
        <w:t xml:space="preserve">linear dose response (current) method </w:t>
      </w:r>
      <w:r w:rsidR="00432F99">
        <w:rPr>
          <w:lang w:val="en-US"/>
        </w:rPr>
        <w:t>are</w:t>
      </w:r>
      <w:r>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25764B52" w14:textId="65E3DCAE" w:rsidR="008A5423"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ountries</w:t>
      </w:r>
      <w:r w:rsidR="001F622A">
        <w:rPr>
          <w:lang w:val="en-US"/>
        </w:rPr>
        <w:t xml:space="preserve"> </w:t>
      </w:r>
      <w:r w:rsidR="00317DF8">
        <w:rPr>
          <w:lang w:val="en-US"/>
        </w:rPr>
        <w:t>with particularly inactive</w:t>
      </w:r>
      <w:r w:rsidR="008A5423">
        <w:rPr>
          <w:lang w:val="en-US"/>
        </w:rPr>
        <w:t xml:space="preserve"> (active)</w:t>
      </w:r>
      <w:r w:rsidR="00317DF8">
        <w:rPr>
          <w:lang w:val="en-US"/>
        </w:rPr>
        <w:t xml:space="preserve"> populations tend to have</w:t>
      </w:r>
      <w:r w:rsidR="001F622A">
        <w:rPr>
          <w:lang w:val="en-US"/>
        </w:rPr>
        <w:t xml:space="preserve"> higher</w:t>
      </w:r>
      <w:r w:rsidR="008A5423">
        <w:rPr>
          <w:lang w:val="en-US"/>
        </w:rPr>
        <w:t xml:space="preserve"> (lower)</w:t>
      </w:r>
      <w:r w:rsidR="001F622A">
        <w:rPr>
          <w:lang w:val="en-US"/>
        </w:rPr>
        <w:t xml:space="preserve"> </w:t>
      </w:r>
      <w:r w:rsidR="0073038D">
        <w:rPr>
          <w:lang w:val="en-US"/>
        </w:rPr>
        <w:t xml:space="preserve">estimated deaths averted using the non-linear </w:t>
      </w:r>
      <w:r w:rsidR="00502E4F">
        <w:rPr>
          <w:lang w:val="en-US"/>
        </w:rPr>
        <w:t>function</w:t>
      </w:r>
      <w:r w:rsidR="0073038D">
        <w:rPr>
          <w:lang w:val="en-US"/>
        </w:rPr>
        <w:t xml:space="preserve"> compared to the linear </w:t>
      </w:r>
      <w:r w:rsidR="00502E4F">
        <w:rPr>
          <w:lang w:val="en-US"/>
        </w:rPr>
        <w:t>function</w:t>
      </w:r>
      <w:r w:rsidR="001F622A">
        <w:rPr>
          <w:lang w:val="en-US"/>
        </w:rPr>
        <w:t xml:space="preserve">.  </w:t>
      </w:r>
    </w:p>
    <w:p w14:paraId="02B4E0B8" w14:textId="372F1C6B" w:rsidR="00502E4F" w:rsidRDefault="00DA6CBF" w:rsidP="006C73C1">
      <w:pPr>
        <w:spacing w:line="360" w:lineRule="auto"/>
        <w:jc w:val="both"/>
        <w:rPr>
          <w:lang w:val="en-US"/>
        </w:rPr>
      </w:pPr>
      <w:r>
        <w:rPr>
          <w:lang w:val="en-US"/>
        </w:rPr>
        <w:t>In the second scenario</w:t>
      </w:r>
      <w:r w:rsidR="00502E4F">
        <w:rPr>
          <w:lang w:val="en-US"/>
        </w:rPr>
        <w:t xml:space="preserve"> </w:t>
      </w:r>
      <w:r>
        <w:rPr>
          <w:lang w:val="en-US"/>
        </w:rPr>
        <w:t>all individuals with activity levels below WHO physical activity guidelines</w:t>
      </w:r>
      <w:r w:rsidR="00432F99">
        <w:rPr>
          <w:lang w:val="en-US"/>
        </w:rPr>
        <w:t xml:space="preserve"> of 600 MET-mins per week</w:t>
      </w:r>
      <w:r>
        <w:rPr>
          <w:lang w:val="en-US"/>
        </w:rPr>
        <w:t xml:space="preserve"> increase activity to meet guidelines.</w:t>
      </w:r>
      <w:r w:rsidR="00D56D1D">
        <w:rPr>
          <w:lang w:val="en-US"/>
        </w:rPr>
        <w:t xml:space="preserve"> </w:t>
      </w:r>
      <w:r w:rsidR="00502E4F">
        <w:rPr>
          <w:lang w:val="en-US"/>
        </w:rPr>
        <w:t>Here, the non-linear function results in higher deaths averted than the linear function in most countries, except for some with especially low prevalence of insufficient physical activity (e.g</w:t>
      </w:r>
      <w:r w:rsidR="00D56D1D">
        <w:rPr>
          <w:lang w:val="en-US"/>
        </w:rPr>
        <w:t xml:space="preserve">. Moldova and Belarus). </w:t>
      </w:r>
    </w:p>
    <w:p w14:paraId="56E45903" w14:textId="6FC69B9A" w:rsidR="00DA6CBF" w:rsidRDefault="00DA6CBF" w:rsidP="006C73C1">
      <w:pPr>
        <w:spacing w:line="360" w:lineRule="auto"/>
        <w:jc w:val="both"/>
        <w:rPr>
          <w:lang w:val="en-US"/>
        </w:rPr>
      </w:pPr>
      <w:r>
        <w:rPr>
          <w:lang w:val="en-US"/>
        </w:rPr>
        <w:t xml:space="preserve">In the third scenario, </w:t>
      </w:r>
      <w:r w:rsidR="00502E4F">
        <w:rPr>
          <w:lang w:val="en-US"/>
        </w:rPr>
        <w:t xml:space="preserve">in which </w:t>
      </w:r>
      <w:r>
        <w:rPr>
          <w:lang w:val="en-US"/>
        </w:rPr>
        <w:t>all individuals increase their physical activity level by 10%,</w:t>
      </w:r>
      <w:r w:rsidR="00B90081">
        <w:rPr>
          <w:lang w:val="en-US"/>
        </w:rPr>
        <w:t xml:space="preserve"> </w:t>
      </w:r>
      <w:r w:rsidR="00502E4F">
        <w:rPr>
          <w:lang w:val="en-US"/>
        </w:rPr>
        <w:t>estimates derived using a linear function</w:t>
      </w:r>
      <w:r w:rsidR="00B90081">
        <w:rPr>
          <w:lang w:val="en-US"/>
        </w:rPr>
        <w:t xml:space="preserve"> ar</w:t>
      </w:r>
      <w:r w:rsidR="00432F99">
        <w:rPr>
          <w:lang w:val="en-US"/>
        </w:rPr>
        <w:t>e</w:t>
      </w:r>
      <w:r w:rsidR="00D56D1D">
        <w:rPr>
          <w:lang w:val="en-US"/>
        </w:rPr>
        <w:t xml:space="preserve"> </w:t>
      </w:r>
      <w:r w:rsidR="00502E4F">
        <w:rPr>
          <w:lang w:val="en-US"/>
        </w:rPr>
        <w:t xml:space="preserve">much </w:t>
      </w:r>
      <w:r w:rsidR="00B90081">
        <w:rPr>
          <w:lang w:val="en-US"/>
        </w:rPr>
        <w:t xml:space="preserve">lower than using a linear </w:t>
      </w:r>
      <w:r w:rsidR="00502E4F">
        <w:rPr>
          <w:lang w:val="en-US"/>
        </w:rPr>
        <w:t>function</w:t>
      </w:r>
      <w:r w:rsidR="00B90081">
        <w:rPr>
          <w:lang w:val="en-US"/>
        </w:rPr>
        <w:t xml:space="preserve"> for all countries, regardless of </w:t>
      </w:r>
      <w:r w:rsidR="00502E4F">
        <w:rPr>
          <w:lang w:val="en-US"/>
        </w:rPr>
        <w:t>the prevalence of insufficient physical activity</w:t>
      </w:r>
      <w:r w:rsidR="00B90081">
        <w:rPr>
          <w:lang w:val="en-US"/>
        </w:rPr>
        <w:t>.</w:t>
      </w:r>
      <w:r w:rsidR="00C71420">
        <w:rPr>
          <w:lang w:val="en-US"/>
        </w:rPr>
        <w:t xml:space="preserve"> This is because those with low physical activity levels, who would benefit the most from increased physical activity</w:t>
      </w:r>
      <w:r w:rsidR="00502E4F">
        <w:rPr>
          <w:lang w:val="en-US"/>
        </w:rPr>
        <w:t xml:space="preserve"> according to a non-linear model</w:t>
      </w:r>
      <w:r w:rsidR="00C71420">
        <w:rPr>
          <w:lang w:val="en-US"/>
        </w:rPr>
        <w:t>, have low increases in MET-mins</w:t>
      </w:r>
      <w:r w:rsidR="00502E4F">
        <w:rPr>
          <w:lang w:val="en-US"/>
        </w:rPr>
        <w:t xml:space="preserve">, </w:t>
      </w:r>
      <w:r w:rsidR="00C71420">
        <w:rPr>
          <w:lang w:val="en-US"/>
        </w:rPr>
        <w:t>while those who are highly active have high absolute increases in MET-mins but benefit little in terms of premature mortality reduction</w:t>
      </w:r>
      <w:r w:rsidR="00502E4F">
        <w:rPr>
          <w:lang w:val="en-US"/>
        </w:rPr>
        <w:t xml:space="preserve"> when using a non-linear model.</w:t>
      </w:r>
    </w:p>
    <w:p w14:paraId="05F4F2F8" w14:textId="1EF0052A" w:rsidR="00943282" w:rsidRPr="00AB0AF1" w:rsidRDefault="00106A88" w:rsidP="00943282">
      <w:pPr>
        <w:pStyle w:val="Caption"/>
        <w:keepNext/>
        <w:jc w:val="center"/>
      </w:pPr>
      <w:r>
        <w:lastRenderedPageBreak/>
        <w:t xml:space="preserve">Figure </w:t>
      </w:r>
      <w:fldSimple w:instr=" SEQ Figure \* ARABIC ">
        <w:r w:rsidR="00E84456">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r w:rsidR="00DB00F2" w:rsidRPr="00DB00F2">
        <w:rPr>
          <w:noProof/>
        </w:rPr>
        <w:t xml:space="preserve"> </w:t>
      </w:r>
      <w:r w:rsidR="00DB00F2">
        <w:rPr>
          <w:noProof/>
        </w:rPr>
        <w:drawing>
          <wp:inline distT="0" distB="0" distL="0" distR="0" wp14:anchorId="02D70A3C" wp14:editId="0EB05D17">
            <wp:extent cx="5019675" cy="866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8667750"/>
                    </a:xfrm>
                    <a:prstGeom prst="rect">
                      <a:avLst/>
                    </a:prstGeom>
                  </pic:spPr>
                </pic:pic>
              </a:graphicData>
            </a:graphic>
          </wp:inline>
        </w:drawing>
      </w:r>
    </w:p>
    <w:p w14:paraId="41798D0D" w14:textId="78B11851" w:rsidR="00456E5D" w:rsidRPr="006C73C1" w:rsidRDefault="00AB0AF1" w:rsidP="006C73C1">
      <w:pPr>
        <w:spacing w:line="360" w:lineRule="auto"/>
        <w:jc w:val="both"/>
        <w:rPr>
          <w:rFonts w:cstheme="minorHAnsi"/>
        </w:rPr>
      </w:pPr>
      <w:r w:rsidRPr="006C73C1">
        <w:rPr>
          <w:rFonts w:cstheme="minorHAnsi"/>
        </w:rPr>
        <w:lastRenderedPageBreak/>
        <w:t xml:space="preserve">In order to </w:t>
      </w:r>
      <w:r w:rsidR="00432F99" w:rsidRPr="006C73C1">
        <w:rPr>
          <w:rFonts w:cstheme="minorHAnsi"/>
        </w:rPr>
        <w:t>allow for</w:t>
      </w:r>
      <w:r w:rsidRPr="006C73C1">
        <w:rPr>
          <w:rFonts w:cstheme="minorHAnsi"/>
        </w:rPr>
        <w:t xml:space="preserve"> trade-offs in decision making between health and non-health outcomes</w:t>
      </w:r>
      <w:r w:rsidR="00F97B32">
        <w:rPr>
          <w:rFonts w:cstheme="minorHAnsi"/>
        </w:rPr>
        <w:t>,</w:t>
      </w:r>
      <w:r w:rsidRPr="006C73C1">
        <w:rPr>
          <w:rFonts w:cstheme="minorHAnsi"/>
        </w:rPr>
        <w:t xml:space="preserve"> the HEAT tool monetises </w:t>
      </w:r>
      <w:r w:rsidR="00432F99" w:rsidRPr="006C73C1">
        <w:rPr>
          <w:rFonts w:cstheme="minorHAnsi"/>
        </w:rPr>
        <w:t>the deaths averted</w:t>
      </w:r>
      <w:r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monetary benefit associated with Scenario 1</w:t>
      </w:r>
      <w:r w:rsidR="00D56D1D" w:rsidRPr="006C73C1">
        <w:rPr>
          <w:rFonts w:cstheme="minorHAnsi"/>
        </w:rPr>
        <w:t xml:space="preserve">, </w:t>
      </w:r>
      <w:r w:rsidR="00502E4F">
        <w:rPr>
          <w:rFonts w:cstheme="minorHAnsi"/>
        </w:rPr>
        <w:t xml:space="preserve">using a log-linear dose response function with </w:t>
      </w:r>
      <w:r w:rsidR="00D56D1D" w:rsidRPr="006C73C1">
        <w:rPr>
          <w:rFonts w:cstheme="minorHAnsi"/>
        </w:rPr>
        <w:t>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 the UK</w:t>
      </w:r>
      <w:r w:rsidR="003B57A8" w:rsidRPr="006C73C1">
        <w:rPr>
          <w:rFonts w:cstheme="minorHAnsi"/>
        </w:rPr>
        <w:t xml:space="preserve"> </w:t>
      </w:r>
      <w:r w:rsidR="000B79AD" w:rsidRPr="006C73C1">
        <w:rPr>
          <w:rFonts w:cstheme="minorHAnsi"/>
        </w:rPr>
        <w:t xml:space="preserve"> and Luxemburg) and significantly lower in countries with lower VSL and/or lower physical inactivity prevalence</w:t>
      </w:r>
      <w:r w:rsidR="003B57A8" w:rsidRPr="006C73C1">
        <w:rPr>
          <w:rFonts w:cstheme="minorHAnsi"/>
        </w:rPr>
        <w:t xml:space="preserve"> such as Ukraine and Moldova</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r>
        <w:rPr>
          <w:lang w:val="en-US"/>
        </w:rPr>
        <w:t>Discussion</w:t>
      </w:r>
    </w:p>
    <w:p w14:paraId="2B43E653" w14:textId="77777777" w:rsidR="006C73C1" w:rsidRDefault="006C73C1" w:rsidP="006C73C1">
      <w:pPr>
        <w:spacing w:line="360" w:lineRule="auto"/>
        <w:rPr>
          <w:lang w:val="en-US"/>
        </w:rPr>
      </w:pPr>
    </w:p>
    <w:p w14:paraId="4F8C8587" w14:textId="46796D3D" w:rsidR="00C8168B" w:rsidRPr="006C73C1" w:rsidRDefault="000B79AD" w:rsidP="006C73C1">
      <w:pPr>
        <w:spacing w:line="360" w:lineRule="auto"/>
        <w:jc w:val="both"/>
        <w:rPr>
          <w:lang w:val="en-US"/>
        </w:rPr>
      </w:pPr>
      <w:r w:rsidRPr="006C73C1">
        <w:rPr>
          <w:lang w:val="en-US"/>
        </w:rPr>
        <w:t xml:space="preserve">Increasing population physical activity </w:t>
      </w:r>
      <w:r w:rsidR="00AA6CDB">
        <w:rPr>
          <w:lang w:val="en-US"/>
        </w:rPr>
        <w:t>is</w:t>
      </w:r>
      <w:r w:rsidR="00D67464">
        <w:rPr>
          <w:lang w:val="en-US"/>
        </w:rPr>
        <w:t xml:space="preserve"> likely </w:t>
      </w:r>
      <w:r w:rsidR="00AA6CDB">
        <w:rPr>
          <w:lang w:val="en-US"/>
        </w:rPr>
        <w:t xml:space="preserve">to </w:t>
      </w:r>
      <w:r w:rsidR="0017775C" w:rsidRPr="006C73C1">
        <w:rPr>
          <w:lang w:val="en-US"/>
        </w:rPr>
        <w:t xml:space="preserve">yield </w:t>
      </w:r>
      <w:r w:rsidR="00D67464">
        <w:rPr>
          <w:lang w:val="en-US"/>
        </w:rPr>
        <w:t xml:space="preserve">large </w:t>
      </w:r>
      <w:r w:rsidR="0017775C" w:rsidRPr="006C73C1">
        <w:rPr>
          <w:lang w:val="en-US"/>
        </w:rPr>
        <w:t xml:space="preserve">benefits in health, wellbeing &amp; productivity worldwide (Hafner et al., 2019). However, trade-offs </w:t>
      </w:r>
      <w:r w:rsidR="00AA6CDB">
        <w:rPr>
          <w:lang w:val="en-US"/>
        </w:rPr>
        <w:t xml:space="preserve">often </w:t>
      </w:r>
      <w:r w:rsidR="0017775C" w:rsidRPr="006C73C1">
        <w:rPr>
          <w:lang w:val="en-US"/>
        </w:rPr>
        <w:t xml:space="preserve">exist between increasing population physical activity and </w:t>
      </w:r>
      <w:r w:rsidR="00AA6CDB">
        <w:rPr>
          <w:lang w:val="en-US"/>
        </w:rPr>
        <w:t xml:space="preserve">achieving </w:t>
      </w:r>
      <w:r w:rsidR="0017775C" w:rsidRPr="006C73C1">
        <w:rPr>
          <w:lang w:val="en-US"/>
        </w:rPr>
        <w:t xml:space="preserve">other </w:t>
      </w:r>
      <w:r w:rsidR="00502E4F">
        <w:rPr>
          <w:lang w:val="en-US"/>
        </w:rPr>
        <w:t xml:space="preserve">health and non-health </w:t>
      </w:r>
      <w:r w:rsidR="0017775C" w:rsidRPr="006C73C1">
        <w:rPr>
          <w:lang w:val="en-US"/>
        </w:rPr>
        <w:t>outcomes</w:t>
      </w:r>
      <w:r w:rsidR="00AA6CDB">
        <w:rPr>
          <w:lang w:val="en-US"/>
        </w:rPr>
        <w:t xml:space="preserve">. It is therefore important to have a robust method to consider whether interventions that improve activity levels provide good value for money. </w:t>
      </w:r>
      <w:r w:rsidR="0017775C" w:rsidRPr="006C73C1">
        <w:rPr>
          <w:lang w:val="en-US"/>
        </w:rPr>
        <w:t xml:space="preserve">The HEAT is an example of </w:t>
      </w:r>
      <w:r w:rsidR="00AA6CDB">
        <w:rPr>
          <w:lang w:val="en-US"/>
        </w:rPr>
        <w:t>a tool</w:t>
      </w:r>
      <w:r w:rsidR="0017775C" w:rsidRPr="006C73C1">
        <w:rPr>
          <w:lang w:val="en-US"/>
        </w:rPr>
        <w:t>,</w:t>
      </w:r>
      <w:r w:rsidR="00C8168B" w:rsidRPr="006C73C1">
        <w:rPr>
          <w:lang w:val="en-US"/>
        </w:rPr>
        <w:t xml:space="preserve"> often used by transport planners</w:t>
      </w:r>
      <w:r w:rsidR="00AA6CDB">
        <w:rPr>
          <w:lang w:val="en-US"/>
        </w:rPr>
        <w:t>, which allows users to estimate, and monetize, the benefits</w:t>
      </w:r>
      <w:r w:rsidR="00C8168B" w:rsidRPr="006C73C1">
        <w:rPr>
          <w:lang w:val="en-US"/>
        </w:rPr>
        <w:t xml:space="preserve"> of </w:t>
      </w:r>
      <w:r w:rsidR="00AA6CDB">
        <w:rPr>
          <w:lang w:val="en-US"/>
        </w:rPr>
        <w:t>increased walking and cycling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w:t>
      </w:r>
      <w:r w:rsidR="00C726D4">
        <w:rPr>
          <w:lang w:val="en-US"/>
        </w:rPr>
        <w:t xml:space="preserve"> In general, the </w:t>
      </w:r>
      <w:r w:rsidR="00C726D4">
        <w:t>estimates derived from the physical activity module of the tool have been shown to contribute the most to total monetary benefit (Mueller et al., 2015).</w:t>
      </w:r>
    </w:p>
    <w:p w14:paraId="5CEB705F" w14:textId="3EFCA1E0"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 xml:space="preserve">may </w:t>
      </w:r>
      <w:r w:rsidR="00C8168B" w:rsidRPr="006C73C1">
        <w:rPr>
          <w:lang w:val="en-US"/>
        </w:rPr>
        <w:t xml:space="preserve">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09F919B4"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w:t>
      </w:r>
      <w:r w:rsidR="001557F4">
        <w:rPr>
          <w:lang w:val="en-US"/>
        </w:rPr>
        <w:t xml:space="preserve">. </w:t>
      </w:r>
      <w:r w:rsidR="00D3554C" w:rsidRPr="006C73C1">
        <w:rPr>
          <w:lang w:val="en-US"/>
        </w:rPr>
        <w:t>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1557F4">
        <w:rPr>
          <w:lang w:val="en-US"/>
        </w:rPr>
        <w:t xml:space="preserve">relatively </w:t>
      </w:r>
      <w:r w:rsidR="00D3554C" w:rsidRPr="006C73C1">
        <w:rPr>
          <w:lang w:val="en-US"/>
        </w:rPr>
        <w:t xml:space="preserve">similar in every country. </w:t>
      </w:r>
      <w:r w:rsidRPr="006C73C1">
        <w:rPr>
          <w:lang w:val="en-US"/>
        </w:rPr>
        <w:t>Comparing the distributions estimated by this method</w:t>
      </w:r>
      <w:r w:rsidR="00F97B32">
        <w:rPr>
          <w:lang w:val="en-US"/>
        </w:rPr>
        <w:t xml:space="preserve">, </w:t>
      </w:r>
      <w:r w:rsidR="00D3554C" w:rsidRPr="00F97B32">
        <w:rPr>
          <w:lang w:val="en-US"/>
        </w:rPr>
        <w:t>and provided in the supplementary material</w:t>
      </w:r>
      <w:r w:rsidR="00F97B32">
        <w:rPr>
          <w:lang w:val="en-US"/>
        </w:rPr>
        <w:t>,</w:t>
      </w:r>
      <w:r w:rsidR="00D3554C" w:rsidRPr="006C73C1">
        <w:rPr>
          <w:lang w:val="en-US"/>
        </w:rPr>
        <w:t xml:space="preserve"> </w:t>
      </w:r>
      <w:r w:rsidRPr="006C73C1">
        <w:rPr>
          <w:lang w:val="en-US"/>
        </w:rPr>
        <w:t xml:space="preserve">with more detailed </w:t>
      </w:r>
      <w:r w:rsidR="00F97B32" w:rsidRPr="006C73C1">
        <w:rPr>
          <w:lang w:val="en-US"/>
        </w:rPr>
        <w:t>datasets</w:t>
      </w:r>
      <w:r w:rsidR="001557F4">
        <w:rPr>
          <w:lang w:val="en-US"/>
        </w:rPr>
        <w:t xml:space="preserve"> would help to validate the estimates of population physical activity distributions</w:t>
      </w:r>
      <w:r w:rsidR="00D3554C" w:rsidRPr="006C73C1">
        <w:rPr>
          <w:lang w:val="en-US"/>
        </w:rPr>
        <w:t>.</w:t>
      </w:r>
      <w:r w:rsidR="00D56D1D" w:rsidRPr="006C73C1">
        <w:rPr>
          <w:lang w:val="en-US"/>
        </w:rPr>
        <w:t xml:space="preserve"> It is likely that the method is reliable for similar countries (e.g. the UK and Germany) but may not be reliable where culture differs (e.g.</w:t>
      </w:r>
      <w:r w:rsidR="00F97B32">
        <w:rPr>
          <w:lang w:val="en-US"/>
        </w:rPr>
        <w:t xml:space="preserve"> the</w:t>
      </w:r>
      <w:r w:rsidR="00D56D1D" w:rsidRPr="006C73C1">
        <w:rPr>
          <w:lang w:val="en-US"/>
        </w:rPr>
        <w:t xml:space="preserve"> UK and </w:t>
      </w:r>
      <w:r w:rsidR="006C73C1" w:rsidRPr="006C73C1">
        <w:rPr>
          <w:lang w:val="en-US"/>
        </w:rPr>
        <w:t>Chad).</w:t>
      </w:r>
      <w:r w:rsidR="001557F4">
        <w:rPr>
          <w:lang w:val="en-US"/>
        </w:rPr>
        <w:t xml:space="preserve"> However, it is unlikely that this would affect the main finding of this study, since large differences in the linear and non-linear functions exist when using the UK distribution which is based upon survey data.</w:t>
      </w:r>
    </w:p>
    <w:p w14:paraId="0F1D75F2" w14:textId="5377FF0A" w:rsidR="001227ED" w:rsidRDefault="00D3554C" w:rsidP="006C73C1">
      <w:pPr>
        <w:spacing w:line="360" w:lineRule="auto"/>
        <w:jc w:val="both"/>
        <w:rPr>
          <w:lang w:val="en-US"/>
        </w:rPr>
      </w:pPr>
      <w:r w:rsidRPr="006C73C1">
        <w:rPr>
          <w:lang w:val="en-US"/>
        </w:rPr>
        <w:t>A further limitation</w:t>
      </w:r>
      <w:r w:rsidR="001557F4">
        <w:rPr>
          <w:lang w:val="en-US"/>
        </w:rPr>
        <w:t xml:space="preserve"> of th</w:t>
      </w:r>
      <w:r w:rsidR="001D6BD4">
        <w:rPr>
          <w:lang w:val="en-US"/>
        </w:rPr>
        <w:t>is</w:t>
      </w:r>
      <w:r w:rsidR="001557F4">
        <w:rPr>
          <w:lang w:val="en-US"/>
        </w:rPr>
        <w:t xml:space="preserve"> study is that </w:t>
      </w:r>
      <w:r w:rsidR="001B13C9">
        <w:rPr>
          <w:lang w:val="en-US"/>
        </w:rPr>
        <w:t xml:space="preserve">we do not consider the usability of the tool, only show that a more conceptually valid method is possible. Since the tool is designed to be used by </w:t>
      </w:r>
      <w:r w:rsidR="00FA5679">
        <w:rPr>
          <w:lang w:val="en-US"/>
        </w:rPr>
        <w:t>users</w:t>
      </w:r>
      <w:r w:rsidR="001B13C9">
        <w:rPr>
          <w:lang w:val="en-US"/>
        </w:rPr>
        <w:t xml:space="preserve"> with little to no public health, epidemiology, statistics and programming ability it is also important that the methods behind the tool are easy to explain, and the tool is simple to use. I</w:t>
      </w:r>
      <w:r w:rsidR="001557F4">
        <w:rPr>
          <w:lang w:val="en-US"/>
        </w:rPr>
        <w:t>ncreased complexity, in terms of more, or more detailed inputs, and a more difficult to explain model structure</w:t>
      </w:r>
      <w:r w:rsidR="001B13C9">
        <w:rPr>
          <w:lang w:val="en-US"/>
        </w:rPr>
        <w:t xml:space="preserve"> </w:t>
      </w:r>
      <w:r w:rsidR="001557F4">
        <w:rPr>
          <w:lang w:val="en-US"/>
        </w:rPr>
        <w:t>ma</w:t>
      </w:r>
      <w:r w:rsidR="001B13C9">
        <w:rPr>
          <w:lang w:val="en-US"/>
        </w:rPr>
        <w:t>y</w:t>
      </w:r>
      <w:r w:rsidR="001557F4">
        <w:rPr>
          <w:lang w:val="en-US"/>
        </w:rPr>
        <w:t xml:space="preserve"> make the tool less ‘</w:t>
      </w:r>
      <w:r w:rsidR="001B13C9">
        <w:rPr>
          <w:lang w:val="en-US"/>
        </w:rPr>
        <w:t>useable</w:t>
      </w:r>
      <w:r w:rsidR="001557F4">
        <w:rPr>
          <w:lang w:val="en-US"/>
        </w:rPr>
        <w:t>’</w:t>
      </w:r>
      <w:r w:rsidR="001B13C9">
        <w:rPr>
          <w:lang w:val="en-US"/>
        </w:rPr>
        <w:t xml:space="preserve"> and therefore less valuable. </w:t>
      </w:r>
      <w:r w:rsidR="00D83924">
        <w:rPr>
          <w:lang w:val="en-US"/>
        </w:rPr>
        <w:t>F</w:t>
      </w:r>
      <w:r w:rsidR="001227ED" w:rsidRPr="006C73C1">
        <w:rPr>
          <w:lang w:val="en-US"/>
        </w:rPr>
        <w:t>urther work to determine whether stakeholders understand</w:t>
      </w:r>
      <w:r w:rsidR="001D6BD4">
        <w:rPr>
          <w:lang w:val="en-US"/>
        </w:rPr>
        <w:t xml:space="preserve"> the use of a non-linear dose response relationship on baseline and intervention distributions, and whether </w:t>
      </w:r>
      <w:r w:rsidR="00D83924">
        <w:rPr>
          <w:lang w:val="en-US"/>
        </w:rPr>
        <w:t>users</w:t>
      </w:r>
      <w:r w:rsidR="001D6BD4">
        <w:rPr>
          <w:lang w:val="en-US"/>
        </w:rPr>
        <w:t xml:space="preserve"> </w:t>
      </w:r>
      <w:r w:rsidR="007747A6">
        <w:rPr>
          <w:lang w:val="en-US"/>
        </w:rPr>
        <w:t>can</w:t>
      </w:r>
      <w:r w:rsidR="001D6BD4">
        <w:rPr>
          <w:lang w:val="en-US"/>
        </w:rPr>
        <w:t xml:space="preserve"> obtain </w:t>
      </w:r>
      <w:r w:rsidR="00D83924">
        <w:rPr>
          <w:lang w:val="en-US"/>
        </w:rPr>
        <w:t>intervention group physical activity distributions</w:t>
      </w:r>
      <w:r w:rsidR="001D6BD4">
        <w:rPr>
          <w:lang w:val="en-US"/>
        </w:rPr>
        <w:t xml:space="preserve">, </w:t>
      </w:r>
      <w:r w:rsidR="001227ED" w:rsidRPr="006C73C1">
        <w:rPr>
          <w:lang w:val="en-US"/>
        </w:rPr>
        <w:t>will likely be a determining factor as to the feasibility of adapting the HEAT tool.</w:t>
      </w:r>
      <w:r w:rsidR="001D6BD4">
        <w:rPr>
          <w:lang w:val="en-US"/>
        </w:rPr>
        <w:t xml:space="preserve"> Nevertheless, this paper demonstrates that the two approaches do result in substantial differences at the population level, and therefore where possible the non-linear dose response function should be used by researchers.</w:t>
      </w:r>
    </w:p>
    <w:p w14:paraId="4B96667E" w14:textId="1C3F2781" w:rsidR="00D83924" w:rsidRPr="006C73C1" w:rsidRDefault="00D83924" w:rsidP="006C73C1">
      <w:pPr>
        <w:spacing w:line="360" w:lineRule="auto"/>
        <w:jc w:val="both"/>
        <w:rPr>
          <w:lang w:val="en-US"/>
        </w:rPr>
      </w:pPr>
      <w:r>
        <w:rPr>
          <w:lang w:val="en-US"/>
        </w:rPr>
        <w:t xml:space="preserve">The trade-off between the ‘usability’ and ‘accuracy’ of </w:t>
      </w:r>
      <w:r w:rsidR="007747A6">
        <w:rPr>
          <w:lang w:val="en-US"/>
        </w:rPr>
        <w:t xml:space="preserve">health impact assessment tools (and </w:t>
      </w:r>
      <w:r>
        <w:rPr>
          <w:lang w:val="en-US"/>
        </w:rPr>
        <w:t>public health economic models</w:t>
      </w:r>
      <w:r w:rsidR="007747A6">
        <w:rPr>
          <w:lang w:val="en-US"/>
        </w:rPr>
        <w:t xml:space="preserve"> more generally)</w:t>
      </w:r>
      <w:r>
        <w:rPr>
          <w:lang w:val="en-US"/>
        </w:rPr>
        <w:t xml:space="preserve"> is one that needs further attention in the academic literature. Models and tools tend to be either high accuracy but low usability</w:t>
      </w:r>
      <w:r w:rsidR="00DD41DF">
        <w:rPr>
          <w:lang w:val="en-US"/>
        </w:rPr>
        <w:t xml:space="preserve"> -</w:t>
      </w:r>
      <w:r>
        <w:rPr>
          <w:lang w:val="en-US"/>
        </w:rPr>
        <w:t xml:space="preserve"> for example models created in high level programming languages with high computational demands and long run-times</w:t>
      </w:r>
      <w:r w:rsidR="00DD41DF">
        <w:rPr>
          <w:lang w:val="en-US"/>
        </w:rPr>
        <w:t xml:space="preserve"> -</w:t>
      </w:r>
      <w:r>
        <w:rPr>
          <w:lang w:val="en-US"/>
        </w:rPr>
        <w:t xml:space="preserve"> or low accuracy but high usability - including the HEAT physical activity modules. Understanding how </w:t>
      </w:r>
      <w:r>
        <w:rPr>
          <w:lang w:val="en-US"/>
        </w:rPr>
        <w:lastRenderedPageBreak/>
        <w:t>to utilize new tools from data-science to make</w:t>
      </w:r>
      <w:r w:rsidR="007747A6">
        <w:rPr>
          <w:lang w:val="en-US"/>
        </w:rPr>
        <w:t xml:space="preserve"> </w:t>
      </w:r>
      <w:r w:rsidR="00DD41DF">
        <w:rPr>
          <w:lang w:val="en-US"/>
        </w:rPr>
        <w:t>models which are very accurate more usable would be a useful avenue of future research. Likewise, understanding how to incrementally improve the accuracy of highly usable models (like HEAT) without compromising usability would be a valuable endeavor.</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3B894238" w14:textId="72793ED0" w:rsidR="00515A48" w:rsidRDefault="00DD41DF" w:rsidP="00C85A5C">
      <w:pPr>
        <w:spacing w:line="360" w:lineRule="auto"/>
        <w:jc w:val="both"/>
        <w:rPr>
          <w:rFonts w:asciiTheme="majorHAnsi" w:eastAsiaTheme="majorEastAsia" w:hAnsiTheme="majorHAnsi" w:cstheme="majorBidi"/>
          <w:color w:val="2F5496" w:themeColor="accent1" w:themeShade="BF"/>
          <w:sz w:val="32"/>
          <w:szCs w:val="32"/>
          <w:lang w:val="en-US"/>
        </w:rPr>
      </w:pPr>
      <w:r>
        <w:rPr>
          <w:lang w:val="en-US"/>
        </w:rPr>
        <w:t xml:space="preserve">We show that for </w:t>
      </w:r>
      <w:r w:rsidR="00C85A5C">
        <w:rPr>
          <w:lang w:val="en-US"/>
        </w:rPr>
        <w:t>the</w:t>
      </w:r>
      <w:r>
        <w:rPr>
          <w:lang w:val="en-US"/>
        </w:rPr>
        <w:t xml:space="preserve"> WHO European Region countries</w:t>
      </w:r>
      <w:r w:rsidR="00C85A5C">
        <w:rPr>
          <w:lang w:val="en-US"/>
        </w:rPr>
        <w:t xml:space="preserve"> included in the HEAT tool, the estimates of deaths averted, and therefore monetary benefit, differs substantially depending on the dose response function used. The non-linear dose response function results in greater estimated benefits, relative to the linear dose response function, where increased physical activity accrues to those who are relatively inactive. It therefore results in greater benefits in countries with higher prevalence of physical inactivity, or interventions which are targeted toward the least active.  Developing tools which are both usable</w:t>
      </w:r>
      <w:r w:rsidR="00B14FEF">
        <w:rPr>
          <w:lang w:val="en-US"/>
        </w:rPr>
        <w:t>,</w:t>
      </w:r>
      <w:r w:rsidR="00C85A5C">
        <w:rPr>
          <w:lang w:val="en-US"/>
        </w:rPr>
        <w:t xml:space="preserve"> </w:t>
      </w:r>
      <w:r w:rsidR="00B14FEF">
        <w:rPr>
          <w:lang w:val="en-US"/>
        </w:rPr>
        <w:t>in terms of data requirements and ease of explanation to users, and highly accurate is an important avenue for future research in health impact assessment and public health economics more widely.</w:t>
      </w:r>
      <w:r w:rsidR="00515A48">
        <w:rPr>
          <w:lang w:val="en-US"/>
        </w:rPr>
        <w:br w:type="page"/>
      </w:r>
    </w:p>
    <w:p w14:paraId="1BBE4333" w14:textId="77777777" w:rsidR="00EC249D" w:rsidRDefault="00EC249D" w:rsidP="00EC249D">
      <w:pPr>
        <w:pStyle w:val="Heading1"/>
        <w:rPr>
          <w:lang w:val="en-US"/>
        </w:rPr>
      </w:pPr>
      <w:r>
        <w:rPr>
          <w:lang w:val="en-US"/>
        </w:rPr>
        <w:lastRenderedPageBreak/>
        <w:t>References</w:t>
      </w:r>
    </w:p>
    <w:p w14:paraId="4BB36961" w14:textId="3BBEEE49" w:rsidR="00FD050C" w:rsidRPr="00AE11E9" w:rsidRDefault="00FD050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Ainsworth, B.E., Haskell, W.L., Whitt, M.C., Irwin, M.L., Swartz, A.M., </w:t>
      </w:r>
      <w:proofErr w:type="spellStart"/>
      <w:r w:rsidRPr="00AE11E9">
        <w:rPr>
          <w:rFonts w:cstheme="minorHAnsi"/>
          <w:color w:val="222222"/>
          <w:sz w:val="24"/>
          <w:szCs w:val="24"/>
          <w:shd w:val="clear" w:color="auto" w:fill="FFFFFF"/>
        </w:rPr>
        <w:t>Strath</w:t>
      </w:r>
      <w:proofErr w:type="spellEnd"/>
      <w:r w:rsidRPr="00AE11E9">
        <w:rPr>
          <w:rFonts w:cstheme="minorHAnsi"/>
          <w:color w:val="222222"/>
          <w:sz w:val="24"/>
          <w:szCs w:val="24"/>
          <w:shd w:val="clear" w:color="auto" w:fill="FFFFFF"/>
        </w:rPr>
        <w:t xml:space="preserve">, S.J., </w:t>
      </w:r>
      <w:proofErr w:type="spellStart"/>
      <w:r w:rsidRPr="00AE11E9">
        <w:rPr>
          <w:rFonts w:cstheme="minorHAnsi"/>
          <w:color w:val="222222"/>
          <w:sz w:val="24"/>
          <w:szCs w:val="24"/>
          <w:shd w:val="clear" w:color="auto" w:fill="FFFFFF"/>
        </w:rPr>
        <w:t>O’brien</w:t>
      </w:r>
      <w:proofErr w:type="spellEnd"/>
      <w:r w:rsidRPr="00AE11E9">
        <w:rPr>
          <w:rFonts w:cstheme="minorHAnsi"/>
          <w:color w:val="222222"/>
          <w:sz w:val="24"/>
          <w:szCs w:val="24"/>
          <w:shd w:val="clear" w:color="auto" w:fill="FFFFFF"/>
        </w:rPr>
        <w:t xml:space="preserve">, W.L., Bassett, D.R., Schmitz, K.H., </w:t>
      </w:r>
      <w:proofErr w:type="spellStart"/>
      <w:r w:rsidRPr="00AE11E9">
        <w:rPr>
          <w:rFonts w:cstheme="minorHAnsi"/>
          <w:color w:val="222222"/>
          <w:sz w:val="24"/>
          <w:szCs w:val="24"/>
          <w:shd w:val="clear" w:color="auto" w:fill="FFFFFF"/>
        </w:rPr>
        <w:t>Emplaincourt</w:t>
      </w:r>
      <w:proofErr w:type="spellEnd"/>
      <w:r w:rsidRPr="00AE11E9">
        <w:rPr>
          <w:rFonts w:cstheme="minorHAnsi"/>
          <w:color w:val="222222"/>
          <w:sz w:val="24"/>
          <w:szCs w:val="24"/>
          <w:shd w:val="clear" w:color="auto" w:fill="FFFFFF"/>
        </w:rPr>
        <w:t>, P.O. and Jacobs, D.R., 2000. Compendium of physical activities: an update of activity codes and MET intensities. </w:t>
      </w:r>
      <w:r w:rsidRPr="00AE11E9">
        <w:rPr>
          <w:rFonts w:cstheme="minorHAnsi"/>
          <w:i/>
          <w:iCs/>
          <w:color w:val="222222"/>
          <w:sz w:val="24"/>
          <w:szCs w:val="24"/>
          <w:shd w:val="clear" w:color="auto" w:fill="FFFFFF"/>
        </w:rPr>
        <w:t>Medicine &amp; science in sports &amp; exercise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32</w:t>
      </w:r>
      <w:r w:rsidRPr="00AE11E9">
        <w:rPr>
          <w:rFonts w:cstheme="minorHAnsi"/>
          <w:color w:val="222222"/>
          <w:sz w:val="24"/>
          <w:szCs w:val="24"/>
          <w:shd w:val="clear" w:color="auto" w:fill="FFFFFF"/>
        </w:rPr>
        <w:t xml:space="preserve">(9), </w:t>
      </w:r>
      <w:proofErr w:type="gramStart"/>
      <w:r w:rsidRPr="00AE11E9">
        <w:rPr>
          <w:rFonts w:cstheme="minorHAnsi"/>
          <w:color w:val="222222"/>
          <w:sz w:val="24"/>
          <w:szCs w:val="24"/>
          <w:shd w:val="clear" w:color="auto" w:fill="FFFFFF"/>
        </w:rPr>
        <w:t>pp.S</w:t>
      </w:r>
      <w:proofErr w:type="gramEnd"/>
      <w:r w:rsidRPr="00AE11E9">
        <w:rPr>
          <w:rFonts w:cstheme="minorHAnsi"/>
          <w:color w:val="222222"/>
          <w:sz w:val="24"/>
          <w:szCs w:val="24"/>
          <w:shd w:val="clear" w:color="auto" w:fill="FFFFFF"/>
        </w:rPr>
        <w:t>498-S516.</w:t>
      </w:r>
    </w:p>
    <w:p w14:paraId="6D24C1BC" w14:textId="51DDF957" w:rsidR="00752251" w:rsidRPr="00AE11E9" w:rsidRDefault="00752251" w:rsidP="00AE11E9">
      <w:pPr>
        <w:spacing w:before="240" w:line="240" w:lineRule="auto"/>
        <w:rPr>
          <w:rFonts w:cstheme="minorHAnsi"/>
          <w:sz w:val="24"/>
          <w:szCs w:val="24"/>
          <w:lang w:val="en-US"/>
        </w:rPr>
      </w:pPr>
      <w:proofErr w:type="spellStart"/>
      <w:r w:rsidRPr="00AE11E9">
        <w:rPr>
          <w:rFonts w:cstheme="minorHAnsi"/>
          <w:color w:val="222222"/>
          <w:sz w:val="24"/>
          <w:szCs w:val="24"/>
          <w:shd w:val="clear" w:color="auto" w:fill="FFFFFF"/>
        </w:rPr>
        <w:t>Arem</w:t>
      </w:r>
      <w:proofErr w:type="spellEnd"/>
      <w:r w:rsidRPr="00AE11E9">
        <w:rPr>
          <w:rFonts w:cstheme="minorHAnsi"/>
          <w:color w:val="222222"/>
          <w:sz w:val="24"/>
          <w:szCs w:val="24"/>
          <w:shd w:val="clear" w:color="auto" w:fill="FFFFFF"/>
        </w:rPr>
        <w:t xml:space="preserve">, H., Moore, S.C., Patel, A., </w:t>
      </w:r>
      <w:proofErr w:type="spellStart"/>
      <w:r w:rsidRPr="00AE11E9">
        <w:rPr>
          <w:rFonts w:cstheme="minorHAnsi"/>
          <w:color w:val="222222"/>
          <w:sz w:val="24"/>
          <w:szCs w:val="24"/>
          <w:shd w:val="clear" w:color="auto" w:fill="FFFFFF"/>
        </w:rPr>
        <w:t>Hartge</w:t>
      </w:r>
      <w:proofErr w:type="spellEnd"/>
      <w:r w:rsidRPr="00AE11E9">
        <w:rPr>
          <w:rFonts w:cstheme="minorHAnsi"/>
          <w:color w:val="222222"/>
          <w:sz w:val="24"/>
          <w:szCs w:val="24"/>
          <w:shd w:val="clear" w:color="auto" w:fill="FFFFFF"/>
        </w:rPr>
        <w:t xml:space="preserve">, P., De Gonzalez, A.B., Visvanathan, K., Campbell, P.T., Freedman, M., </w:t>
      </w:r>
      <w:proofErr w:type="spellStart"/>
      <w:r w:rsidRPr="00AE11E9">
        <w:rPr>
          <w:rFonts w:cstheme="minorHAnsi"/>
          <w:color w:val="222222"/>
          <w:sz w:val="24"/>
          <w:szCs w:val="24"/>
          <w:shd w:val="clear" w:color="auto" w:fill="FFFFFF"/>
        </w:rPr>
        <w:t>Weiderpass</w:t>
      </w:r>
      <w:proofErr w:type="spellEnd"/>
      <w:r w:rsidRPr="00AE11E9">
        <w:rPr>
          <w:rFonts w:cstheme="minorHAnsi"/>
          <w:color w:val="222222"/>
          <w:sz w:val="24"/>
          <w:szCs w:val="24"/>
          <w:shd w:val="clear" w:color="auto" w:fill="FFFFFF"/>
        </w:rPr>
        <w:t xml:space="preserve">, E., </w:t>
      </w:r>
      <w:proofErr w:type="spellStart"/>
      <w:r w:rsidRPr="00AE11E9">
        <w:rPr>
          <w:rFonts w:cstheme="minorHAnsi"/>
          <w:color w:val="222222"/>
          <w:sz w:val="24"/>
          <w:szCs w:val="24"/>
          <w:shd w:val="clear" w:color="auto" w:fill="FFFFFF"/>
        </w:rPr>
        <w:t>Adami</w:t>
      </w:r>
      <w:proofErr w:type="spellEnd"/>
      <w:r w:rsidRPr="00AE11E9">
        <w:rPr>
          <w:rFonts w:cstheme="minorHAnsi"/>
          <w:color w:val="222222"/>
          <w:sz w:val="24"/>
          <w:szCs w:val="24"/>
          <w:shd w:val="clear" w:color="auto" w:fill="FFFFFF"/>
        </w:rPr>
        <w:t xml:space="preserve">, H.O. and </w:t>
      </w:r>
      <w:proofErr w:type="spellStart"/>
      <w:r w:rsidRPr="00AE11E9">
        <w:rPr>
          <w:rFonts w:cstheme="minorHAnsi"/>
          <w:color w:val="222222"/>
          <w:sz w:val="24"/>
          <w:szCs w:val="24"/>
          <w:shd w:val="clear" w:color="auto" w:fill="FFFFFF"/>
        </w:rPr>
        <w:t>Linet</w:t>
      </w:r>
      <w:proofErr w:type="spellEnd"/>
      <w:r w:rsidRPr="00AE11E9">
        <w:rPr>
          <w:rFonts w:cstheme="minorHAnsi"/>
          <w:color w:val="222222"/>
          <w:sz w:val="24"/>
          <w:szCs w:val="24"/>
          <w:shd w:val="clear" w:color="auto" w:fill="FFFFFF"/>
        </w:rPr>
        <w:t>, M.S., 2015. Leisure time physical activity and mortality: a detailed pooled analysis of the dose-response relationship. </w:t>
      </w:r>
      <w:r w:rsidRPr="00AE11E9">
        <w:rPr>
          <w:rFonts w:cstheme="minorHAnsi"/>
          <w:i/>
          <w:iCs/>
          <w:color w:val="222222"/>
          <w:sz w:val="24"/>
          <w:szCs w:val="24"/>
          <w:shd w:val="clear" w:color="auto" w:fill="FFFFFF"/>
        </w:rPr>
        <w:t>JAMA internal medicine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175</w:t>
      </w:r>
      <w:r w:rsidRPr="00AE11E9">
        <w:rPr>
          <w:rFonts w:cstheme="minorHAnsi"/>
          <w:color w:val="222222"/>
          <w:sz w:val="24"/>
          <w:szCs w:val="24"/>
          <w:shd w:val="clear" w:color="auto" w:fill="FFFFFF"/>
        </w:rPr>
        <w:t>(6), pp.959-967.</w:t>
      </w:r>
    </w:p>
    <w:p w14:paraId="36292AB4" w14:textId="77777777" w:rsidR="004F34E7" w:rsidRPr="00AE11E9" w:rsidRDefault="004F34E7" w:rsidP="00AE11E9">
      <w:pPr>
        <w:spacing w:before="240" w:line="240" w:lineRule="auto"/>
        <w:rPr>
          <w:rFonts w:cstheme="minorHAnsi"/>
          <w:sz w:val="24"/>
          <w:szCs w:val="24"/>
          <w:lang w:val="en-US"/>
        </w:rPr>
      </w:pPr>
      <w:proofErr w:type="spellStart"/>
      <w:r w:rsidRPr="00AE11E9">
        <w:rPr>
          <w:rFonts w:cstheme="minorHAnsi"/>
          <w:sz w:val="24"/>
          <w:szCs w:val="24"/>
          <w:lang w:val="en-US"/>
        </w:rPr>
        <w:t>Guthold</w:t>
      </w:r>
      <w:proofErr w:type="spellEnd"/>
      <w:r w:rsidRPr="00AE11E9">
        <w:rPr>
          <w:rFonts w:cstheme="minorHAnsi"/>
          <w:sz w:val="24"/>
          <w:szCs w:val="24"/>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Pr="00AE11E9" w:rsidRDefault="009D525A"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Hafner, M., </w:t>
      </w:r>
      <w:proofErr w:type="spellStart"/>
      <w:r w:rsidRPr="00AE11E9">
        <w:rPr>
          <w:rFonts w:cstheme="minorHAnsi"/>
          <w:color w:val="222222"/>
          <w:sz w:val="24"/>
          <w:szCs w:val="24"/>
          <w:shd w:val="clear" w:color="auto" w:fill="FFFFFF"/>
        </w:rPr>
        <w:t>Yerushalmi</w:t>
      </w:r>
      <w:proofErr w:type="spellEnd"/>
      <w:r w:rsidRPr="00AE11E9">
        <w:rPr>
          <w:rFonts w:cstheme="minorHAnsi"/>
          <w:color w:val="222222"/>
          <w:sz w:val="24"/>
          <w:szCs w:val="24"/>
          <w:shd w:val="clear" w:color="auto" w:fill="FFFFFF"/>
        </w:rPr>
        <w:t xml:space="preserve">, E., Phillips, W.D., Pollard, J., Deshpande, A., Whitmore, M., Millard, F., </w:t>
      </w:r>
      <w:proofErr w:type="spellStart"/>
      <w:r w:rsidRPr="00AE11E9">
        <w:rPr>
          <w:rFonts w:cstheme="minorHAnsi"/>
          <w:color w:val="222222"/>
          <w:sz w:val="24"/>
          <w:szCs w:val="24"/>
          <w:shd w:val="clear" w:color="auto" w:fill="FFFFFF"/>
        </w:rPr>
        <w:t>Subel</w:t>
      </w:r>
      <w:proofErr w:type="spellEnd"/>
      <w:r w:rsidRPr="00AE11E9">
        <w:rPr>
          <w:rFonts w:cstheme="minorHAnsi"/>
          <w:color w:val="222222"/>
          <w:sz w:val="24"/>
          <w:szCs w:val="24"/>
          <w:shd w:val="clear" w:color="auto" w:fill="FFFFFF"/>
        </w:rPr>
        <w:t xml:space="preserve">, S. and Van </w:t>
      </w:r>
      <w:proofErr w:type="spellStart"/>
      <w:r w:rsidRPr="00AE11E9">
        <w:rPr>
          <w:rFonts w:cstheme="minorHAnsi"/>
          <w:color w:val="222222"/>
          <w:sz w:val="24"/>
          <w:szCs w:val="24"/>
          <w:shd w:val="clear" w:color="auto" w:fill="FFFFFF"/>
        </w:rPr>
        <w:t>Stolk</w:t>
      </w:r>
      <w:proofErr w:type="spellEnd"/>
      <w:r w:rsidRPr="00AE11E9">
        <w:rPr>
          <w:rFonts w:cstheme="minorHAnsi"/>
          <w:color w:val="222222"/>
          <w:sz w:val="24"/>
          <w:szCs w:val="24"/>
          <w:shd w:val="clear" w:color="auto" w:fill="FFFFFF"/>
        </w:rPr>
        <w:t>, C., 2019. The economic benefits of a more physically active population: An international analysis.</w:t>
      </w:r>
    </w:p>
    <w:p w14:paraId="22F6C150" w14:textId="77777777" w:rsidR="00486459" w:rsidRPr="00AE11E9" w:rsidRDefault="00486459" w:rsidP="00AE11E9">
      <w:pPr>
        <w:spacing w:before="240" w:line="240" w:lineRule="auto"/>
        <w:rPr>
          <w:rFonts w:cstheme="minorHAnsi"/>
          <w:color w:val="222222"/>
          <w:sz w:val="24"/>
          <w:szCs w:val="24"/>
          <w:shd w:val="clear" w:color="auto" w:fill="FFFFFF"/>
          <w:lang w:val="it-IT"/>
        </w:rPr>
      </w:pPr>
      <w:r w:rsidRPr="00AE11E9">
        <w:rPr>
          <w:rFonts w:cstheme="minorHAnsi"/>
          <w:color w:val="222222"/>
          <w:sz w:val="24"/>
          <w:szCs w:val="24"/>
          <w:shd w:val="clear" w:color="auto" w:fill="FFFFFF"/>
        </w:rPr>
        <w:t xml:space="preserve">NHS Digital. 2016. Health Survey for England. </w:t>
      </w:r>
      <w:r w:rsidRPr="00AE11E9">
        <w:rPr>
          <w:rFonts w:cstheme="minorHAnsi"/>
          <w:color w:val="222222"/>
          <w:sz w:val="24"/>
          <w:szCs w:val="24"/>
          <w:shd w:val="clear" w:color="auto" w:fill="FFFFFF"/>
          <w:lang w:val="it-IT"/>
        </w:rPr>
        <w:t xml:space="preserve">London, UK. </w:t>
      </w:r>
      <w:r w:rsidR="0072009B" w:rsidRPr="00AE11E9">
        <w:rPr>
          <w:rFonts w:cstheme="minorHAnsi"/>
          <w:sz w:val="24"/>
          <w:szCs w:val="24"/>
        </w:rPr>
        <w:fldChar w:fldCharType="begin"/>
      </w:r>
      <w:r w:rsidR="0072009B" w:rsidRPr="00AE11E9">
        <w:rPr>
          <w:rFonts w:cstheme="minorHAnsi"/>
          <w:sz w:val="24"/>
          <w:szCs w:val="24"/>
        </w:rPr>
        <w:instrText xml:space="preserve"> HYPERLINK "https://digital.nhs.uk/data-and-information/publications/statistical/health-survey-for-england/health-survey-for-england-2015" \l "resources" </w:instrText>
      </w:r>
      <w:r w:rsidR="0072009B" w:rsidRPr="00AE11E9">
        <w:rPr>
          <w:rFonts w:cstheme="minorHAnsi"/>
          <w:sz w:val="24"/>
          <w:szCs w:val="24"/>
        </w:rPr>
        <w:fldChar w:fldCharType="separate"/>
      </w:r>
      <w:r w:rsidRPr="00AE11E9">
        <w:rPr>
          <w:rFonts w:cstheme="minorHAnsi"/>
          <w:color w:val="222222"/>
          <w:sz w:val="24"/>
          <w:szCs w:val="24"/>
          <w:shd w:val="clear" w:color="auto" w:fill="FFFFFF"/>
          <w:lang w:val="it-IT"/>
        </w:rPr>
        <w:t>https://digital.nhs.uk/data-and-information/publications/statistical/health-survey-for-england/health-survey-for-england-2015#resources</w:t>
      </w:r>
      <w:r w:rsidR="0072009B" w:rsidRPr="00AE11E9">
        <w:rPr>
          <w:rFonts w:cstheme="minorHAnsi"/>
          <w:color w:val="222222"/>
          <w:sz w:val="24"/>
          <w:szCs w:val="24"/>
          <w:shd w:val="clear" w:color="auto" w:fill="FFFFFF"/>
          <w:lang w:val="it-IT"/>
        </w:rPr>
        <w:fldChar w:fldCharType="end"/>
      </w:r>
    </w:p>
    <w:p w14:paraId="6F62E7C3" w14:textId="77777777" w:rsidR="005A25FB" w:rsidRPr="00AE11E9" w:rsidRDefault="005A25FB"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xml:space="preserve">, F.,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Rutter, H. and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2010. “Health in all policies” in practice: guidance and tools to quantifying the health effects of cycling and walking. </w:t>
      </w:r>
      <w:r w:rsidRPr="00AE11E9">
        <w:rPr>
          <w:rFonts w:cstheme="minorHAnsi"/>
          <w:i/>
          <w:iCs/>
          <w:color w:val="222222"/>
          <w:sz w:val="24"/>
          <w:szCs w:val="24"/>
          <w:shd w:val="clear" w:color="auto" w:fill="FFFFFF"/>
        </w:rPr>
        <w:t>Journal of Physical Activity and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7</w:t>
      </w:r>
      <w:r w:rsidRPr="00AE11E9">
        <w:rPr>
          <w:rFonts w:cstheme="minorHAnsi"/>
          <w:color w:val="222222"/>
          <w:sz w:val="24"/>
          <w:szCs w:val="24"/>
          <w:shd w:val="clear" w:color="auto" w:fill="FFFFFF"/>
        </w:rPr>
        <w:t xml:space="preserve">(s1), </w:t>
      </w:r>
      <w:proofErr w:type="gramStart"/>
      <w:r w:rsidRPr="00AE11E9">
        <w:rPr>
          <w:rFonts w:cstheme="minorHAnsi"/>
          <w:color w:val="222222"/>
          <w:sz w:val="24"/>
          <w:szCs w:val="24"/>
          <w:shd w:val="clear" w:color="auto" w:fill="FFFFFF"/>
        </w:rPr>
        <w:t>pp.S</w:t>
      </w:r>
      <w:proofErr w:type="gramEnd"/>
      <w:r w:rsidRPr="00AE11E9">
        <w:rPr>
          <w:rFonts w:cstheme="minorHAnsi"/>
          <w:color w:val="222222"/>
          <w:sz w:val="24"/>
          <w:szCs w:val="24"/>
          <w:shd w:val="clear" w:color="auto" w:fill="FFFFFF"/>
        </w:rPr>
        <w:t>120-S125.</w:t>
      </w:r>
    </w:p>
    <w:p w14:paraId="40620B8A" w14:textId="77777777" w:rsidR="007A4F87" w:rsidRPr="00AE11E9" w:rsidRDefault="007A4F87"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Dinsdale, H., Rutter, H., </w:t>
      </w:r>
      <w:proofErr w:type="spellStart"/>
      <w:r w:rsidRPr="00AE11E9">
        <w:rPr>
          <w:rFonts w:cstheme="minorHAnsi"/>
          <w:color w:val="222222"/>
          <w:sz w:val="24"/>
          <w:szCs w:val="24"/>
          <w:shd w:val="clear" w:color="auto" w:fill="FFFFFF"/>
        </w:rPr>
        <w:t>Gotschi</w:t>
      </w:r>
      <w:proofErr w:type="spellEnd"/>
      <w:r w:rsidRPr="00AE11E9">
        <w:rPr>
          <w:rFonts w:cstheme="minorHAnsi"/>
          <w:color w:val="222222"/>
          <w:sz w:val="24"/>
          <w:szCs w:val="24"/>
          <w:shd w:val="clear" w:color="auto" w:fill="FFFFFF"/>
        </w:rPr>
        <w:t xml:space="preserve">, T., Foster, C. and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F., 2011. Health economic assessment tools (HEAT) for walking and for cycling.</w:t>
      </w:r>
    </w:p>
    <w:p w14:paraId="0C6195F6" w14:textId="77777777" w:rsidR="006B0D1C" w:rsidRPr="00AE11E9" w:rsidRDefault="006B0D1C"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xml:space="preserve">, T.,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Castro Fernandez, A., Brand, C., Rojas Rueda, D., Woodcock, J., Kelly, P., </w:t>
      </w:r>
      <w:proofErr w:type="spellStart"/>
      <w:r w:rsidRPr="00AE11E9">
        <w:rPr>
          <w:rFonts w:cstheme="minorHAnsi"/>
          <w:color w:val="222222"/>
          <w:sz w:val="24"/>
          <w:szCs w:val="24"/>
          <w:shd w:val="clear" w:color="auto" w:fill="FFFFFF"/>
        </w:rPr>
        <w:t>Lieb</w:t>
      </w:r>
      <w:proofErr w:type="spellEnd"/>
      <w:r w:rsidRPr="00AE11E9">
        <w:rPr>
          <w:rFonts w:cstheme="minorHAnsi"/>
          <w:color w:val="222222"/>
          <w:sz w:val="24"/>
          <w:szCs w:val="24"/>
          <w:shd w:val="clear" w:color="auto" w:fill="FFFFFF"/>
        </w:rPr>
        <w:t xml:space="preserve">, C.,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Pr="00AE11E9" w:rsidRDefault="006B0D1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Kelly, P., </w:t>
      </w: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T., Orsini, N., Richards, J., Roberts, N., Scarborough, P. and Foster, C., 2014. Systematic review and meta-analysis of reduction in all-cause mortality from walking and cycling and shape of dose response relationship. </w:t>
      </w:r>
      <w:r w:rsidRPr="00AE11E9">
        <w:rPr>
          <w:rFonts w:cstheme="minorHAnsi"/>
          <w:i/>
          <w:iCs/>
          <w:color w:val="222222"/>
          <w:sz w:val="24"/>
          <w:szCs w:val="24"/>
          <w:shd w:val="clear" w:color="auto" w:fill="FFFFFF"/>
        </w:rPr>
        <w:t xml:space="preserve">International journal of </w:t>
      </w:r>
      <w:proofErr w:type="spellStart"/>
      <w:r w:rsidRPr="00AE11E9">
        <w:rPr>
          <w:rFonts w:cstheme="minorHAnsi"/>
          <w:i/>
          <w:iCs/>
          <w:color w:val="222222"/>
          <w:sz w:val="24"/>
          <w:szCs w:val="24"/>
          <w:shd w:val="clear" w:color="auto" w:fill="FFFFFF"/>
        </w:rPr>
        <w:t>behavioral</w:t>
      </w:r>
      <w:proofErr w:type="spellEnd"/>
      <w:r w:rsidRPr="00AE11E9">
        <w:rPr>
          <w:rFonts w:cstheme="minorHAnsi"/>
          <w:i/>
          <w:iCs/>
          <w:color w:val="222222"/>
          <w:sz w:val="24"/>
          <w:szCs w:val="24"/>
          <w:shd w:val="clear" w:color="auto" w:fill="FFFFFF"/>
        </w:rPr>
        <w:t xml:space="preserve"> nutrition and physical activity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11</w:t>
      </w:r>
      <w:r w:rsidRPr="00AE11E9">
        <w:rPr>
          <w:rFonts w:cstheme="minorHAnsi"/>
          <w:color w:val="222222"/>
          <w:sz w:val="24"/>
          <w:szCs w:val="24"/>
          <w:shd w:val="clear" w:color="auto" w:fill="FFFFFF"/>
        </w:rPr>
        <w:t>(1), p.132.</w:t>
      </w:r>
    </w:p>
    <w:p w14:paraId="0075EAA1" w14:textId="77777777" w:rsidR="00AE11E9" w:rsidRDefault="00E84456"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Koivusalo</w:t>
      </w:r>
      <w:proofErr w:type="spellEnd"/>
      <w:r w:rsidRPr="00AE11E9">
        <w:rPr>
          <w:rFonts w:cstheme="minorHAnsi"/>
          <w:color w:val="222222"/>
          <w:sz w:val="24"/>
          <w:szCs w:val="24"/>
          <w:shd w:val="clear" w:color="auto" w:fill="FFFFFF"/>
        </w:rPr>
        <w:t>, M., 2010. The state of Health in All policies (</w:t>
      </w:r>
      <w:proofErr w:type="spellStart"/>
      <w:r w:rsidRPr="00AE11E9">
        <w:rPr>
          <w:rFonts w:cstheme="minorHAnsi"/>
          <w:color w:val="222222"/>
          <w:sz w:val="24"/>
          <w:szCs w:val="24"/>
          <w:shd w:val="clear" w:color="auto" w:fill="FFFFFF"/>
        </w:rPr>
        <w:t>HiAP</w:t>
      </w:r>
      <w:proofErr w:type="spellEnd"/>
      <w:r w:rsidRPr="00AE11E9">
        <w:rPr>
          <w:rFonts w:cstheme="minorHAnsi"/>
          <w:color w:val="222222"/>
          <w:sz w:val="24"/>
          <w:szCs w:val="24"/>
          <w:shd w:val="clear" w:color="auto" w:fill="FFFFFF"/>
        </w:rPr>
        <w:t>) in the European Union: potential and pitfalls. </w:t>
      </w:r>
      <w:r w:rsidRPr="00AE11E9">
        <w:rPr>
          <w:rFonts w:cstheme="minorHAnsi"/>
          <w:i/>
          <w:iCs/>
          <w:color w:val="222222"/>
          <w:sz w:val="24"/>
          <w:szCs w:val="24"/>
          <w:shd w:val="clear" w:color="auto" w:fill="FFFFFF"/>
        </w:rPr>
        <w:t>Journal of Epidemiology &amp; Community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64</w:t>
      </w:r>
      <w:r w:rsidRPr="00AE11E9">
        <w:rPr>
          <w:rFonts w:cstheme="minorHAnsi"/>
          <w:color w:val="222222"/>
          <w:sz w:val="24"/>
          <w:szCs w:val="24"/>
          <w:shd w:val="clear" w:color="auto" w:fill="FFFFFF"/>
        </w:rPr>
        <w:t>(6), pp.500-503.</w:t>
      </w:r>
    </w:p>
    <w:p w14:paraId="1C64C174" w14:textId="40904CD6" w:rsidR="009C6A46" w:rsidRPr="00AE11E9" w:rsidRDefault="009C6A46"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Minton, J., </w:t>
      </w:r>
      <w:proofErr w:type="spellStart"/>
      <w:r w:rsidRPr="00AE11E9">
        <w:rPr>
          <w:rFonts w:cstheme="minorHAnsi"/>
          <w:color w:val="222222"/>
          <w:sz w:val="24"/>
          <w:szCs w:val="24"/>
          <w:shd w:val="clear" w:color="auto" w:fill="FFFFFF"/>
        </w:rPr>
        <w:t>Dimairo</w:t>
      </w:r>
      <w:proofErr w:type="spellEnd"/>
      <w:r w:rsidRPr="00AE11E9">
        <w:rPr>
          <w:rFonts w:cstheme="minorHAnsi"/>
          <w:color w:val="222222"/>
          <w:sz w:val="24"/>
          <w:szCs w:val="24"/>
          <w:shd w:val="clear" w:color="auto" w:fill="FFFFFF"/>
        </w:rPr>
        <w:t>, M., Everson-Hock, E., Scott, E. and Goyder, E., 2013. Exploring the relationship between baseline physical activity levels and mortality reduction associated with increases in physical activity: a modelling study. </w:t>
      </w:r>
      <w:r w:rsidRPr="00AE11E9">
        <w:rPr>
          <w:rFonts w:cstheme="minorHAnsi"/>
          <w:i/>
          <w:iCs/>
          <w:color w:val="222222"/>
          <w:sz w:val="24"/>
          <w:szCs w:val="24"/>
          <w:shd w:val="clear" w:color="auto" w:fill="FFFFFF"/>
        </w:rPr>
        <w:t>BMJ open</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w:t>
      </w:r>
      <w:r w:rsidRPr="00AE11E9">
        <w:rPr>
          <w:rFonts w:cstheme="minorHAnsi"/>
          <w:color w:val="222222"/>
          <w:sz w:val="24"/>
          <w:szCs w:val="24"/>
          <w:shd w:val="clear" w:color="auto" w:fill="FFFFFF"/>
        </w:rPr>
        <w:t>(10), p.e003509.</w:t>
      </w:r>
    </w:p>
    <w:p w14:paraId="44610F04" w14:textId="4409B380" w:rsidR="00F10F54" w:rsidRPr="00AE11E9" w:rsidRDefault="009E15C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lastRenderedPageBreak/>
        <w:t>MDB (</w:t>
      </w:r>
      <w:r w:rsidR="00F10F54" w:rsidRPr="00AE11E9">
        <w:rPr>
          <w:rFonts w:cstheme="minorHAnsi"/>
          <w:color w:val="222222"/>
          <w:sz w:val="24"/>
          <w:szCs w:val="24"/>
          <w:shd w:val="clear" w:color="auto" w:fill="FFFFFF"/>
        </w:rPr>
        <w:t>European detailed mortality database</w:t>
      </w:r>
      <w:r w:rsidRPr="00AE11E9">
        <w:rPr>
          <w:rFonts w:cstheme="minorHAnsi"/>
          <w:color w:val="222222"/>
          <w:sz w:val="24"/>
          <w:szCs w:val="24"/>
          <w:shd w:val="clear" w:color="auto" w:fill="FFFFFF"/>
        </w:rPr>
        <w:t>)</w:t>
      </w:r>
      <w:r w:rsidR="00F10F54" w:rsidRPr="00AE11E9">
        <w:rPr>
          <w:rFonts w:cstheme="minorHAnsi"/>
          <w:color w:val="222222"/>
          <w:sz w:val="24"/>
          <w:szCs w:val="24"/>
          <w:shd w:val="clear" w:color="auto" w:fill="FFFFFF"/>
        </w:rPr>
        <w:t xml:space="preserve"> [online database]. Copenhagen: WHO Regional Office for Europe; 2017 (http:// data.euro.who.int/</w:t>
      </w:r>
      <w:proofErr w:type="spellStart"/>
      <w:r w:rsidR="00F10F54" w:rsidRPr="00AE11E9">
        <w:rPr>
          <w:rFonts w:cstheme="minorHAnsi"/>
          <w:color w:val="222222"/>
          <w:sz w:val="24"/>
          <w:szCs w:val="24"/>
          <w:shd w:val="clear" w:color="auto" w:fill="FFFFFF"/>
        </w:rPr>
        <w:t>dmdb</w:t>
      </w:r>
      <w:proofErr w:type="spellEnd"/>
      <w:r w:rsidR="00F10F54" w:rsidRPr="00AE11E9">
        <w:rPr>
          <w:rFonts w:cstheme="minorHAnsi"/>
          <w:color w:val="222222"/>
          <w:sz w:val="24"/>
          <w:szCs w:val="24"/>
          <w:shd w:val="clear" w:color="auto" w:fill="FFFFFF"/>
        </w:rPr>
        <w:t>, accessed 18 October 2017).</w:t>
      </w:r>
    </w:p>
    <w:p w14:paraId="5655A96F" w14:textId="77777777" w:rsidR="00AE11E9" w:rsidRPr="00AE11E9" w:rsidRDefault="00AE11E9"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OECD (2012), Mortality Risk Valuation in Environment, Health and Transport Policies, OECD Publishing, Paris, </w:t>
      </w:r>
      <w:hyperlink r:id="rId10" w:history="1">
        <w:r w:rsidRPr="00AE11E9">
          <w:rPr>
            <w:rFonts w:cstheme="minorHAnsi"/>
            <w:color w:val="222222"/>
            <w:sz w:val="24"/>
            <w:szCs w:val="24"/>
            <w:shd w:val="clear" w:color="auto" w:fill="FFFFFF"/>
          </w:rPr>
          <w:t>https://doi.org/10.1787/9789264130807-en</w:t>
        </w:r>
      </w:hyperlink>
      <w:r w:rsidRPr="00AE11E9">
        <w:rPr>
          <w:rFonts w:cstheme="minorHAnsi"/>
          <w:color w:val="222222"/>
          <w:sz w:val="24"/>
          <w:szCs w:val="24"/>
          <w:shd w:val="clear" w:color="auto" w:fill="FFFFFF"/>
        </w:rPr>
        <w:t>.</w:t>
      </w:r>
    </w:p>
    <w:p w14:paraId="5A89F0C8" w14:textId="5FE73149" w:rsidR="003B57A8" w:rsidRPr="00AE11E9" w:rsidRDefault="003B57A8"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Viscusi</w:t>
      </w:r>
      <w:proofErr w:type="spellEnd"/>
      <w:r w:rsidRPr="00AE11E9">
        <w:rPr>
          <w:rFonts w:cstheme="minorHAnsi"/>
          <w:color w:val="222222"/>
          <w:sz w:val="24"/>
          <w:szCs w:val="24"/>
          <w:shd w:val="clear" w:color="auto" w:fill="FFFFFF"/>
        </w:rPr>
        <w:t xml:space="preserve">, W.K. and </w:t>
      </w:r>
      <w:proofErr w:type="spellStart"/>
      <w:r w:rsidRPr="00AE11E9">
        <w:rPr>
          <w:rFonts w:cstheme="minorHAnsi"/>
          <w:color w:val="222222"/>
          <w:sz w:val="24"/>
          <w:szCs w:val="24"/>
          <w:shd w:val="clear" w:color="auto" w:fill="FFFFFF"/>
        </w:rPr>
        <w:t>Aldy</w:t>
      </w:r>
      <w:proofErr w:type="spellEnd"/>
      <w:r w:rsidRPr="00AE11E9">
        <w:rPr>
          <w:rFonts w:cstheme="minorHAnsi"/>
          <w:color w:val="222222"/>
          <w:sz w:val="24"/>
          <w:szCs w:val="24"/>
          <w:shd w:val="clear" w:color="auto" w:fill="FFFFFF"/>
        </w:rPr>
        <w:t>, J.E., 2003. The value of a statistical life: a critical review of market estimates throughout the world. </w:t>
      </w:r>
      <w:r w:rsidRPr="00AE11E9">
        <w:rPr>
          <w:rFonts w:cstheme="minorHAnsi"/>
          <w:i/>
          <w:iCs/>
          <w:color w:val="222222"/>
          <w:sz w:val="24"/>
          <w:szCs w:val="24"/>
          <w:shd w:val="clear" w:color="auto" w:fill="FFFFFF"/>
        </w:rPr>
        <w:t>Journal of risk and uncertainty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27</w:t>
      </w:r>
      <w:r w:rsidRPr="00AE11E9">
        <w:rPr>
          <w:rFonts w:cstheme="minorHAnsi"/>
          <w:color w:val="222222"/>
          <w:sz w:val="24"/>
          <w:szCs w:val="24"/>
          <w:shd w:val="clear" w:color="auto" w:fill="FFFFFF"/>
        </w:rPr>
        <w:t>(1), pp.5-76.</w:t>
      </w:r>
    </w:p>
    <w:p w14:paraId="0A725C4A" w14:textId="45D8F214" w:rsidR="00E84456" w:rsidRPr="00AE11E9" w:rsidRDefault="00E8445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World Health Organization, 2014. Health in all policies: Helsinki statement. Framework for country action.</w:t>
      </w:r>
    </w:p>
    <w:p w14:paraId="5296A574" w14:textId="3B5A84D1" w:rsidR="00C92ED4" w:rsidRPr="00AE11E9" w:rsidRDefault="009C6A4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Woodcock, J., Franco, O.H., Orsini, N. and Roberts, I., 2010. Non-vigorous physical activity and all-cause mortality: systematic review and meta-analysis of cohort studies. </w:t>
      </w:r>
      <w:r w:rsidRPr="00AE11E9">
        <w:rPr>
          <w:rFonts w:cstheme="minorHAnsi"/>
          <w:i/>
          <w:iCs/>
          <w:color w:val="222222"/>
          <w:sz w:val="24"/>
          <w:szCs w:val="24"/>
          <w:shd w:val="clear" w:color="auto" w:fill="FFFFFF"/>
        </w:rPr>
        <w:t>International journal of epidemiology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40</w:t>
      </w:r>
      <w:r w:rsidRPr="00AE11E9">
        <w:rPr>
          <w:rFonts w:cstheme="minorHAnsi"/>
          <w:color w:val="222222"/>
          <w:sz w:val="24"/>
          <w:szCs w:val="24"/>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bookmarkStart w:id="0" w:name="_GoBack"/>
      <w:r>
        <w:rPr>
          <w:lang w:val="en-US"/>
        </w:rPr>
        <w:lastRenderedPageBreak/>
        <w:t>Appendi</w:t>
      </w:r>
      <w:r w:rsidR="00BE3AFA">
        <w:rPr>
          <w:lang w:val="en-US"/>
        </w:rPr>
        <w:t>ces</w:t>
      </w:r>
    </w:p>
    <w:p w14:paraId="0C523D3C" w14:textId="545FC67D" w:rsidR="00BE3AFA" w:rsidRDefault="00BE3AFA" w:rsidP="00BE3AFA">
      <w:pPr>
        <w:rPr>
          <w:lang w:val="en-US"/>
        </w:rPr>
      </w:pPr>
    </w:p>
    <w:p w14:paraId="51310CA5" w14:textId="479A559B" w:rsidR="00503360" w:rsidRPr="00F64858" w:rsidRDefault="00F64858" w:rsidP="0094229B">
      <w:pPr>
        <w:rPr>
          <w:lang w:val="en-US"/>
        </w:rPr>
      </w:pPr>
      <w:r>
        <w:rPr>
          <w:lang w:val="en-US"/>
        </w:rPr>
        <w:t xml:space="preserve">Figure A1. </w:t>
      </w:r>
      <w:r w:rsidR="00503360">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66CB7C33">
            <wp:extent cx="4561205" cy="3260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62"/>
                    <a:stretch/>
                  </pic:blipFill>
                  <pic:spPr bwMode="auto">
                    <a:xfrm>
                      <a:off x="0" y="0"/>
                      <a:ext cx="4566101" cy="3263572"/>
                    </a:xfrm>
                    <a:prstGeom prst="rect">
                      <a:avLst/>
                    </a:prstGeom>
                    <a:ln>
                      <a:noFill/>
                    </a:ln>
                    <a:extLst>
                      <a:ext uri="{53640926-AAD7-44D8-BBD7-CCE9431645EC}">
                        <a14:shadowObscured xmlns:a14="http://schemas.microsoft.com/office/drawing/2010/main"/>
                      </a:ext>
                    </a:extLst>
                  </pic:spPr>
                </pic:pic>
              </a:graphicData>
            </a:graphic>
          </wp:inline>
        </w:drawing>
      </w:r>
    </w:p>
    <w:p w14:paraId="7415E7EE" w14:textId="77777777" w:rsidR="00503360" w:rsidRDefault="00503360" w:rsidP="0094229B">
      <w:pPr>
        <w:rPr>
          <w:noProof/>
        </w:rPr>
      </w:pPr>
    </w:p>
    <w:bookmarkEnd w:id="0"/>
    <w:p w14:paraId="48D4A007" w14:textId="1F4BC995" w:rsidR="00B5026A" w:rsidRPr="0047038A" w:rsidRDefault="00E91B77" w:rsidP="0047038A">
      <w:pPr>
        <w:rPr>
          <w:noProof/>
        </w:rPr>
      </w:pPr>
      <w:r>
        <w:rPr>
          <w:noProof/>
        </w:rPr>
        <w:br w:type="page"/>
      </w:r>
    </w:p>
    <w:p w14:paraId="5A1A26F3" w14:textId="068F76FE"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3"/>
        <w:gridCol w:w="1560"/>
        <w:gridCol w:w="1274"/>
        <w:gridCol w:w="1495"/>
        <w:gridCol w:w="1291"/>
        <w:gridCol w:w="46"/>
      </w:tblGrid>
      <w:tr w:rsidR="00F64858" w:rsidRPr="00F00F43" w14:paraId="321E2F69" w14:textId="77777777" w:rsidTr="00F64858">
        <w:trPr>
          <w:gridAfter w:val="1"/>
          <w:wAfter w:w="25" w:type="pct"/>
          <w:trHeight w:val="113"/>
        </w:trPr>
        <w:tc>
          <w:tcPr>
            <w:tcW w:w="714" w:type="pct"/>
            <w:tcBorders>
              <w:top w:val="nil"/>
              <w:left w:val="nil"/>
              <w:bottom w:val="nil"/>
              <w:right w:val="nil"/>
            </w:tcBorders>
            <w:shd w:val="clear" w:color="auto" w:fill="auto"/>
            <w:noWrap/>
            <w:vAlign w:val="center"/>
          </w:tcPr>
          <w:p w14:paraId="50CF08B4" w14:textId="35CF4F88"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7" w:type="pct"/>
            <w:tcBorders>
              <w:top w:val="nil"/>
              <w:left w:val="nil"/>
              <w:bottom w:val="nil"/>
              <w:right w:val="nil"/>
            </w:tcBorders>
            <w:shd w:val="clear" w:color="auto" w:fill="auto"/>
            <w:noWrap/>
            <w:vAlign w:val="center"/>
          </w:tcPr>
          <w:p w14:paraId="422EF446" w14:textId="77777777" w:rsidR="00F64858"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w:t>
            </w:r>
          </w:p>
          <w:p w14:paraId="239CCBE5" w14:textId="1790887D" w:rsidR="00F64858" w:rsidRPr="00F00F43" w:rsidRDefault="00F64858" w:rsidP="00E91B77">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w:t>
            </w:r>
            <w:r w:rsidRPr="00F00F43">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3034" w:type="pct"/>
            <w:gridSpan w:val="4"/>
            <w:tcBorders>
              <w:top w:val="nil"/>
              <w:left w:val="nil"/>
              <w:bottom w:val="nil"/>
              <w:right w:val="nil"/>
            </w:tcBorders>
          </w:tcPr>
          <w:p w14:paraId="253D0CBB" w14:textId="69C58FFE"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Monetary Benefit USD (2016)</w:t>
            </w:r>
          </w:p>
        </w:tc>
      </w:tr>
      <w:tr w:rsidR="00A940FE" w:rsidRPr="00F00F43" w14:paraId="6866F6F0" w14:textId="77777777" w:rsidTr="00F64858">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ISO3 Code</w:t>
            </w:r>
          </w:p>
        </w:tc>
        <w:tc>
          <w:tcPr>
            <w:tcW w:w="1227"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2"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8"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2" w:type="pct"/>
            <w:gridSpan w:val="2"/>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tr w:rsidR="00A940FE" w:rsidRPr="00F00F43" w14:paraId="55D8482E" w14:textId="77777777" w:rsidTr="00F64858">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7"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2"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8"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2" w:type="pct"/>
            <w:gridSpan w:val="2"/>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F64858">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7"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2"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8"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2" w:type="pct"/>
            <w:gridSpan w:val="2"/>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F64858">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7"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2"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8"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2" w:type="pct"/>
            <w:gridSpan w:val="2"/>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F64858">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7"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2"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8"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2" w:type="pct"/>
            <w:gridSpan w:val="2"/>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F64858">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7"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2"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8"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2" w:type="pct"/>
            <w:gridSpan w:val="2"/>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F64858">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7"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2"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8"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2" w:type="pct"/>
            <w:gridSpan w:val="2"/>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F64858">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7"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2"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8"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2" w:type="pct"/>
            <w:gridSpan w:val="2"/>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F64858">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7"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2"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8"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2" w:type="pct"/>
            <w:gridSpan w:val="2"/>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F64858">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7"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2"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8"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2" w:type="pct"/>
            <w:gridSpan w:val="2"/>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F64858">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7"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2"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8"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2" w:type="pct"/>
            <w:gridSpan w:val="2"/>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F64858">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7"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2"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8"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2" w:type="pct"/>
            <w:gridSpan w:val="2"/>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F64858">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7"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2"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8"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2" w:type="pct"/>
            <w:gridSpan w:val="2"/>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F64858">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7"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2"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8"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2" w:type="pct"/>
            <w:gridSpan w:val="2"/>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F64858">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7"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2"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8"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2" w:type="pct"/>
            <w:gridSpan w:val="2"/>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F64858">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7"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2"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8"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2" w:type="pct"/>
            <w:gridSpan w:val="2"/>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F64858">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7"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2"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8"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2" w:type="pct"/>
            <w:gridSpan w:val="2"/>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F64858">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7"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2"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8"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2" w:type="pct"/>
            <w:gridSpan w:val="2"/>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F64858">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7"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2"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8"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2" w:type="pct"/>
            <w:gridSpan w:val="2"/>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F64858">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7"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2"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8"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2" w:type="pct"/>
            <w:gridSpan w:val="2"/>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F64858">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7"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2"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8"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2" w:type="pct"/>
            <w:gridSpan w:val="2"/>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F64858">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7"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2"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8"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2" w:type="pct"/>
            <w:gridSpan w:val="2"/>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F64858">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7"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2"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8"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2" w:type="pct"/>
            <w:gridSpan w:val="2"/>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F64858">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7"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2"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8"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2" w:type="pct"/>
            <w:gridSpan w:val="2"/>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F64858">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7"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2"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8"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2" w:type="pct"/>
            <w:gridSpan w:val="2"/>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F64858">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7"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2"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8"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2" w:type="pct"/>
            <w:gridSpan w:val="2"/>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F64858">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7"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2"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2" w:type="pct"/>
            <w:gridSpan w:val="2"/>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F64858">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7"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2"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8"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2" w:type="pct"/>
            <w:gridSpan w:val="2"/>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F64858">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7"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2"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8"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2" w:type="pct"/>
            <w:gridSpan w:val="2"/>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F64858">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7"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2"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8"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2" w:type="pct"/>
            <w:gridSpan w:val="2"/>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F64858">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7"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2"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8"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2" w:type="pct"/>
            <w:gridSpan w:val="2"/>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F64858">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7"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2"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8"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2" w:type="pct"/>
            <w:gridSpan w:val="2"/>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F64858">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7"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2"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8"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2" w:type="pct"/>
            <w:gridSpan w:val="2"/>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F64858">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7"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2"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8"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2" w:type="pct"/>
            <w:gridSpan w:val="2"/>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F64858">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7"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2"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8"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2" w:type="pct"/>
            <w:gridSpan w:val="2"/>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F64858">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7"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2"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8"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2" w:type="pct"/>
            <w:gridSpan w:val="2"/>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F64858">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7"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2"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2" w:type="pct"/>
            <w:gridSpan w:val="2"/>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F64858">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7"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2"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8"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2" w:type="pct"/>
            <w:gridSpan w:val="2"/>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F64858">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7"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2"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8"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2" w:type="pct"/>
            <w:gridSpan w:val="2"/>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F64858">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7"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2"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8"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2" w:type="pct"/>
            <w:gridSpan w:val="2"/>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F64858">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7"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2"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8"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2" w:type="pct"/>
            <w:gridSpan w:val="2"/>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F64858">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7"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2"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8"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2" w:type="pct"/>
            <w:gridSpan w:val="2"/>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F64858">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7"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2"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8"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2" w:type="pct"/>
            <w:gridSpan w:val="2"/>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F64858">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7"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2"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8"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2" w:type="pct"/>
            <w:gridSpan w:val="2"/>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F64858">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7"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2"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8"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2" w:type="pct"/>
            <w:gridSpan w:val="2"/>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center"/>
          </w:tcPr>
          <w:p w14:paraId="52D31DA3" w14:textId="4BEA3E9D"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434" w:type="dxa"/>
            <w:tcBorders>
              <w:top w:val="nil"/>
              <w:left w:val="nil"/>
              <w:bottom w:val="nil"/>
              <w:right w:val="nil"/>
            </w:tcBorders>
            <w:shd w:val="clear" w:color="auto" w:fill="auto"/>
            <w:noWrap/>
            <w:vAlign w:val="center"/>
          </w:tcPr>
          <w:p w14:paraId="0824DDFF" w14:textId="75013F6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079" w:type="dxa"/>
            <w:gridSpan w:val="2"/>
            <w:tcBorders>
              <w:top w:val="nil"/>
              <w:left w:val="nil"/>
              <w:bottom w:val="nil"/>
              <w:right w:val="nil"/>
            </w:tcBorders>
            <w:shd w:val="clear" w:color="auto" w:fill="auto"/>
            <w:noWrap/>
            <w:vAlign w:val="center"/>
          </w:tcPr>
          <w:p w14:paraId="07F12D88" w14:textId="752EBBFF" w:rsidR="00E91B77" w:rsidRPr="00F64858" w:rsidRDefault="00F64858"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 per 100,000</w:t>
            </w:r>
          </w:p>
        </w:tc>
        <w:tc>
          <w:tcPr>
            <w:tcW w:w="2079" w:type="dxa"/>
            <w:gridSpan w:val="2"/>
            <w:tcBorders>
              <w:top w:val="nil"/>
              <w:left w:val="nil"/>
              <w:bottom w:val="nil"/>
              <w:right w:val="nil"/>
            </w:tcBorders>
            <w:shd w:val="clear" w:color="auto" w:fill="auto"/>
            <w:noWrap/>
            <w:vAlign w:val="center"/>
          </w:tcPr>
          <w:p w14:paraId="3FB446C3" w14:textId="0610C3EA" w:rsidR="00E91B77" w:rsidRPr="00F64858" w:rsidRDefault="00F64858" w:rsidP="00F64858">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E91B77" w:rsidRPr="00E91B77" w14:paraId="49B167C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bottom"/>
            <w:hideMark/>
          </w:tcPr>
          <w:p w14:paraId="432CFCE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Country</w:t>
            </w:r>
          </w:p>
        </w:tc>
        <w:tc>
          <w:tcPr>
            <w:tcW w:w="1039" w:type="dxa"/>
            <w:tcBorders>
              <w:top w:val="nil"/>
              <w:left w:val="nil"/>
              <w:bottom w:val="nil"/>
              <w:right w:val="nil"/>
            </w:tcBorders>
            <w:shd w:val="clear" w:color="auto" w:fill="auto"/>
            <w:noWrap/>
            <w:vAlign w:val="bottom"/>
            <w:hideMark/>
          </w:tcPr>
          <w:p w14:paraId="0B0F154D" w14:textId="375EBE7B"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DRF</w:t>
            </w:r>
          </w:p>
        </w:tc>
        <w:tc>
          <w:tcPr>
            <w:tcW w:w="1039" w:type="dxa"/>
            <w:tcBorders>
              <w:top w:val="nil"/>
              <w:left w:val="nil"/>
              <w:bottom w:val="nil"/>
              <w:right w:val="nil"/>
            </w:tcBorders>
            <w:shd w:val="clear" w:color="auto" w:fill="auto"/>
            <w:noWrap/>
            <w:vAlign w:val="bottom"/>
            <w:hideMark/>
          </w:tcPr>
          <w:p w14:paraId="5CB0D70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Lin</w:t>
            </w:r>
          </w:p>
        </w:tc>
        <w:tc>
          <w:tcPr>
            <w:tcW w:w="1039" w:type="dxa"/>
            <w:tcBorders>
              <w:top w:val="nil"/>
              <w:left w:val="nil"/>
              <w:bottom w:val="nil"/>
              <w:right w:val="nil"/>
            </w:tcBorders>
            <w:shd w:val="clear" w:color="auto" w:fill="auto"/>
            <w:noWrap/>
            <w:vAlign w:val="bottom"/>
            <w:hideMark/>
          </w:tcPr>
          <w:p w14:paraId="073620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DRF</w:t>
            </w:r>
          </w:p>
        </w:tc>
        <w:tc>
          <w:tcPr>
            <w:tcW w:w="1039" w:type="dxa"/>
            <w:tcBorders>
              <w:top w:val="nil"/>
              <w:left w:val="nil"/>
              <w:bottom w:val="nil"/>
              <w:right w:val="nil"/>
            </w:tcBorders>
            <w:shd w:val="clear" w:color="auto" w:fill="auto"/>
            <w:noWrap/>
            <w:vAlign w:val="bottom"/>
            <w:hideMark/>
          </w:tcPr>
          <w:p w14:paraId="428028F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Lin</w:t>
            </w:r>
          </w:p>
        </w:tc>
      </w:tr>
      <w:tr w:rsidR="00E91B77" w:rsidRPr="00E91B77" w14:paraId="192ECF4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27.73</w:t>
            </w:r>
          </w:p>
        </w:tc>
        <w:tc>
          <w:tcPr>
            <w:tcW w:w="1039" w:type="dxa"/>
            <w:tcBorders>
              <w:top w:val="nil"/>
              <w:left w:val="nil"/>
              <w:bottom w:val="nil"/>
              <w:right w:val="nil"/>
            </w:tcBorders>
            <w:shd w:val="clear" w:color="auto" w:fill="auto"/>
            <w:noWrap/>
            <w:vAlign w:val="bottom"/>
            <w:hideMark/>
          </w:tcPr>
          <w:p w14:paraId="4C0B94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695.3</w:t>
            </w:r>
          </w:p>
        </w:tc>
        <w:tc>
          <w:tcPr>
            <w:tcW w:w="1039" w:type="dxa"/>
            <w:tcBorders>
              <w:top w:val="nil"/>
              <w:left w:val="nil"/>
              <w:bottom w:val="nil"/>
              <w:right w:val="nil"/>
            </w:tcBorders>
            <w:shd w:val="clear" w:color="auto" w:fill="auto"/>
            <w:noWrap/>
            <w:vAlign w:val="bottom"/>
            <w:hideMark/>
          </w:tcPr>
          <w:p w14:paraId="6B5AE5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476.65</w:t>
            </w:r>
          </w:p>
        </w:tc>
      </w:tr>
      <w:tr w:rsidR="00E91B77" w:rsidRPr="00E91B77" w14:paraId="552E665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17.76</w:t>
            </w:r>
          </w:p>
        </w:tc>
        <w:tc>
          <w:tcPr>
            <w:tcW w:w="1039" w:type="dxa"/>
            <w:tcBorders>
              <w:top w:val="nil"/>
              <w:left w:val="nil"/>
              <w:bottom w:val="nil"/>
              <w:right w:val="nil"/>
            </w:tcBorders>
            <w:shd w:val="clear" w:color="auto" w:fill="auto"/>
            <w:noWrap/>
            <w:vAlign w:val="bottom"/>
            <w:hideMark/>
          </w:tcPr>
          <w:p w14:paraId="5C002E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82.05</w:t>
            </w:r>
          </w:p>
        </w:tc>
        <w:tc>
          <w:tcPr>
            <w:tcW w:w="1039" w:type="dxa"/>
            <w:tcBorders>
              <w:top w:val="nil"/>
              <w:left w:val="nil"/>
              <w:bottom w:val="nil"/>
              <w:right w:val="nil"/>
            </w:tcBorders>
            <w:shd w:val="clear" w:color="auto" w:fill="auto"/>
            <w:noWrap/>
            <w:vAlign w:val="bottom"/>
            <w:hideMark/>
          </w:tcPr>
          <w:p w14:paraId="35ECB6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96.44</w:t>
            </w:r>
          </w:p>
        </w:tc>
      </w:tr>
      <w:tr w:rsidR="00E91B77" w:rsidRPr="00E91B77" w14:paraId="42970F7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12.91</w:t>
            </w:r>
          </w:p>
        </w:tc>
        <w:tc>
          <w:tcPr>
            <w:tcW w:w="1039" w:type="dxa"/>
            <w:tcBorders>
              <w:top w:val="nil"/>
              <w:left w:val="nil"/>
              <w:bottom w:val="nil"/>
              <w:right w:val="nil"/>
            </w:tcBorders>
            <w:shd w:val="clear" w:color="auto" w:fill="auto"/>
            <w:noWrap/>
            <w:vAlign w:val="bottom"/>
            <w:hideMark/>
          </w:tcPr>
          <w:p w14:paraId="3B5896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484.92</w:t>
            </w:r>
          </w:p>
        </w:tc>
        <w:tc>
          <w:tcPr>
            <w:tcW w:w="1039" w:type="dxa"/>
            <w:tcBorders>
              <w:top w:val="nil"/>
              <w:left w:val="nil"/>
              <w:bottom w:val="nil"/>
              <w:right w:val="nil"/>
            </w:tcBorders>
            <w:shd w:val="clear" w:color="auto" w:fill="auto"/>
            <w:noWrap/>
            <w:vAlign w:val="bottom"/>
            <w:hideMark/>
          </w:tcPr>
          <w:p w14:paraId="2915C0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427.13</w:t>
            </w:r>
          </w:p>
        </w:tc>
      </w:tr>
      <w:tr w:rsidR="00E91B77" w:rsidRPr="00E91B77" w14:paraId="6C7715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16.78</w:t>
            </w:r>
          </w:p>
        </w:tc>
        <w:tc>
          <w:tcPr>
            <w:tcW w:w="1039" w:type="dxa"/>
            <w:tcBorders>
              <w:top w:val="nil"/>
              <w:left w:val="nil"/>
              <w:bottom w:val="nil"/>
              <w:right w:val="nil"/>
            </w:tcBorders>
            <w:shd w:val="clear" w:color="auto" w:fill="auto"/>
            <w:noWrap/>
            <w:vAlign w:val="bottom"/>
            <w:hideMark/>
          </w:tcPr>
          <w:p w14:paraId="31467B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130.45</w:t>
            </w:r>
          </w:p>
        </w:tc>
        <w:tc>
          <w:tcPr>
            <w:tcW w:w="1039" w:type="dxa"/>
            <w:tcBorders>
              <w:top w:val="nil"/>
              <w:left w:val="nil"/>
              <w:bottom w:val="nil"/>
              <w:right w:val="nil"/>
            </w:tcBorders>
            <w:shd w:val="clear" w:color="auto" w:fill="auto"/>
            <w:noWrap/>
            <w:vAlign w:val="bottom"/>
            <w:hideMark/>
          </w:tcPr>
          <w:p w14:paraId="43C15F7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250.45</w:t>
            </w:r>
          </w:p>
        </w:tc>
      </w:tr>
      <w:tr w:rsidR="00E91B77" w:rsidRPr="00E91B77" w14:paraId="5ACD79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17.04</w:t>
            </w:r>
          </w:p>
        </w:tc>
        <w:tc>
          <w:tcPr>
            <w:tcW w:w="1039" w:type="dxa"/>
            <w:tcBorders>
              <w:top w:val="nil"/>
              <w:left w:val="nil"/>
              <w:bottom w:val="nil"/>
              <w:right w:val="nil"/>
            </w:tcBorders>
            <w:shd w:val="clear" w:color="auto" w:fill="auto"/>
            <w:noWrap/>
            <w:vAlign w:val="bottom"/>
            <w:hideMark/>
          </w:tcPr>
          <w:p w14:paraId="21E40F3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607.64</w:t>
            </w:r>
          </w:p>
        </w:tc>
        <w:tc>
          <w:tcPr>
            <w:tcW w:w="1039" w:type="dxa"/>
            <w:tcBorders>
              <w:top w:val="nil"/>
              <w:left w:val="nil"/>
              <w:bottom w:val="nil"/>
              <w:right w:val="nil"/>
            </w:tcBorders>
            <w:shd w:val="clear" w:color="auto" w:fill="auto"/>
            <w:noWrap/>
            <w:vAlign w:val="bottom"/>
            <w:hideMark/>
          </w:tcPr>
          <w:p w14:paraId="4E9C3C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449.27</w:t>
            </w:r>
          </w:p>
        </w:tc>
      </w:tr>
      <w:tr w:rsidR="00E91B77" w:rsidRPr="00E91B77" w14:paraId="71F6B40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16.02</w:t>
            </w:r>
          </w:p>
        </w:tc>
        <w:tc>
          <w:tcPr>
            <w:tcW w:w="1039" w:type="dxa"/>
            <w:tcBorders>
              <w:top w:val="nil"/>
              <w:left w:val="nil"/>
              <w:bottom w:val="nil"/>
              <w:right w:val="nil"/>
            </w:tcBorders>
            <w:shd w:val="clear" w:color="auto" w:fill="auto"/>
            <w:noWrap/>
            <w:vAlign w:val="bottom"/>
            <w:hideMark/>
          </w:tcPr>
          <w:p w14:paraId="2B28121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77.67</w:t>
            </w:r>
          </w:p>
        </w:tc>
        <w:tc>
          <w:tcPr>
            <w:tcW w:w="1039" w:type="dxa"/>
            <w:tcBorders>
              <w:top w:val="nil"/>
              <w:left w:val="nil"/>
              <w:bottom w:val="nil"/>
              <w:right w:val="nil"/>
            </w:tcBorders>
            <w:shd w:val="clear" w:color="auto" w:fill="auto"/>
            <w:noWrap/>
            <w:vAlign w:val="bottom"/>
            <w:hideMark/>
          </w:tcPr>
          <w:p w14:paraId="52B4824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80.93</w:t>
            </w:r>
          </w:p>
        </w:tc>
      </w:tr>
      <w:tr w:rsidR="00E91B77" w:rsidRPr="00E91B77" w14:paraId="2FE9825B"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31.72</w:t>
            </w:r>
          </w:p>
        </w:tc>
        <w:tc>
          <w:tcPr>
            <w:tcW w:w="1039" w:type="dxa"/>
            <w:tcBorders>
              <w:top w:val="nil"/>
              <w:left w:val="nil"/>
              <w:bottom w:val="nil"/>
              <w:right w:val="nil"/>
            </w:tcBorders>
            <w:shd w:val="clear" w:color="auto" w:fill="auto"/>
            <w:noWrap/>
            <w:vAlign w:val="bottom"/>
            <w:hideMark/>
          </w:tcPr>
          <w:p w14:paraId="732CC2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224.29</w:t>
            </w:r>
          </w:p>
        </w:tc>
        <w:tc>
          <w:tcPr>
            <w:tcW w:w="1039" w:type="dxa"/>
            <w:tcBorders>
              <w:top w:val="nil"/>
              <w:left w:val="nil"/>
              <w:bottom w:val="nil"/>
              <w:right w:val="nil"/>
            </w:tcBorders>
            <w:shd w:val="clear" w:color="auto" w:fill="auto"/>
            <w:noWrap/>
            <w:vAlign w:val="bottom"/>
            <w:hideMark/>
          </w:tcPr>
          <w:p w14:paraId="1D4D0C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153.09</w:t>
            </w:r>
          </w:p>
        </w:tc>
      </w:tr>
      <w:tr w:rsidR="00E91B77" w:rsidRPr="00E91B77" w14:paraId="44771D9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19.49</w:t>
            </w:r>
          </w:p>
        </w:tc>
        <w:tc>
          <w:tcPr>
            <w:tcW w:w="1039" w:type="dxa"/>
            <w:tcBorders>
              <w:top w:val="nil"/>
              <w:left w:val="nil"/>
              <w:bottom w:val="nil"/>
              <w:right w:val="nil"/>
            </w:tcBorders>
            <w:shd w:val="clear" w:color="auto" w:fill="auto"/>
            <w:noWrap/>
            <w:vAlign w:val="bottom"/>
            <w:hideMark/>
          </w:tcPr>
          <w:p w14:paraId="3FBA329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230.45</w:t>
            </w:r>
          </w:p>
        </w:tc>
        <w:tc>
          <w:tcPr>
            <w:tcW w:w="1039" w:type="dxa"/>
            <w:tcBorders>
              <w:top w:val="nil"/>
              <w:left w:val="nil"/>
              <w:bottom w:val="nil"/>
              <w:right w:val="nil"/>
            </w:tcBorders>
            <w:shd w:val="clear" w:color="auto" w:fill="auto"/>
            <w:noWrap/>
            <w:vAlign w:val="bottom"/>
            <w:hideMark/>
          </w:tcPr>
          <w:p w14:paraId="172012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195.38</w:t>
            </w:r>
          </w:p>
        </w:tc>
      </w:tr>
      <w:tr w:rsidR="00E91B77" w:rsidRPr="00E91B77" w14:paraId="088D3082"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14.65</w:t>
            </w:r>
          </w:p>
        </w:tc>
        <w:tc>
          <w:tcPr>
            <w:tcW w:w="1039" w:type="dxa"/>
            <w:tcBorders>
              <w:top w:val="nil"/>
              <w:left w:val="nil"/>
              <w:bottom w:val="nil"/>
              <w:right w:val="nil"/>
            </w:tcBorders>
            <w:shd w:val="clear" w:color="auto" w:fill="auto"/>
            <w:noWrap/>
            <w:vAlign w:val="bottom"/>
            <w:hideMark/>
          </w:tcPr>
          <w:p w14:paraId="0E9ED6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314.09</w:t>
            </w:r>
          </w:p>
        </w:tc>
        <w:tc>
          <w:tcPr>
            <w:tcW w:w="1039" w:type="dxa"/>
            <w:tcBorders>
              <w:top w:val="nil"/>
              <w:left w:val="nil"/>
              <w:bottom w:val="nil"/>
              <w:right w:val="nil"/>
            </w:tcBorders>
            <w:shd w:val="clear" w:color="auto" w:fill="auto"/>
            <w:noWrap/>
            <w:vAlign w:val="bottom"/>
            <w:hideMark/>
          </w:tcPr>
          <w:p w14:paraId="7AA0DEB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185.65</w:t>
            </w:r>
          </w:p>
        </w:tc>
      </w:tr>
      <w:tr w:rsidR="00E91B77" w:rsidRPr="00E91B77" w14:paraId="2A770BF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w:t>
            </w:r>
          </w:p>
        </w:tc>
        <w:tc>
          <w:tcPr>
            <w:tcW w:w="1039" w:type="dxa"/>
            <w:tcBorders>
              <w:top w:val="nil"/>
              <w:left w:val="nil"/>
              <w:bottom w:val="nil"/>
              <w:right w:val="nil"/>
            </w:tcBorders>
            <w:shd w:val="clear" w:color="auto" w:fill="auto"/>
            <w:noWrap/>
            <w:vAlign w:val="bottom"/>
            <w:hideMark/>
          </w:tcPr>
          <w:p w14:paraId="193DAC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320.9</w:t>
            </w:r>
          </w:p>
        </w:tc>
        <w:tc>
          <w:tcPr>
            <w:tcW w:w="1039" w:type="dxa"/>
            <w:tcBorders>
              <w:top w:val="nil"/>
              <w:left w:val="nil"/>
              <w:bottom w:val="nil"/>
              <w:right w:val="nil"/>
            </w:tcBorders>
            <w:shd w:val="clear" w:color="auto" w:fill="auto"/>
            <w:noWrap/>
            <w:vAlign w:val="bottom"/>
            <w:hideMark/>
          </w:tcPr>
          <w:p w14:paraId="0A4F97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272.06</w:t>
            </w:r>
          </w:p>
        </w:tc>
      </w:tr>
      <w:tr w:rsidR="00E91B77" w:rsidRPr="00E91B77" w14:paraId="0737702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13.52</w:t>
            </w:r>
          </w:p>
        </w:tc>
        <w:tc>
          <w:tcPr>
            <w:tcW w:w="1039" w:type="dxa"/>
            <w:tcBorders>
              <w:top w:val="nil"/>
              <w:left w:val="nil"/>
              <w:bottom w:val="nil"/>
              <w:right w:val="nil"/>
            </w:tcBorders>
            <w:shd w:val="clear" w:color="auto" w:fill="auto"/>
            <w:noWrap/>
            <w:vAlign w:val="bottom"/>
            <w:hideMark/>
          </w:tcPr>
          <w:p w14:paraId="78AFD6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614.44</w:t>
            </w:r>
          </w:p>
        </w:tc>
        <w:tc>
          <w:tcPr>
            <w:tcW w:w="1039" w:type="dxa"/>
            <w:tcBorders>
              <w:top w:val="nil"/>
              <w:left w:val="nil"/>
              <w:bottom w:val="nil"/>
              <w:right w:val="nil"/>
            </w:tcBorders>
            <w:shd w:val="clear" w:color="auto" w:fill="auto"/>
            <w:noWrap/>
            <w:vAlign w:val="bottom"/>
            <w:hideMark/>
          </w:tcPr>
          <w:p w14:paraId="7FEB76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572.26</w:t>
            </w:r>
          </w:p>
        </w:tc>
      </w:tr>
      <w:tr w:rsidR="00E91B77" w:rsidRPr="00E91B77" w14:paraId="443F006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23.44</w:t>
            </w:r>
          </w:p>
        </w:tc>
        <w:tc>
          <w:tcPr>
            <w:tcW w:w="1039" w:type="dxa"/>
            <w:tcBorders>
              <w:top w:val="nil"/>
              <w:left w:val="nil"/>
              <w:bottom w:val="nil"/>
              <w:right w:val="nil"/>
            </w:tcBorders>
            <w:shd w:val="clear" w:color="auto" w:fill="auto"/>
            <w:noWrap/>
            <w:vAlign w:val="bottom"/>
            <w:hideMark/>
          </w:tcPr>
          <w:p w14:paraId="3CA429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351.64</w:t>
            </w:r>
          </w:p>
        </w:tc>
        <w:tc>
          <w:tcPr>
            <w:tcW w:w="1039" w:type="dxa"/>
            <w:tcBorders>
              <w:top w:val="nil"/>
              <w:left w:val="nil"/>
              <w:bottom w:val="nil"/>
              <w:right w:val="nil"/>
            </w:tcBorders>
            <w:shd w:val="clear" w:color="auto" w:fill="auto"/>
            <w:noWrap/>
            <w:vAlign w:val="bottom"/>
            <w:hideMark/>
          </w:tcPr>
          <w:p w14:paraId="1D0AD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290.96</w:t>
            </w:r>
          </w:p>
        </w:tc>
      </w:tr>
      <w:tr w:rsidR="00E91B77" w:rsidRPr="00E91B77" w14:paraId="783DA13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7.39</w:t>
            </w:r>
          </w:p>
        </w:tc>
        <w:tc>
          <w:tcPr>
            <w:tcW w:w="1039" w:type="dxa"/>
            <w:tcBorders>
              <w:top w:val="nil"/>
              <w:left w:val="nil"/>
              <w:bottom w:val="nil"/>
              <w:right w:val="nil"/>
            </w:tcBorders>
            <w:shd w:val="clear" w:color="auto" w:fill="auto"/>
            <w:noWrap/>
            <w:vAlign w:val="bottom"/>
            <w:hideMark/>
          </w:tcPr>
          <w:p w14:paraId="2D48CC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267.48</w:t>
            </w:r>
          </w:p>
        </w:tc>
        <w:tc>
          <w:tcPr>
            <w:tcW w:w="1039" w:type="dxa"/>
            <w:tcBorders>
              <w:top w:val="nil"/>
              <w:left w:val="nil"/>
              <w:bottom w:val="nil"/>
              <w:right w:val="nil"/>
            </w:tcBorders>
            <w:shd w:val="clear" w:color="auto" w:fill="auto"/>
            <w:noWrap/>
            <w:vAlign w:val="bottom"/>
            <w:hideMark/>
          </w:tcPr>
          <w:p w14:paraId="55B0BC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436.98</w:t>
            </w:r>
          </w:p>
        </w:tc>
      </w:tr>
      <w:tr w:rsidR="00E91B77" w:rsidRPr="00E91B77" w14:paraId="662779F3"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12.69</w:t>
            </w:r>
          </w:p>
        </w:tc>
        <w:tc>
          <w:tcPr>
            <w:tcW w:w="1039" w:type="dxa"/>
            <w:tcBorders>
              <w:top w:val="nil"/>
              <w:left w:val="nil"/>
              <w:bottom w:val="nil"/>
              <w:right w:val="nil"/>
            </w:tcBorders>
            <w:shd w:val="clear" w:color="auto" w:fill="auto"/>
            <w:noWrap/>
            <w:vAlign w:val="bottom"/>
            <w:hideMark/>
          </w:tcPr>
          <w:p w14:paraId="5DA5D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407.69</w:t>
            </w:r>
          </w:p>
        </w:tc>
        <w:tc>
          <w:tcPr>
            <w:tcW w:w="1039" w:type="dxa"/>
            <w:tcBorders>
              <w:top w:val="nil"/>
              <w:left w:val="nil"/>
              <w:bottom w:val="nil"/>
              <w:right w:val="nil"/>
            </w:tcBorders>
            <w:shd w:val="clear" w:color="auto" w:fill="auto"/>
            <w:noWrap/>
            <w:vAlign w:val="bottom"/>
            <w:hideMark/>
          </w:tcPr>
          <w:p w14:paraId="777F352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367.05</w:t>
            </w:r>
          </w:p>
        </w:tc>
      </w:tr>
      <w:tr w:rsidR="00E91B77" w:rsidRPr="00E91B77" w14:paraId="2F72CA1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14.22</w:t>
            </w:r>
          </w:p>
        </w:tc>
        <w:tc>
          <w:tcPr>
            <w:tcW w:w="1039" w:type="dxa"/>
            <w:tcBorders>
              <w:top w:val="nil"/>
              <w:left w:val="nil"/>
              <w:bottom w:val="nil"/>
              <w:right w:val="nil"/>
            </w:tcBorders>
            <w:shd w:val="clear" w:color="auto" w:fill="auto"/>
            <w:noWrap/>
            <w:vAlign w:val="bottom"/>
            <w:hideMark/>
          </w:tcPr>
          <w:p w14:paraId="0EABF8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60.48</w:t>
            </w:r>
          </w:p>
        </w:tc>
        <w:tc>
          <w:tcPr>
            <w:tcW w:w="1039" w:type="dxa"/>
            <w:tcBorders>
              <w:top w:val="nil"/>
              <w:left w:val="nil"/>
              <w:bottom w:val="nil"/>
              <w:right w:val="nil"/>
            </w:tcBorders>
            <w:shd w:val="clear" w:color="auto" w:fill="auto"/>
            <w:noWrap/>
            <w:vAlign w:val="bottom"/>
            <w:hideMark/>
          </w:tcPr>
          <w:p w14:paraId="27B3954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90.4</w:t>
            </w:r>
          </w:p>
        </w:tc>
      </w:tr>
      <w:tr w:rsidR="00E91B77" w:rsidRPr="00E91B77" w14:paraId="71C6BAE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18.68</w:t>
            </w:r>
          </w:p>
        </w:tc>
        <w:tc>
          <w:tcPr>
            <w:tcW w:w="1039" w:type="dxa"/>
            <w:tcBorders>
              <w:top w:val="nil"/>
              <w:left w:val="nil"/>
              <w:bottom w:val="nil"/>
              <w:right w:val="nil"/>
            </w:tcBorders>
            <w:shd w:val="clear" w:color="auto" w:fill="auto"/>
            <w:noWrap/>
            <w:vAlign w:val="bottom"/>
            <w:hideMark/>
          </w:tcPr>
          <w:p w14:paraId="72C35E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659.26</w:t>
            </w:r>
          </w:p>
        </w:tc>
        <w:tc>
          <w:tcPr>
            <w:tcW w:w="1039" w:type="dxa"/>
            <w:tcBorders>
              <w:top w:val="nil"/>
              <w:left w:val="nil"/>
              <w:bottom w:val="nil"/>
              <w:right w:val="nil"/>
            </w:tcBorders>
            <w:shd w:val="clear" w:color="auto" w:fill="auto"/>
            <w:noWrap/>
            <w:vAlign w:val="bottom"/>
            <w:hideMark/>
          </w:tcPr>
          <w:p w14:paraId="6FCEF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410.99</w:t>
            </w:r>
          </w:p>
        </w:tc>
      </w:tr>
      <w:tr w:rsidR="00E91B77" w:rsidRPr="00E91B77" w14:paraId="48F2392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15.59</w:t>
            </w:r>
          </w:p>
        </w:tc>
        <w:tc>
          <w:tcPr>
            <w:tcW w:w="1039" w:type="dxa"/>
            <w:tcBorders>
              <w:top w:val="nil"/>
              <w:left w:val="nil"/>
              <w:bottom w:val="nil"/>
              <w:right w:val="nil"/>
            </w:tcBorders>
            <w:shd w:val="clear" w:color="auto" w:fill="auto"/>
            <w:noWrap/>
            <w:vAlign w:val="bottom"/>
            <w:hideMark/>
          </w:tcPr>
          <w:p w14:paraId="1195FE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287.8</w:t>
            </w:r>
          </w:p>
        </w:tc>
        <w:tc>
          <w:tcPr>
            <w:tcW w:w="1039" w:type="dxa"/>
            <w:tcBorders>
              <w:top w:val="nil"/>
              <w:left w:val="nil"/>
              <w:bottom w:val="nil"/>
              <w:right w:val="nil"/>
            </w:tcBorders>
            <w:shd w:val="clear" w:color="auto" w:fill="auto"/>
            <w:noWrap/>
            <w:vAlign w:val="bottom"/>
            <w:hideMark/>
          </w:tcPr>
          <w:p w14:paraId="3065B58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200.17</w:t>
            </w:r>
          </w:p>
        </w:tc>
      </w:tr>
      <w:tr w:rsidR="00E91B77" w:rsidRPr="00E91B77" w14:paraId="2D02196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w:t>
            </w:r>
          </w:p>
        </w:tc>
        <w:tc>
          <w:tcPr>
            <w:tcW w:w="1039" w:type="dxa"/>
            <w:tcBorders>
              <w:top w:val="nil"/>
              <w:left w:val="nil"/>
              <w:bottom w:val="nil"/>
              <w:right w:val="nil"/>
            </w:tcBorders>
            <w:shd w:val="clear" w:color="auto" w:fill="auto"/>
            <w:noWrap/>
            <w:vAlign w:val="bottom"/>
            <w:hideMark/>
          </w:tcPr>
          <w:p w14:paraId="79353A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400.93</w:t>
            </w:r>
          </w:p>
        </w:tc>
        <w:tc>
          <w:tcPr>
            <w:tcW w:w="1039" w:type="dxa"/>
            <w:tcBorders>
              <w:top w:val="nil"/>
              <w:left w:val="nil"/>
              <w:bottom w:val="nil"/>
              <w:right w:val="nil"/>
            </w:tcBorders>
            <w:shd w:val="clear" w:color="auto" w:fill="auto"/>
            <w:noWrap/>
            <w:vAlign w:val="bottom"/>
            <w:hideMark/>
          </w:tcPr>
          <w:p w14:paraId="19E97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274.25</w:t>
            </w:r>
          </w:p>
        </w:tc>
      </w:tr>
      <w:tr w:rsidR="00E91B77" w:rsidRPr="00E91B77" w14:paraId="607B54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14.09</w:t>
            </w:r>
          </w:p>
        </w:tc>
        <w:tc>
          <w:tcPr>
            <w:tcW w:w="1039" w:type="dxa"/>
            <w:tcBorders>
              <w:top w:val="nil"/>
              <w:left w:val="nil"/>
              <w:bottom w:val="nil"/>
              <w:right w:val="nil"/>
            </w:tcBorders>
            <w:shd w:val="clear" w:color="auto" w:fill="auto"/>
            <w:noWrap/>
            <w:vAlign w:val="bottom"/>
            <w:hideMark/>
          </w:tcPr>
          <w:p w14:paraId="186BB5C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715.63</w:t>
            </w:r>
          </w:p>
        </w:tc>
        <w:tc>
          <w:tcPr>
            <w:tcW w:w="1039" w:type="dxa"/>
            <w:tcBorders>
              <w:top w:val="nil"/>
              <w:left w:val="nil"/>
              <w:bottom w:val="nil"/>
              <w:right w:val="nil"/>
            </w:tcBorders>
            <w:shd w:val="clear" w:color="auto" w:fill="auto"/>
            <w:noWrap/>
            <w:vAlign w:val="bottom"/>
            <w:hideMark/>
          </w:tcPr>
          <w:p w14:paraId="3816DF2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575.84</w:t>
            </w:r>
          </w:p>
        </w:tc>
      </w:tr>
      <w:tr w:rsidR="00E91B77" w:rsidRPr="00E91B77" w14:paraId="5D45620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15.02</w:t>
            </w:r>
          </w:p>
        </w:tc>
        <w:tc>
          <w:tcPr>
            <w:tcW w:w="1039" w:type="dxa"/>
            <w:tcBorders>
              <w:top w:val="nil"/>
              <w:left w:val="nil"/>
              <w:bottom w:val="nil"/>
              <w:right w:val="nil"/>
            </w:tcBorders>
            <w:shd w:val="clear" w:color="auto" w:fill="auto"/>
            <w:noWrap/>
            <w:vAlign w:val="bottom"/>
            <w:hideMark/>
          </w:tcPr>
          <w:p w14:paraId="3DF1CA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415.87</w:t>
            </w:r>
          </w:p>
        </w:tc>
        <w:tc>
          <w:tcPr>
            <w:tcW w:w="1039" w:type="dxa"/>
            <w:tcBorders>
              <w:top w:val="nil"/>
              <w:left w:val="nil"/>
              <w:bottom w:val="nil"/>
              <w:right w:val="nil"/>
            </w:tcBorders>
            <w:shd w:val="clear" w:color="auto" w:fill="auto"/>
            <w:noWrap/>
            <w:vAlign w:val="bottom"/>
            <w:hideMark/>
          </w:tcPr>
          <w:p w14:paraId="23B476F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263.58</w:t>
            </w:r>
          </w:p>
        </w:tc>
      </w:tr>
      <w:tr w:rsidR="00E91B77" w:rsidRPr="00E91B77" w14:paraId="71E8CE3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32.76</w:t>
            </w:r>
          </w:p>
        </w:tc>
        <w:tc>
          <w:tcPr>
            <w:tcW w:w="1039" w:type="dxa"/>
            <w:tcBorders>
              <w:top w:val="nil"/>
              <w:left w:val="nil"/>
              <w:bottom w:val="nil"/>
              <w:right w:val="nil"/>
            </w:tcBorders>
            <w:shd w:val="clear" w:color="auto" w:fill="auto"/>
            <w:noWrap/>
            <w:vAlign w:val="bottom"/>
            <w:hideMark/>
          </w:tcPr>
          <w:p w14:paraId="26918D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230.22</w:t>
            </w:r>
          </w:p>
        </w:tc>
        <w:tc>
          <w:tcPr>
            <w:tcW w:w="1039" w:type="dxa"/>
            <w:tcBorders>
              <w:top w:val="nil"/>
              <w:left w:val="nil"/>
              <w:bottom w:val="nil"/>
              <w:right w:val="nil"/>
            </w:tcBorders>
            <w:shd w:val="clear" w:color="auto" w:fill="auto"/>
            <w:noWrap/>
            <w:vAlign w:val="bottom"/>
            <w:hideMark/>
          </w:tcPr>
          <w:p w14:paraId="51CAF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220.97</w:t>
            </w:r>
          </w:p>
        </w:tc>
      </w:tr>
      <w:tr w:rsidR="00E91B77" w:rsidRPr="00E91B77" w14:paraId="1F2648E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14.19</w:t>
            </w:r>
          </w:p>
        </w:tc>
        <w:tc>
          <w:tcPr>
            <w:tcW w:w="1039" w:type="dxa"/>
            <w:tcBorders>
              <w:top w:val="nil"/>
              <w:left w:val="nil"/>
              <w:bottom w:val="nil"/>
              <w:right w:val="nil"/>
            </w:tcBorders>
            <w:shd w:val="clear" w:color="auto" w:fill="auto"/>
            <w:noWrap/>
            <w:vAlign w:val="bottom"/>
            <w:hideMark/>
          </w:tcPr>
          <w:p w14:paraId="501C6D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20.32</w:t>
            </w:r>
          </w:p>
        </w:tc>
        <w:tc>
          <w:tcPr>
            <w:tcW w:w="1039" w:type="dxa"/>
            <w:tcBorders>
              <w:top w:val="nil"/>
              <w:left w:val="nil"/>
              <w:bottom w:val="nil"/>
              <w:right w:val="nil"/>
            </w:tcBorders>
            <w:shd w:val="clear" w:color="auto" w:fill="auto"/>
            <w:noWrap/>
            <w:vAlign w:val="bottom"/>
            <w:hideMark/>
          </w:tcPr>
          <w:p w14:paraId="6D9243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39.16</w:t>
            </w:r>
          </w:p>
        </w:tc>
      </w:tr>
      <w:tr w:rsidR="00E91B77" w:rsidRPr="00E91B77" w14:paraId="1D8539F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w:t>
            </w:r>
          </w:p>
        </w:tc>
        <w:tc>
          <w:tcPr>
            <w:tcW w:w="1039" w:type="dxa"/>
            <w:tcBorders>
              <w:top w:val="nil"/>
              <w:left w:val="nil"/>
              <w:bottom w:val="nil"/>
              <w:right w:val="nil"/>
            </w:tcBorders>
            <w:shd w:val="clear" w:color="auto" w:fill="auto"/>
            <w:noWrap/>
            <w:vAlign w:val="bottom"/>
            <w:hideMark/>
          </w:tcPr>
          <w:p w14:paraId="66E37F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346.63</w:t>
            </w:r>
          </w:p>
        </w:tc>
        <w:tc>
          <w:tcPr>
            <w:tcW w:w="1039" w:type="dxa"/>
            <w:tcBorders>
              <w:top w:val="nil"/>
              <w:left w:val="nil"/>
              <w:bottom w:val="nil"/>
              <w:right w:val="nil"/>
            </w:tcBorders>
            <w:shd w:val="clear" w:color="auto" w:fill="auto"/>
            <w:noWrap/>
            <w:vAlign w:val="bottom"/>
            <w:hideMark/>
          </w:tcPr>
          <w:p w14:paraId="790059E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310.37</w:t>
            </w:r>
          </w:p>
        </w:tc>
      </w:tr>
      <w:tr w:rsidR="00E91B77" w:rsidRPr="00E91B77" w14:paraId="2B4C7B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24.33</w:t>
            </w:r>
          </w:p>
        </w:tc>
        <w:tc>
          <w:tcPr>
            <w:tcW w:w="1039" w:type="dxa"/>
            <w:tcBorders>
              <w:top w:val="nil"/>
              <w:left w:val="nil"/>
              <w:bottom w:val="nil"/>
              <w:right w:val="nil"/>
            </w:tcBorders>
            <w:shd w:val="clear" w:color="auto" w:fill="auto"/>
            <w:noWrap/>
            <w:vAlign w:val="bottom"/>
            <w:hideMark/>
          </w:tcPr>
          <w:p w14:paraId="5BEDDEC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327.21</w:t>
            </w:r>
          </w:p>
        </w:tc>
        <w:tc>
          <w:tcPr>
            <w:tcW w:w="1039" w:type="dxa"/>
            <w:tcBorders>
              <w:top w:val="nil"/>
              <w:left w:val="nil"/>
              <w:bottom w:val="nil"/>
              <w:right w:val="nil"/>
            </w:tcBorders>
            <w:shd w:val="clear" w:color="auto" w:fill="auto"/>
            <w:noWrap/>
            <w:vAlign w:val="bottom"/>
            <w:hideMark/>
          </w:tcPr>
          <w:p w14:paraId="2171F1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328.4</w:t>
            </w:r>
          </w:p>
        </w:tc>
      </w:tr>
      <w:tr w:rsidR="00E91B77" w:rsidRPr="00E91B77" w14:paraId="6A68858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10.93</w:t>
            </w:r>
          </w:p>
        </w:tc>
        <w:tc>
          <w:tcPr>
            <w:tcW w:w="1039" w:type="dxa"/>
            <w:tcBorders>
              <w:top w:val="nil"/>
              <w:left w:val="nil"/>
              <w:bottom w:val="nil"/>
              <w:right w:val="nil"/>
            </w:tcBorders>
            <w:shd w:val="clear" w:color="auto" w:fill="auto"/>
            <w:noWrap/>
            <w:vAlign w:val="bottom"/>
            <w:hideMark/>
          </w:tcPr>
          <w:p w14:paraId="7C8032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759.87</w:t>
            </w:r>
          </w:p>
        </w:tc>
        <w:tc>
          <w:tcPr>
            <w:tcW w:w="1039" w:type="dxa"/>
            <w:tcBorders>
              <w:top w:val="nil"/>
              <w:left w:val="nil"/>
              <w:bottom w:val="nil"/>
              <w:right w:val="nil"/>
            </w:tcBorders>
            <w:shd w:val="clear" w:color="auto" w:fill="auto"/>
            <w:noWrap/>
            <w:vAlign w:val="bottom"/>
            <w:hideMark/>
          </w:tcPr>
          <w:p w14:paraId="188CBE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709.88</w:t>
            </w:r>
          </w:p>
        </w:tc>
      </w:tr>
      <w:tr w:rsidR="00E91B77" w:rsidRPr="00E91B77" w14:paraId="0CE1D70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16.67</w:t>
            </w:r>
          </w:p>
        </w:tc>
        <w:tc>
          <w:tcPr>
            <w:tcW w:w="1039" w:type="dxa"/>
            <w:tcBorders>
              <w:top w:val="nil"/>
              <w:left w:val="nil"/>
              <w:bottom w:val="nil"/>
              <w:right w:val="nil"/>
            </w:tcBorders>
            <w:shd w:val="clear" w:color="auto" w:fill="auto"/>
            <w:noWrap/>
            <w:vAlign w:val="bottom"/>
            <w:hideMark/>
          </w:tcPr>
          <w:p w14:paraId="5D95AB3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333.8</w:t>
            </w:r>
          </w:p>
        </w:tc>
        <w:tc>
          <w:tcPr>
            <w:tcW w:w="1039" w:type="dxa"/>
            <w:tcBorders>
              <w:top w:val="nil"/>
              <w:left w:val="nil"/>
              <w:bottom w:val="nil"/>
              <w:right w:val="nil"/>
            </w:tcBorders>
            <w:shd w:val="clear" w:color="auto" w:fill="auto"/>
            <w:noWrap/>
            <w:vAlign w:val="bottom"/>
            <w:hideMark/>
          </w:tcPr>
          <w:p w14:paraId="2E339B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210.32</w:t>
            </w:r>
          </w:p>
        </w:tc>
      </w:tr>
      <w:tr w:rsidR="00E91B77" w:rsidRPr="00E91B77" w14:paraId="3A0CB1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12.46</w:t>
            </w:r>
          </w:p>
        </w:tc>
        <w:tc>
          <w:tcPr>
            <w:tcW w:w="1039" w:type="dxa"/>
            <w:tcBorders>
              <w:top w:val="nil"/>
              <w:left w:val="nil"/>
              <w:bottom w:val="nil"/>
              <w:right w:val="nil"/>
            </w:tcBorders>
            <w:shd w:val="clear" w:color="auto" w:fill="auto"/>
            <w:noWrap/>
            <w:vAlign w:val="bottom"/>
            <w:hideMark/>
          </w:tcPr>
          <w:p w14:paraId="22ED0D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27.18</w:t>
            </w:r>
          </w:p>
        </w:tc>
        <w:tc>
          <w:tcPr>
            <w:tcW w:w="1039" w:type="dxa"/>
            <w:tcBorders>
              <w:top w:val="nil"/>
              <w:left w:val="nil"/>
              <w:bottom w:val="nil"/>
              <w:right w:val="nil"/>
            </w:tcBorders>
            <w:shd w:val="clear" w:color="auto" w:fill="auto"/>
            <w:noWrap/>
            <w:vAlign w:val="bottom"/>
            <w:hideMark/>
          </w:tcPr>
          <w:p w14:paraId="2D3735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66.08</w:t>
            </w:r>
          </w:p>
        </w:tc>
      </w:tr>
      <w:tr w:rsidR="00E91B77" w:rsidRPr="00E91B77" w14:paraId="2B93A68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w:t>
            </w:r>
          </w:p>
        </w:tc>
        <w:tc>
          <w:tcPr>
            <w:tcW w:w="1039" w:type="dxa"/>
            <w:tcBorders>
              <w:top w:val="nil"/>
              <w:left w:val="nil"/>
              <w:bottom w:val="nil"/>
              <w:right w:val="nil"/>
            </w:tcBorders>
            <w:shd w:val="clear" w:color="auto" w:fill="auto"/>
            <w:noWrap/>
            <w:vAlign w:val="bottom"/>
            <w:hideMark/>
          </w:tcPr>
          <w:p w14:paraId="3CC58C5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425.33</w:t>
            </w:r>
          </w:p>
        </w:tc>
        <w:tc>
          <w:tcPr>
            <w:tcW w:w="1039" w:type="dxa"/>
            <w:tcBorders>
              <w:top w:val="nil"/>
              <w:left w:val="nil"/>
              <w:bottom w:val="nil"/>
              <w:right w:val="nil"/>
            </w:tcBorders>
            <w:shd w:val="clear" w:color="auto" w:fill="auto"/>
            <w:noWrap/>
            <w:vAlign w:val="bottom"/>
            <w:hideMark/>
          </w:tcPr>
          <w:p w14:paraId="27560F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415.72</w:t>
            </w:r>
          </w:p>
        </w:tc>
      </w:tr>
      <w:tr w:rsidR="00E91B77" w:rsidRPr="00E91B77" w14:paraId="5F4F123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12.1</w:t>
            </w:r>
          </w:p>
        </w:tc>
        <w:tc>
          <w:tcPr>
            <w:tcW w:w="1039" w:type="dxa"/>
            <w:tcBorders>
              <w:top w:val="nil"/>
              <w:left w:val="nil"/>
              <w:bottom w:val="nil"/>
              <w:right w:val="nil"/>
            </w:tcBorders>
            <w:shd w:val="clear" w:color="auto" w:fill="auto"/>
            <w:noWrap/>
            <w:vAlign w:val="bottom"/>
            <w:hideMark/>
          </w:tcPr>
          <w:p w14:paraId="67A2854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640.12</w:t>
            </w:r>
          </w:p>
        </w:tc>
        <w:tc>
          <w:tcPr>
            <w:tcW w:w="1039" w:type="dxa"/>
            <w:tcBorders>
              <w:top w:val="nil"/>
              <w:left w:val="nil"/>
              <w:bottom w:val="nil"/>
              <w:right w:val="nil"/>
            </w:tcBorders>
            <w:shd w:val="clear" w:color="auto" w:fill="auto"/>
            <w:noWrap/>
            <w:vAlign w:val="bottom"/>
            <w:hideMark/>
          </w:tcPr>
          <w:p w14:paraId="16E160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534.39</w:t>
            </w:r>
          </w:p>
        </w:tc>
      </w:tr>
      <w:tr w:rsidR="00E91B77" w:rsidRPr="00E91B77" w14:paraId="4913E4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23.33</w:t>
            </w:r>
          </w:p>
        </w:tc>
        <w:tc>
          <w:tcPr>
            <w:tcW w:w="1039" w:type="dxa"/>
            <w:tcBorders>
              <w:top w:val="nil"/>
              <w:left w:val="nil"/>
              <w:bottom w:val="nil"/>
              <w:right w:val="nil"/>
            </w:tcBorders>
            <w:shd w:val="clear" w:color="auto" w:fill="auto"/>
            <w:noWrap/>
            <w:vAlign w:val="bottom"/>
            <w:hideMark/>
          </w:tcPr>
          <w:p w14:paraId="41B28C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281.75</w:t>
            </w:r>
          </w:p>
        </w:tc>
        <w:tc>
          <w:tcPr>
            <w:tcW w:w="1039" w:type="dxa"/>
            <w:tcBorders>
              <w:top w:val="nil"/>
              <w:left w:val="nil"/>
              <w:bottom w:val="nil"/>
              <w:right w:val="nil"/>
            </w:tcBorders>
            <w:shd w:val="clear" w:color="auto" w:fill="auto"/>
            <w:noWrap/>
            <w:vAlign w:val="bottom"/>
            <w:hideMark/>
          </w:tcPr>
          <w:p w14:paraId="08553D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227.71</w:t>
            </w:r>
          </w:p>
        </w:tc>
      </w:tr>
      <w:tr w:rsidR="00E91B77" w:rsidRPr="00E91B77" w14:paraId="483BF7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19.36</w:t>
            </w:r>
          </w:p>
        </w:tc>
        <w:tc>
          <w:tcPr>
            <w:tcW w:w="1039" w:type="dxa"/>
            <w:tcBorders>
              <w:top w:val="nil"/>
              <w:left w:val="nil"/>
              <w:bottom w:val="nil"/>
              <w:right w:val="nil"/>
            </w:tcBorders>
            <w:shd w:val="clear" w:color="auto" w:fill="auto"/>
            <w:noWrap/>
            <w:vAlign w:val="bottom"/>
            <w:hideMark/>
          </w:tcPr>
          <w:p w14:paraId="7792E34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354</w:t>
            </w:r>
          </w:p>
        </w:tc>
        <w:tc>
          <w:tcPr>
            <w:tcW w:w="1039" w:type="dxa"/>
            <w:tcBorders>
              <w:top w:val="nil"/>
              <w:left w:val="nil"/>
              <w:bottom w:val="nil"/>
              <w:right w:val="nil"/>
            </w:tcBorders>
            <w:shd w:val="clear" w:color="auto" w:fill="auto"/>
            <w:noWrap/>
            <w:vAlign w:val="bottom"/>
            <w:hideMark/>
          </w:tcPr>
          <w:p w14:paraId="2B4D1C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214.04</w:t>
            </w:r>
          </w:p>
        </w:tc>
      </w:tr>
      <w:tr w:rsidR="00E91B77" w:rsidRPr="00E91B77" w14:paraId="55D87A2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28.56</w:t>
            </w:r>
          </w:p>
        </w:tc>
        <w:tc>
          <w:tcPr>
            <w:tcW w:w="1039" w:type="dxa"/>
            <w:tcBorders>
              <w:top w:val="nil"/>
              <w:left w:val="nil"/>
              <w:bottom w:val="nil"/>
              <w:right w:val="nil"/>
            </w:tcBorders>
            <w:shd w:val="clear" w:color="auto" w:fill="auto"/>
            <w:noWrap/>
            <w:vAlign w:val="bottom"/>
            <w:hideMark/>
          </w:tcPr>
          <w:p w14:paraId="4B5BDD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217.87</w:t>
            </w:r>
          </w:p>
        </w:tc>
        <w:tc>
          <w:tcPr>
            <w:tcW w:w="1039" w:type="dxa"/>
            <w:tcBorders>
              <w:top w:val="nil"/>
              <w:left w:val="nil"/>
              <w:bottom w:val="nil"/>
              <w:right w:val="nil"/>
            </w:tcBorders>
            <w:shd w:val="clear" w:color="auto" w:fill="auto"/>
            <w:noWrap/>
            <w:vAlign w:val="bottom"/>
            <w:hideMark/>
          </w:tcPr>
          <w:p w14:paraId="6BAFE4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162.57</w:t>
            </w:r>
          </w:p>
        </w:tc>
      </w:tr>
      <w:tr w:rsidR="00E91B77" w:rsidRPr="00E91B77" w14:paraId="06C4CFB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20.61</w:t>
            </w:r>
          </w:p>
        </w:tc>
        <w:tc>
          <w:tcPr>
            <w:tcW w:w="1039" w:type="dxa"/>
            <w:tcBorders>
              <w:top w:val="nil"/>
              <w:left w:val="nil"/>
              <w:bottom w:val="nil"/>
              <w:right w:val="nil"/>
            </w:tcBorders>
            <w:shd w:val="clear" w:color="auto" w:fill="auto"/>
            <w:noWrap/>
            <w:vAlign w:val="bottom"/>
            <w:hideMark/>
          </w:tcPr>
          <w:p w14:paraId="524446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160.18</w:t>
            </w:r>
          </w:p>
        </w:tc>
        <w:tc>
          <w:tcPr>
            <w:tcW w:w="1039" w:type="dxa"/>
            <w:tcBorders>
              <w:top w:val="nil"/>
              <w:left w:val="nil"/>
              <w:bottom w:val="nil"/>
              <w:right w:val="nil"/>
            </w:tcBorders>
            <w:shd w:val="clear" w:color="auto" w:fill="auto"/>
            <w:noWrap/>
            <w:vAlign w:val="bottom"/>
            <w:hideMark/>
          </w:tcPr>
          <w:p w14:paraId="5D5AFD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249.75</w:t>
            </w:r>
          </w:p>
        </w:tc>
      </w:tr>
      <w:tr w:rsidR="00E91B77" w:rsidRPr="00E91B77" w14:paraId="59C9942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31.08</w:t>
            </w:r>
          </w:p>
        </w:tc>
        <w:tc>
          <w:tcPr>
            <w:tcW w:w="1039" w:type="dxa"/>
            <w:tcBorders>
              <w:top w:val="nil"/>
              <w:left w:val="nil"/>
              <w:bottom w:val="nil"/>
              <w:right w:val="nil"/>
            </w:tcBorders>
            <w:shd w:val="clear" w:color="auto" w:fill="auto"/>
            <w:noWrap/>
            <w:vAlign w:val="bottom"/>
            <w:hideMark/>
          </w:tcPr>
          <w:p w14:paraId="2EB58A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182.21</w:t>
            </w:r>
          </w:p>
        </w:tc>
        <w:tc>
          <w:tcPr>
            <w:tcW w:w="1039" w:type="dxa"/>
            <w:tcBorders>
              <w:top w:val="nil"/>
              <w:left w:val="nil"/>
              <w:bottom w:val="nil"/>
              <w:right w:val="nil"/>
            </w:tcBorders>
            <w:shd w:val="clear" w:color="auto" w:fill="auto"/>
            <w:noWrap/>
            <w:vAlign w:val="bottom"/>
            <w:hideMark/>
          </w:tcPr>
          <w:p w14:paraId="7FBB917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120.95</w:t>
            </w:r>
          </w:p>
        </w:tc>
      </w:tr>
      <w:tr w:rsidR="00E91B77" w:rsidRPr="00E91B77" w14:paraId="4776638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26.31</w:t>
            </w:r>
          </w:p>
        </w:tc>
        <w:tc>
          <w:tcPr>
            <w:tcW w:w="1039" w:type="dxa"/>
            <w:tcBorders>
              <w:top w:val="nil"/>
              <w:left w:val="nil"/>
              <w:bottom w:val="nil"/>
              <w:right w:val="nil"/>
            </w:tcBorders>
            <w:shd w:val="clear" w:color="auto" w:fill="auto"/>
            <w:noWrap/>
            <w:vAlign w:val="bottom"/>
            <w:hideMark/>
          </w:tcPr>
          <w:p w14:paraId="2D73D2D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450.79</w:t>
            </w:r>
          </w:p>
        </w:tc>
        <w:tc>
          <w:tcPr>
            <w:tcW w:w="1039" w:type="dxa"/>
            <w:tcBorders>
              <w:top w:val="nil"/>
              <w:left w:val="nil"/>
              <w:bottom w:val="nil"/>
              <w:right w:val="nil"/>
            </w:tcBorders>
            <w:shd w:val="clear" w:color="auto" w:fill="auto"/>
            <w:noWrap/>
            <w:vAlign w:val="bottom"/>
            <w:hideMark/>
          </w:tcPr>
          <w:p w14:paraId="339072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340.57</w:t>
            </w:r>
          </w:p>
        </w:tc>
      </w:tr>
      <w:tr w:rsidR="00E91B77" w:rsidRPr="00E91B77" w14:paraId="1D9C158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16.34</w:t>
            </w:r>
          </w:p>
        </w:tc>
        <w:tc>
          <w:tcPr>
            <w:tcW w:w="1039" w:type="dxa"/>
            <w:tcBorders>
              <w:top w:val="nil"/>
              <w:left w:val="nil"/>
              <w:bottom w:val="nil"/>
              <w:right w:val="nil"/>
            </w:tcBorders>
            <w:shd w:val="clear" w:color="auto" w:fill="auto"/>
            <w:noWrap/>
            <w:vAlign w:val="bottom"/>
            <w:hideMark/>
          </w:tcPr>
          <w:p w14:paraId="2310DBE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318.62</w:t>
            </w:r>
          </w:p>
        </w:tc>
        <w:tc>
          <w:tcPr>
            <w:tcW w:w="1039" w:type="dxa"/>
            <w:tcBorders>
              <w:top w:val="nil"/>
              <w:left w:val="nil"/>
              <w:bottom w:val="nil"/>
              <w:right w:val="nil"/>
            </w:tcBorders>
            <w:shd w:val="clear" w:color="auto" w:fill="auto"/>
            <w:noWrap/>
            <w:vAlign w:val="bottom"/>
            <w:hideMark/>
          </w:tcPr>
          <w:p w14:paraId="572ABC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261.92</w:t>
            </w:r>
          </w:p>
        </w:tc>
      </w:tr>
      <w:tr w:rsidR="00E91B77" w:rsidRPr="00E91B77" w14:paraId="5177F50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9.75</w:t>
            </w:r>
          </w:p>
        </w:tc>
        <w:tc>
          <w:tcPr>
            <w:tcW w:w="1039" w:type="dxa"/>
            <w:tcBorders>
              <w:top w:val="nil"/>
              <w:left w:val="nil"/>
              <w:bottom w:val="nil"/>
              <w:right w:val="nil"/>
            </w:tcBorders>
            <w:shd w:val="clear" w:color="auto" w:fill="auto"/>
            <w:noWrap/>
            <w:vAlign w:val="bottom"/>
            <w:hideMark/>
          </w:tcPr>
          <w:p w14:paraId="0E5DB6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244.37</w:t>
            </w:r>
          </w:p>
        </w:tc>
        <w:tc>
          <w:tcPr>
            <w:tcW w:w="1039" w:type="dxa"/>
            <w:tcBorders>
              <w:top w:val="nil"/>
              <w:left w:val="nil"/>
              <w:bottom w:val="nil"/>
              <w:right w:val="nil"/>
            </w:tcBorders>
            <w:shd w:val="clear" w:color="auto" w:fill="auto"/>
            <w:noWrap/>
            <w:vAlign w:val="bottom"/>
            <w:hideMark/>
          </w:tcPr>
          <w:p w14:paraId="574A1E4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242.38</w:t>
            </w:r>
          </w:p>
        </w:tc>
      </w:tr>
      <w:tr w:rsidR="00E91B77" w:rsidRPr="00E91B77" w14:paraId="7B6975F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8.31</w:t>
            </w:r>
          </w:p>
        </w:tc>
        <w:tc>
          <w:tcPr>
            <w:tcW w:w="1039" w:type="dxa"/>
            <w:tcBorders>
              <w:top w:val="nil"/>
              <w:left w:val="nil"/>
              <w:bottom w:val="nil"/>
              <w:right w:val="nil"/>
            </w:tcBorders>
            <w:shd w:val="clear" w:color="auto" w:fill="auto"/>
            <w:noWrap/>
            <w:vAlign w:val="bottom"/>
            <w:hideMark/>
          </w:tcPr>
          <w:p w14:paraId="22EFE06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331.47</w:t>
            </w:r>
          </w:p>
        </w:tc>
        <w:tc>
          <w:tcPr>
            <w:tcW w:w="1039" w:type="dxa"/>
            <w:tcBorders>
              <w:top w:val="nil"/>
              <w:left w:val="nil"/>
              <w:bottom w:val="nil"/>
              <w:right w:val="nil"/>
            </w:tcBorders>
            <w:shd w:val="clear" w:color="auto" w:fill="auto"/>
            <w:noWrap/>
            <w:vAlign w:val="bottom"/>
            <w:hideMark/>
          </w:tcPr>
          <w:p w14:paraId="20B283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383.23</w:t>
            </w:r>
          </w:p>
        </w:tc>
      </w:tr>
      <w:tr w:rsidR="00E91B77" w:rsidRPr="00E91B77" w14:paraId="749E185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8.1</w:t>
            </w:r>
          </w:p>
        </w:tc>
        <w:tc>
          <w:tcPr>
            <w:tcW w:w="1039" w:type="dxa"/>
            <w:tcBorders>
              <w:top w:val="nil"/>
              <w:left w:val="nil"/>
              <w:bottom w:val="nil"/>
              <w:right w:val="nil"/>
            </w:tcBorders>
            <w:shd w:val="clear" w:color="auto" w:fill="auto"/>
            <w:noWrap/>
            <w:vAlign w:val="bottom"/>
            <w:hideMark/>
          </w:tcPr>
          <w:p w14:paraId="027094B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522.95</w:t>
            </w:r>
          </w:p>
        </w:tc>
        <w:tc>
          <w:tcPr>
            <w:tcW w:w="1039" w:type="dxa"/>
            <w:tcBorders>
              <w:top w:val="nil"/>
              <w:left w:val="nil"/>
              <w:bottom w:val="nil"/>
              <w:right w:val="nil"/>
            </w:tcBorders>
            <w:shd w:val="clear" w:color="auto" w:fill="auto"/>
            <w:noWrap/>
            <w:vAlign w:val="bottom"/>
            <w:hideMark/>
          </w:tcPr>
          <w:p w14:paraId="3BA2EE5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589.55</w:t>
            </w:r>
          </w:p>
        </w:tc>
      </w:tr>
      <w:tr w:rsidR="00E91B77" w:rsidRPr="00E91B77" w14:paraId="5E7F013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5.62</w:t>
            </w:r>
          </w:p>
        </w:tc>
        <w:tc>
          <w:tcPr>
            <w:tcW w:w="1039" w:type="dxa"/>
            <w:tcBorders>
              <w:top w:val="nil"/>
              <w:left w:val="nil"/>
              <w:bottom w:val="nil"/>
              <w:right w:val="nil"/>
            </w:tcBorders>
            <w:shd w:val="clear" w:color="auto" w:fill="auto"/>
            <w:noWrap/>
            <w:vAlign w:val="bottom"/>
            <w:hideMark/>
          </w:tcPr>
          <w:p w14:paraId="0994F7D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8.04</w:t>
            </w:r>
          </w:p>
        </w:tc>
        <w:tc>
          <w:tcPr>
            <w:tcW w:w="1039" w:type="dxa"/>
            <w:tcBorders>
              <w:top w:val="nil"/>
              <w:left w:val="nil"/>
              <w:bottom w:val="nil"/>
              <w:right w:val="nil"/>
            </w:tcBorders>
            <w:shd w:val="clear" w:color="auto" w:fill="auto"/>
            <w:noWrap/>
            <w:vAlign w:val="bottom"/>
            <w:hideMark/>
          </w:tcPr>
          <w:p w14:paraId="49A51E0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7.24</w:t>
            </w:r>
          </w:p>
        </w:tc>
      </w:tr>
      <w:tr w:rsidR="00E91B77" w:rsidRPr="00E91B77" w14:paraId="337918B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17.62</w:t>
            </w:r>
          </w:p>
        </w:tc>
        <w:tc>
          <w:tcPr>
            <w:tcW w:w="1039" w:type="dxa"/>
            <w:tcBorders>
              <w:top w:val="nil"/>
              <w:left w:val="nil"/>
              <w:bottom w:val="nil"/>
              <w:right w:val="nil"/>
            </w:tcBorders>
            <w:shd w:val="clear" w:color="auto" w:fill="auto"/>
            <w:noWrap/>
            <w:vAlign w:val="bottom"/>
            <w:hideMark/>
          </w:tcPr>
          <w:p w14:paraId="4517701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202.92</w:t>
            </w:r>
          </w:p>
        </w:tc>
        <w:tc>
          <w:tcPr>
            <w:tcW w:w="1039" w:type="dxa"/>
            <w:tcBorders>
              <w:top w:val="nil"/>
              <w:left w:val="nil"/>
              <w:bottom w:val="nil"/>
              <w:right w:val="nil"/>
            </w:tcBorders>
            <w:shd w:val="clear" w:color="auto" w:fill="auto"/>
            <w:noWrap/>
            <w:vAlign w:val="bottom"/>
            <w:hideMark/>
          </w:tcPr>
          <w:p w14:paraId="69BA8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175.67</w:t>
            </w:r>
          </w:p>
        </w:tc>
      </w:tr>
      <w:tr w:rsidR="00E91B77" w:rsidRPr="00E91B77" w14:paraId="5F7BD15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16.28</w:t>
            </w:r>
          </w:p>
        </w:tc>
        <w:tc>
          <w:tcPr>
            <w:tcW w:w="1039" w:type="dxa"/>
            <w:tcBorders>
              <w:top w:val="nil"/>
              <w:left w:val="nil"/>
              <w:bottom w:val="nil"/>
              <w:right w:val="nil"/>
            </w:tcBorders>
            <w:shd w:val="clear" w:color="auto" w:fill="auto"/>
            <w:noWrap/>
            <w:vAlign w:val="bottom"/>
            <w:hideMark/>
          </w:tcPr>
          <w:p w14:paraId="072E77C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657.31</w:t>
            </w:r>
          </w:p>
        </w:tc>
        <w:tc>
          <w:tcPr>
            <w:tcW w:w="1039" w:type="dxa"/>
            <w:tcBorders>
              <w:top w:val="nil"/>
              <w:left w:val="nil"/>
              <w:bottom w:val="nil"/>
              <w:right w:val="nil"/>
            </w:tcBorders>
            <w:shd w:val="clear" w:color="auto" w:fill="auto"/>
            <w:noWrap/>
            <w:vAlign w:val="bottom"/>
            <w:hideMark/>
          </w:tcPr>
          <w:p w14:paraId="0E4A9D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480.02</w:t>
            </w:r>
          </w:p>
        </w:tc>
      </w:tr>
      <w:tr w:rsidR="00E91B77" w:rsidRPr="00E91B77" w14:paraId="01C6E0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21.41</w:t>
            </w:r>
          </w:p>
        </w:tc>
        <w:tc>
          <w:tcPr>
            <w:tcW w:w="1039" w:type="dxa"/>
            <w:tcBorders>
              <w:top w:val="nil"/>
              <w:left w:val="nil"/>
              <w:bottom w:val="nil"/>
              <w:right w:val="nil"/>
            </w:tcBorders>
            <w:shd w:val="clear" w:color="auto" w:fill="auto"/>
            <w:noWrap/>
            <w:vAlign w:val="bottom"/>
            <w:hideMark/>
          </w:tcPr>
          <w:p w14:paraId="04A370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40.02</w:t>
            </w:r>
          </w:p>
        </w:tc>
        <w:tc>
          <w:tcPr>
            <w:tcW w:w="1039" w:type="dxa"/>
            <w:tcBorders>
              <w:top w:val="nil"/>
              <w:left w:val="nil"/>
              <w:bottom w:val="nil"/>
              <w:right w:val="nil"/>
            </w:tcBorders>
            <w:shd w:val="clear" w:color="auto" w:fill="auto"/>
            <w:noWrap/>
            <w:vAlign w:val="bottom"/>
            <w:hideMark/>
          </w:tcPr>
          <w:p w14:paraId="7F51D7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54.64</w:t>
            </w:r>
          </w:p>
        </w:tc>
      </w:tr>
      <w:tr w:rsidR="00E91B77" w:rsidRPr="00E91B77" w14:paraId="307594A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22.16</w:t>
            </w:r>
          </w:p>
        </w:tc>
        <w:tc>
          <w:tcPr>
            <w:tcW w:w="1039" w:type="dxa"/>
            <w:tcBorders>
              <w:top w:val="nil"/>
              <w:left w:val="nil"/>
              <w:bottom w:val="nil"/>
              <w:right w:val="nil"/>
            </w:tcBorders>
            <w:shd w:val="clear" w:color="auto" w:fill="auto"/>
            <w:noWrap/>
            <w:vAlign w:val="bottom"/>
            <w:hideMark/>
          </w:tcPr>
          <w:p w14:paraId="6CA174B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31.73</w:t>
            </w:r>
          </w:p>
        </w:tc>
        <w:tc>
          <w:tcPr>
            <w:tcW w:w="1039" w:type="dxa"/>
            <w:tcBorders>
              <w:top w:val="nil"/>
              <w:left w:val="nil"/>
              <w:bottom w:val="nil"/>
              <w:right w:val="nil"/>
            </w:tcBorders>
            <w:shd w:val="clear" w:color="auto" w:fill="auto"/>
            <w:noWrap/>
            <w:vAlign w:val="bottom"/>
            <w:hideMark/>
          </w:tcPr>
          <w:p w14:paraId="617715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tbl>
      <w:tblPr>
        <w:tblW w:w="8073" w:type="dxa"/>
        <w:tblLook w:val="04A0" w:firstRow="1" w:lastRow="0" w:firstColumn="1" w:lastColumn="0" w:noHBand="0" w:noVBand="1"/>
      </w:tblPr>
      <w:tblGrid>
        <w:gridCol w:w="954"/>
        <w:gridCol w:w="1008"/>
        <w:gridCol w:w="2152"/>
        <w:gridCol w:w="1006"/>
        <w:gridCol w:w="977"/>
        <w:gridCol w:w="1001"/>
        <w:gridCol w:w="977"/>
      </w:tblGrid>
      <w:tr w:rsidR="00943282" w:rsidRPr="00943282" w14:paraId="730FA265" w14:textId="77777777" w:rsidTr="00943282">
        <w:trPr>
          <w:trHeight w:val="300"/>
        </w:trPr>
        <w:tc>
          <w:tcPr>
            <w:tcW w:w="954" w:type="dxa"/>
            <w:tcBorders>
              <w:top w:val="nil"/>
              <w:left w:val="nil"/>
              <w:bottom w:val="nil"/>
              <w:right w:val="nil"/>
            </w:tcBorders>
            <w:shd w:val="clear" w:color="auto" w:fill="auto"/>
            <w:noWrap/>
            <w:vAlign w:val="bottom"/>
          </w:tcPr>
          <w:p w14:paraId="1B7E7BD6"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tcPr>
          <w:p w14:paraId="5E6172A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2152" w:type="dxa"/>
            <w:tcBorders>
              <w:top w:val="nil"/>
              <w:left w:val="nil"/>
              <w:bottom w:val="nil"/>
              <w:right w:val="nil"/>
            </w:tcBorders>
            <w:shd w:val="clear" w:color="auto" w:fill="auto"/>
            <w:noWrap/>
            <w:vAlign w:val="bottom"/>
          </w:tcPr>
          <w:p w14:paraId="5B77FCB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1982" w:type="dxa"/>
            <w:gridSpan w:val="2"/>
            <w:tcBorders>
              <w:top w:val="nil"/>
              <w:left w:val="nil"/>
              <w:bottom w:val="nil"/>
              <w:right w:val="nil"/>
            </w:tcBorders>
            <w:shd w:val="clear" w:color="auto" w:fill="auto"/>
            <w:noWrap/>
            <w:vAlign w:val="center"/>
          </w:tcPr>
          <w:p w14:paraId="3C8A8A9F" w14:textId="77777777" w:rsidR="00943282" w:rsidRDefault="00943282" w:rsidP="00943282">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w:t>
            </w:r>
          </w:p>
          <w:p w14:paraId="3B750DAB" w14:textId="61595E7B" w:rsidR="00943282" w:rsidRPr="00943282" w:rsidRDefault="00943282" w:rsidP="00943282">
            <w:pPr>
              <w:spacing w:after="0" w:line="240" w:lineRule="auto"/>
              <w:jc w:val="center"/>
              <w:rPr>
                <w:rFonts w:ascii="Calibri" w:eastAsia="Times New Roman" w:hAnsi="Calibri" w:cs="Calibri"/>
                <w:color w:val="000000"/>
                <w:sz w:val="20"/>
                <w:szCs w:val="20"/>
                <w:lang w:eastAsia="en-GB"/>
              </w:rPr>
            </w:pP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1977" w:type="dxa"/>
            <w:gridSpan w:val="2"/>
            <w:tcBorders>
              <w:top w:val="nil"/>
              <w:left w:val="nil"/>
              <w:bottom w:val="nil"/>
              <w:right w:val="nil"/>
            </w:tcBorders>
            <w:shd w:val="clear" w:color="auto" w:fill="auto"/>
            <w:noWrap/>
            <w:vAlign w:val="center"/>
          </w:tcPr>
          <w:p w14:paraId="7A2EDE35" w14:textId="2F3D5F16"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943282" w:rsidRPr="00943282" w14:paraId="345CB47B" w14:textId="77777777" w:rsidTr="00943282">
        <w:trPr>
          <w:trHeight w:val="300"/>
        </w:trPr>
        <w:tc>
          <w:tcPr>
            <w:tcW w:w="954" w:type="dxa"/>
            <w:tcBorders>
              <w:top w:val="nil"/>
              <w:left w:val="nil"/>
              <w:bottom w:val="nil"/>
              <w:right w:val="nil"/>
            </w:tcBorders>
            <w:shd w:val="clear" w:color="auto" w:fill="auto"/>
            <w:noWrap/>
            <w:vAlign w:val="bottom"/>
            <w:hideMark/>
          </w:tcPr>
          <w:p w14:paraId="556AE43F"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00C336A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ISO_Code</w:t>
            </w:r>
            <w:proofErr w:type="spellEnd"/>
          </w:p>
        </w:tc>
        <w:tc>
          <w:tcPr>
            <w:tcW w:w="2152" w:type="dxa"/>
            <w:tcBorders>
              <w:top w:val="nil"/>
              <w:left w:val="nil"/>
              <w:bottom w:val="nil"/>
              <w:right w:val="nil"/>
            </w:tcBorders>
            <w:shd w:val="clear" w:color="auto" w:fill="auto"/>
            <w:noWrap/>
            <w:vAlign w:val="bottom"/>
            <w:hideMark/>
          </w:tcPr>
          <w:p w14:paraId="5C138DFC" w14:textId="24843CB2"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w:t>
            </w:r>
            <w:r w:rsidRPr="00943282">
              <w:rPr>
                <w:rFonts w:ascii="Calibri" w:eastAsia="Times New Roman" w:hAnsi="Calibri" w:cs="Calibri"/>
                <w:color w:val="000000"/>
                <w:sz w:val="20"/>
                <w:szCs w:val="20"/>
                <w:lang w:eastAsia="en-GB"/>
              </w:rPr>
              <w:t>ountry</w:t>
            </w:r>
          </w:p>
        </w:tc>
        <w:tc>
          <w:tcPr>
            <w:tcW w:w="1006" w:type="dxa"/>
            <w:tcBorders>
              <w:top w:val="nil"/>
              <w:left w:val="nil"/>
              <w:bottom w:val="nil"/>
              <w:right w:val="nil"/>
            </w:tcBorders>
            <w:shd w:val="clear" w:color="auto" w:fill="auto"/>
            <w:noWrap/>
            <w:vAlign w:val="bottom"/>
            <w:hideMark/>
          </w:tcPr>
          <w:p w14:paraId="716421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DA_drf</w:t>
            </w:r>
            <w:proofErr w:type="spellEnd"/>
          </w:p>
        </w:tc>
        <w:tc>
          <w:tcPr>
            <w:tcW w:w="976" w:type="dxa"/>
            <w:tcBorders>
              <w:top w:val="nil"/>
              <w:left w:val="nil"/>
              <w:bottom w:val="nil"/>
              <w:right w:val="nil"/>
            </w:tcBorders>
            <w:shd w:val="clear" w:color="auto" w:fill="auto"/>
            <w:noWrap/>
            <w:vAlign w:val="bottom"/>
            <w:hideMark/>
          </w:tcPr>
          <w:p w14:paraId="2961657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DA_lin</w:t>
            </w:r>
            <w:proofErr w:type="spellEnd"/>
          </w:p>
        </w:tc>
        <w:tc>
          <w:tcPr>
            <w:tcW w:w="1001" w:type="dxa"/>
            <w:tcBorders>
              <w:top w:val="nil"/>
              <w:left w:val="nil"/>
              <w:bottom w:val="nil"/>
              <w:right w:val="nil"/>
            </w:tcBorders>
            <w:shd w:val="clear" w:color="auto" w:fill="auto"/>
            <w:noWrap/>
            <w:vAlign w:val="bottom"/>
            <w:hideMark/>
          </w:tcPr>
          <w:p w14:paraId="187EA7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NMB_drf</w:t>
            </w:r>
            <w:proofErr w:type="spellEnd"/>
          </w:p>
        </w:tc>
        <w:tc>
          <w:tcPr>
            <w:tcW w:w="976" w:type="dxa"/>
            <w:tcBorders>
              <w:top w:val="nil"/>
              <w:left w:val="nil"/>
              <w:bottom w:val="nil"/>
              <w:right w:val="nil"/>
            </w:tcBorders>
            <w:shd w:val="clear" w:color="auto" w:fill="auto"/>
            <w:noWrap/>
            <w:vAlign w:val="bottom"/>
            <w:hideMark/>
          </w:tcPr>
          <w:p w14:paraId="4DF4689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NMB_lin</w:t>
            </w:r>
            <w:proofErr w:type="spellEnd"/>
          </w:p>
        </w:tc>
      </w:tr>
      <w:tr w:rsidR="00943282" w:rsidRPr="00943282" w14:paraId="599A1D13" w14:textId="77777777" w:rsidTr="00943282">
        <w:trPr>
          <w:trHeight w:val="300"/>
        </w:trPr>
        <w:tc>
          <w:tcPr>
            <w:tcW w:w="954" w:type="dxa"/>
            <w:tcBorders>
              <w:top w:val="nil"/>
              <w:left w:val="nil"/>
              <w:bottom w:val="nil"/>
              <w:right w:val="nil"/>
            </w:tcBorders>
            <w:shd w:val="clear" w:color="auto" w:fill="auto"/>
            <w:noWrap/>
            <w:vAlign w:val="bottom"/>
            <w:hideMark/>
          </w:tcPr>
          <w:p w14:paraId="6384ADC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w:t>
            </w:r>
          </w:p>
        </w:tc>
        <w:tc>
          <w:tcPr>
            <w:tcW w:w="1008" w:type="dxa"/>
            <w:tcBorders>
              <w:top w:val="nil"/>
              <w:left w:val="nil"/>
              <w:bottom w:val="nil"/>
              <w:right w:val="nil"/>
            </w:tcBorders>
            <w:shd w:val="clear" w:color="auto" w:fill="auto"/>
            <w:noWrap/>
            <w:vAlign w:val="bottom"/>
            <w:hideMark/>
          </w:tcPr>
          <w:p w14:paraId="740C402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w:t>
            </w:r>
          </w:p>
        </w:tc>
        <w:tc>
          <w:tcPr>
            <w:tcW w:w="2152" w:type="dxa"/>
            <w:tcBorders>
              <w:top w:val="nil"/>
              <w:left w:val="nil"/>
              <w:bottom w:val="nil"/>
              <w:right w:val="nil"/>
            </w:tcBorders>
            <w:shd w:val="clear" w:color="auto" w:fill="auto"/>
            <w:noWrap/>
            <w:vAlign w:val="bottom"/>
            <w:hideMark/>
          </w:tcPr>
          <w:p w14:paraId="1505F83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Andorra</w:t>
            </w:r>
          </w:p>
        </w:tc>
        <w:tc>
          <w:tcPr>
            <w:tcW w:w="1006" w:type="dxa"/>
            <w:tcBorders>
              <w:top w:val="nil"/>
              <w:left w:val="nil"/>
              <w:bottom w:val="nil"/>
              <w:right w:val="nil"/>
            </w:tcBorders>
            <w:shd w:val="clear" w:color="auto" w:fill="auto"/>
            <w:noWrap/>
            <w:vAlign w:val="bottom"/>
            <w:hideMark/>
          </w:tcPr>
          <w:p w14:paraId="15831F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4.227765</w:t>
            </w:r>
          </w:p>
        </w:tc>
        <w:tc>
          <w:tcPr>
            <w:tcW w:w="976" w:type="dxa"/>
            <w:tcBorders>
              <w:top w:val="nil"/>
              <w:left w:val="nil"/>
              <w:bottom w:val="nil"/>
              <w:right w:val="nil"/>
            </w:tcBorders>
            <w:shd w:val="clear" w:color="auto" w:fill="auto"/>
            <w:noWrap/>
            <w:vAlign w:val="bottom"/>
            <w:hideMark/>
          </w:tcPr>
          <w:p w14:paraId="624D5A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52.4351</w:t>
            </w:r>
          </w:p>
        </w:tc>
        <w:tc>
          <w:tcPr>
            <w:tcW w:w="1001" w:type="dxa"/>
            <w:tcBorders>
              <w:top w:val="nil"/>
              <w:left w:val="nil"/>
              <w:bottom w:val="nil"/>
              <w:right w:val="nil"/>
            </w:tcBorders>
            <w:shd w:val="clear" w:color="auto" w:fill="auto"/>
            <w:noWrap/>
            <w:vAlign w:val="bottom"/>
            <w:hideMark/>
          </w:tcPr>
          <w:p w14:paraId="4C8C2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105.9965</w:t>
            </w:r>
          </w:p>
        </w:tc>
        <w:tc>
          <w:tcPr>
            <w:tcW w:w="976" w:type="dxa"/>
            <w:tcBorders>
              <w:top w:val="nil"/>
              <w:left w:val="nil"/>
              <w:bottom w:val="nil"/>
              <w:right w:val="nil"/>
            </w:tcBorders>
            <w:shd w:val="clear" w:color="auto" w:fill="auto"/>
            <w:noWrap/>
            <w:vAlign w:val="bottom"/>
            <w:hideMark/>
          </w:tcPr>
          <w:p w14:paraId="375BD8D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1314.628</w:t>
            </w:r>
          </w:p>
        </w:tc>
      </w:tr>
      <w:tr w:rsidR="00943282" w:rsidRPr="00943282" w14:paraId="6ED9D111" w14:textId="77777777" w:rsidTr="00943282">
        <w:trPr>
          <w:trHeight w:val="300"/>
        </w:trPr>
        <w:tc>
          <w:tcPr>
            <w:tcW w:w="954" w:type="dxa"/>
            <w:tcBorders>
              <w:top w:val="nil"/>
              <w:left w:val="nil"/>
              <w:bottom w:val="nil"/>
              <w:right w:val="nil"/>
            </w:tcBorders>
            <w:shd w:val="clear" w:color="auto" w:fill="auto"/>
            <w:noWrap/>
            <w:vAlign w:val="bottom"/>
            <w:hideMark/>
          </w:tcPr>
          <w:p w14:paraId="085A36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w:t>
            </w:r>
          </w:p>
        </w:tc>
        <w:tc>
          <w:tcPr>
            <w:tcW w:w="1008" w:type="dxa"/>
            <w:tcBorders>
              <w:top w:val="nil"/>
              <w:left w:val="nil"/>
              <w:bottom w:val="nil"/>
              <w:right w:val="nil"/>
            </w:tcBorders>
            <w:shd w:val="clear" w:color="auto" w:fill="auto"/>
            <w:noWrap/>
            <w:vAlign w:val="bottom"/>
            <w:hideMark/>
          </w:tcPr>
          <w:p w14:paraId="07E982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w:t>
            </w:r>
          </w:p>
        </w:tc>
        <w:tc>
          <w:tcPr>
            <w:tcW w:w="2152" w:type="dxa"/>
            <w:tcBorders>
              <w:top w:val="nil"/>
              <w:left w:val="nil"/>
              <w:bottom w:val="nil"/>
              <w:right w:val="nil"/>
            </w:tcBorders>
            <w:shd w:val="clear" w:color="auto" w:fill="auto"/>
            <w:noWrap/>
            <w:vAlign w:val="bottom"/>
            <w:hideMark/>
          </w:tcPr>
          <w:p w14:paraId="2449C6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Armenia</w:t>
            </w:r>
          </w:p>
        </w:tc>
        <w:tc>
          <w:tcPr>
            <w:tcW w:w="1006" w:type="dxa"/>
            <w:tcBorders>
              <w:top w:val="nil"/>
              <w:left w:val="nil"/>
              <w:bottom w:val="nil"/>
              <w:right w:val="nil"/>
            </w:tcBorders>
            <w:shd w:val="clear" w:color="auto" w:fill="auto"/>
            <w:noWrap/>
            <w:vAlign w:val="bottom"/>
            <w:hideMark/>
          </w:tcPr>
          <w:p w14:paraId="16CDA2F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5.529561</w:t>
            </w:r>
          </w:p>
        </w:tc>
        <w:tc>
          <w:tcPr>
            <w:tcW w:w="976" w:type="dxa"/>
            <w:tcBorders>
              <w:top w:val="nil"/>
              <w:left w:val="nil"/>
              <w:bottom w:val="nil"/>
              <w:right w:val="nil"/>
            </w:tcBorders>
            <w:shd w:val="clear" w:color="auto" w:fill="auto"/>
            <w:noWrap/>
            <w:vAlign w:val="bottom"/>
            <w:hideMark/>
          </w:tcPr>
          <w:p w14:paraId="69F280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57.56608</w:t>
            </w:r>
          </w:p>
        </w:tc>
        <w:tc>
          <w:tcPr>
            <w:tcW w:w="1001" w:type="dxa"/>
            <w:tcBorders>
              <w:top w:val="nil"/>
              <w:left w:val="nil"/>
              <w:bottom w:val="nil"/>
              <w:right w:val="nil"/>
            </w:tcBorders>
            <w:shd w:val="clear" w:color="auto" w:fill="auto"/>
            <w:noWrap/>
            <w:vAlign w:val="bottom"/>
            <w:hideMark/>
          </w:tcPr>
          <w:p w14:paraId="1736B2F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25.55059</w:t>
            </w:r>
          </w:p>
        </w:tc>
        <w:tc>
          <w:tcPr>
            <w:tcW w:w="976" w:type="dxa"/>
            <w:tcBorders>
              <w:top w:val="nil"/>
              <w:left w:val="nil"/>
              <w:bottom w:val="nil"/>
              <w:right w:val="nil"/>
            </w:tcBorders>
            <w:shd w:val="clear" w:color="auto" w:fill="auto"/>
            <w:noWrap/>
            <w:vAlign w:val="bottom"/>
            <w:hideMark/>
          </w:tcPr>
          <w:p w14:paraId="287D6D6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265.9971</w:t>
            </w:r>
          </w:p>
        </w:tc>
      </w:tr>
      <w:tr w:rsidR="00943282" w:rsidRPr="00943282" w14:paraId="202417D7" w14:textId="77777777" w:rsidTr="00943282">
        <w:trPr>
          <w:trHeight w:val="300"/>
        </w:trPr>
        <w:tc>
          <w:tcPr>
            <w:tcW w:w="954" w:type="dxa"/>
            <w:tcBorders>
              <w:top w:val="nil"/>
              <w:left w:val="nil"/>
              <w:bottom w:val="nil"/>
              <w:right w:val="nil"/>
            </w:tcBorders>
            <w:shd w:val="clear" w:color="auto" w:fill="auto"/>
            <w:noWrap/>
            <w:vAlign w:val="bottom"/>
            <w:hideMark/>
          </w:tcPr>
          <w:p w14:paraId="353667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w:t>
            </w:r>
          </w:p>
        </w:tc>
        <w:tc>
          <w:tcPr>
            <w:tcW w:w="1008" w:type="dxa"/>
            <w:tcBorders>
              <w:top w:val="nil"/>
              <w:left w:val="nil"/>
              <w:bottom w:val="nil"/>
              <w:right w:val="nil"/>
            </w:tcBorders>
            <w:shd w:val="clear" w:color="auto" w:fill="auto"/>
            <w:noWrap/>
            <w:vAlign w:val="bottom"/>
            <w:hideMark/>
          </w:tcPr>
          <w:p w14:paraId="0320CF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AUT</w:t>
            </w:r>
          </w:p>
        </w:tc>
        <w:tc>
          <w:tcPr>
            <w:tcW w:w="2152" w:type="dxa"/>
            <w:tcBorders>
              <w:top w:val="nil"/>
              <w:left w:val="nil"/>
              <w:bottom w:val="nil"/>
              <w:right w:val="nil"/>
            </w:tcBorders>
            <w:shd w:val="clear" w:color="auto" w:fill="auto"/>
            <w:noWrap/>
            <w:vAlign w:val="bottom"/>
            <w:hideMark/>
          </w:tcPr>
          <w:p w14:paraId="1CBEF3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Austria</w:t>
            </w:r>
          </w:p>
        </w:tc>
        <w:tc>
          <w:tcPr>
            <w:tcW w:w="1006" w:type="dxa"/>
            <w:tcBorders>
              <w:top w:val="nil"/>
              <w:left w:val="nil"/>
              <w:bottom w:val="nil"/>
              <w:right w:val="nil"/>
            </w:tcBorders>
            <w:shd w:val="clear" w:color="auto" w:fill="auto"/>
            <w:noWrap/>
            <w:vAlign w:val="bottom"/>
            <w:hideMark/>
          </w:tcPr>
          <w:p w14:paraId="269716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4.994598</w:t>
            </w:r>
          </w:p>
        </w:tc>
        <w:tc>
          <w:tcPr>
            <w:tcW w:w="976" w:type="dxa"/>
            <w:tcBorders>
              <w:top w:val="nil"/>
              <w:left w:val="nil"/>
              <w:bottom w:val="nil"/>
              <w:right w:val="nil"/>
            </w:tcBorders>
            <w:shd w:val="clear" w:color="auto" w:fill="auto"/>
            <w:noWrap/>
            <w:vAlign w:val="bottom"/>
            <w:hideMark/>
          </w:tcPr>
          <w:p w14:paraId="0D3C85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31.37305</w:t>
            </w:r>
          </w:p>
        </w:tc>
        <w:tc>
          <w:tcPr>
            <w:tcW w:w="1001" w:type="dxa"/>
            <w:tcBorders>
              <w:top w:val="nil"/>
              <w:left w:val="nil"/>
              <w:bottom w:val="nil"/>
              <w:right w:val="nil"/>
            </w:tcBorders>
            <w:shd w:val="clear" w:color="auto" w:fill="auto"/>
            <w:noWrap/>
            <w:vAlign w:val="bottom"/>
            <w:hideMark/>
          </w:tcPr>
          <w:p w14:paraId="65E749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187.5456</w:t>
            </w:r>
          </w:p>
        </w:tc>
        <w:tc>
          <w:tcPr>
            <w:tcW w:w="976" w:type="dxa"/>
            <w:tcBorders>
              <w:top w:val="nil"/>
              <w:left w:val="nil"/>
              <w:bottom w:val="nil"/>
              <w:right w:val="nil"/>
            </w:tcBorders>
            <w:shd w:val="clear" w:color="auto" w:fill="auto"/>
            <w:noWrap/>
            <w:vAlign w:val="bottom"/>
            <w:hideMark/>
          </w:tcPr>
          <w:p w14:paraId="75001B4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1178.048</w:t>
            </w:r>
          </w:p>
        </w:tc>
      </w:tr>
      <w:tr w:rsidR="00943282" w:rsidRPr="00943282" w14:paraId="242BFEE4" w14:textId="77777777" w:rsidTr="00943282">
        <w:trPr>
          <w:trHeight w:val="300"/>
        </w:trPr>
        <w:tc>
          <w:tcPr>
            <w:tcW w:w="954" w:type="dxa"/>
            <w:tcBorders>
              <w:top w:val="nil"/>
              <w:left w:val="nil"/>
              <w:bottom w:val="nil"/>
              <w:right w:val="nil"/>
            </w:tcBorders>
            <w:shd w:val="clear" w:color="auto" w:fill="auto"/>
            <w:noWrap/>
            <w:vAlign w:val="bottom"/>
            <w:hideMark/>
          </w:tcPr>
          <w:p w14:paraId="23B355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w:t>
            </w:r>
          </w:p>
        </w:tc>
        <w:tc>
          <w:tcPr>
            <w:tcW w:w="1008" w:type="dxa"/>
            <w:tcBorders>
              <w:top w:val="nil"/>
              <w:left w:val="nil"/>
              <w:bottom w:val="nil"/>
              <w:right w:val="nil"/>
            </w:tcBorders>
            <w:shd w:val="clear" w:color="auto" w:fill="auto"/>
            <w:noWrap/>
            <w:vAlign w:val="bottom"/>
            <w:hideMark/>
          </w:tcPr>
          <w:p w14:paraId="31F1F96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BLR</w:t>
            </w:r>
          </w:p>
        </w:tc>
        <w:tc>
          <w:tcPr>
            <w:tcW w:w="2152" w:type="dxa"/>
            <w:tcBorders>
              <w:top w:val="nil"/>
              <w:left w:val="nil"/>
              <w:bottom w:val="nil"/>
              <w:right w:val="nil"/>
            </w:tcBorders>
            <w:shd w:val="clear" w:color="auto" w:fill="auto"/>
            <w:noWrap/>
            <w:vAlign w:val="bottom"/>
            <w:hideMark/>
          </w:tcPr>
          <w:p w14:paraId="2AFA5A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Belarus</w:t>
            </w:r>
          </w:p>
        </w:tc>
        <w:tc>
          <w:tcPr>
            <w:tcW w:w="1006" w:type="dxa"/>
            <w:tcBorders>
              <w:top w:val="nil"/>
              <w:left w:val="nil"/>
              <w:bottom w:val="nil"/>
              <w:right w:val="nil"/>
            </w:tcBorders>
            <w:shd w:val="clear" w:color="auto" w:fill="auto"/>
            <w:noWrap/>
            <w:vAlign w:val="bottom"/>
            <w:hideMark/>
          </w:tcPr>
          <w:p w14:paraId="446280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6.230489</w:t>
            </w:r>
          </w:p>
        </w:tc>
        <w:tc>
          <w:tcPr>
            <w:tcW w:w="976" w:type="dxa"/>
            <w:tcBorders>
              <w:top w:val="nil"/>
              <w:left w:val="nil"/>
              <w:bottom w:val="nil"/>
              <w:right w:val="nil"/>
            </w:tcBorders>
            <w:shd w:val="clear" w:color="auto" w:fill="auto"/>
            <w:noWrap/>
            <w:vAlign w:val="bottom"/>
            <w:hideMark/>
          </w:tcPr>
          <w:p w14:paraId="11ED09D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88.87715</w:t>
            </w:r>
          </w:p>
        </w:tc>
        <w:tc>
          <w:tcPr>
            <w:tcW w:w="1001" w:type="dxa"/>
            <w:tcBorders>
              <w:top w:val="nil"/>
              <w:left w:val="nil"/>
              <w:bottom w:val="nil"/>
              <w:right w:val="nil"/>
            </w:tcBorders>
            <w:shd w:val="clear" w:color="auto" w:fill="auto"/>
            <w:noWrap/>
            <w:vAlign w:val="bottom"/>
            <w:hideMark/>
          </w:tcPr>
          <w:p w14:paraId="4DA01C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48.42279</w:t>
            </w:r>
          </w:p>
        </w:tc>
        <w:tc>
          <w:tcPr>
            <w:tcW w:w="976" w:type="dxa"/>
            <w:tcBorders>
              <w:top w:val="nil"/>
              <w:left w:val="nil"/>
              <w:bottom w:val="nil"/>
              <w:right w:val="nil"/>
            </w:tcBorders>
            <w:shd w:val="clear" w:color="auto" w:fill="auto"/>
            <w:noWrap/>
            <w:vAlign w:val="bottom"/>
            <w:hideMark/>
          </w:tcPr>
          <w:p w14:paraId="126ABE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690.745</w:t>
            </w:r>
          </w:p>
        </w:tc>
      </w:tr>
      <w:tr w:rsidR="00943282" w:rsidRPr="00943282" w14:paraId="63CAD1E7" w14:textId="77777777" w:rsidTr="00943282">
        <w:trPr>
          <w:trHeight w:val="300"/>
        </w:trPr>
        <w:tc>
          <w:tcPr>
            <w:tcW w:w="954" w:type="dxa"/>
            <w:tcBorders>
              <w:top w:val="nil"/>
              <w:left w:val="nil"/>
              <w:bottom w:val="nil"/>
              <w:right w:val="nil"/>
            </w:tcBorders>
            <w:shd w:val="clear" w:color="auto" w:fill="auto"/>
            <w:noWrap/>
            <w:vAlign w:val="bottom"/>
            <w:hideMark/>
          </w:tcPr>
          <w:p w14:paraId="46DE3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w:t>
            </w:r>
          </w:p>
        </w:tc>
        <w:tc>
          <w:tcPr>
            <w:tcW w:w="1008" w:type="dxa"/>
            <w:tcBorders>
              <w:top w:val="nil"/>
              <w:left w:val="nil"/>
              <w:bottom w:val="nil"/>
              <w:right w:val="nil"/>
            </w:tcBorders>
            <w:shd w:val="clear" w:color="auto" w:fill="auto"/>
            <w:noWrap/>
            <w:vAlign w:val="bottom"/>
            <w:hideMark/>
          </w:tcPr>
          <w:p w14:paraId="558D9A3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w:t>
            </w:r>
          </w:p>
        </w:tc>
        <w:tc>
          <w:tcPr>
            <w:tcW w:w="2152" w:type="dxa"/>
            <w:tcBorders>
              <w:top w:val="nil"/>
              <w:left w:val="nil"/>
              <w:bottom w:val="nil"/>
              <w:right w:val="nil"/>
            </w:tcBorders>
            <w:shd w:val="clear" w:color="auto" w:fill="auto"/>
            <w:noWrap/>
            <w:vAlign w:val="bottom"/>
            <w:hideMark/>
          </w:tcPr>
          <w:p w14:paraId="3461929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Belgium</w:t>
            </w:r>
          </w:p>
        </w:tc>
        <w:tc>
          <w:tcPr>
            <w:tcW w:w="1006" w:type="dxa"/>
            <w:tcBorders>
              <w:top w:val="nil"/>
              <w:left w:val="nil"/>
              <w:bottom w:val="nil"/>
              <w:right w:val="nil"/>
            </w:tcBorders>
            <w:shd w:val="clear" w:color="auto" w:fill="auto"/>
            <w:noWrap/>
            <w:vAlign w:val="bottom"/>
            <w:hideMark/>
          </w:tcPr>
          <w:p w14:paraId="6E2034B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4.382909</w:t>
            </w:r>
          </w:p>
        </w:tc>
        <w:tc>
          <w:tcPr>
            <w:tcW w:w="976" w:type="dxa"/>
            <w:tcBorders>
              <w:top w:val="nil"/>
              <w:left w:val="nil"/>
              <w:bottom w:val="nil"/>
              <w:right w:val="nil"/>
            </w:tcBorders>
            <w:shd w:val="clear" w:color="auto" w:fill="auto"/>
            <w:noWrap/>
            <w:vAlign w:val="bottom"/>
            <w:hideMark/>
          </w:tcPr>
          <w:p w14:paraId="64930A1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34.75066</w:t>
            </w:r>
          </w:p>
        </w:tc>
        <w:tc>
          <w:tcPr>
            <w:tcW w:w="1001" w:type="dxa"/>
            <w:tcBorders>
              <w:top w:val="nil"/>
              <w:left w:val="nil"/>
              <w:bottom w:val="nil"/>
              <w:right w:val="nil"/>
            </w:tcBorders>
            <w:shd w:val="clear" w:color="auto" w:fill="auto"/>
            <w:noWrap/>
            <w:vAlign w:val="bottom"/>
            <w:hideMark/>
          </w:tcPr>
          <w:p w14:paraId="77F755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156.2805</w:t>
            </w:r>
          </w:p>
        </w:tc>
        <w:tc>
          <w:tcPr>
            <w:tcW w:w="976" w:type="dxa"/>
            <w:tcBorders>
              <w:top w:val="nil"/>
              <w:left w:val="nil"/>
              <w:bottom w:val="nil"/>
              <w:right w:val="nil"/>
            </w:tcBorders>
            <w:shd w:val="clear" w:color="auto" w:fill="auto"/>
            <w:noWrap/>
            <w:vAlign w:val="bottom"/>
            <w:hideMark/>
          </w:tcPr>
          <w:p w14:paraId="668A542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1239.097</w:t>
            </w:r>
          </w:p>
        </w:tc>
      </w:tr>
      <w:tr w:rsidR="00943282" w:rsidRPr="00943282" w14:paraId="2E0088A9" w14:textId="77777777" w:rsidTr="00943282">
        <w:trPr>
          <w:trHeight w:val="300"/>
        </w:trPr>
        <w:tc>
          <w:tcPr>
            <w:tcW w:w="954" w:type="dxa"/>
            <w:tcBorders>
              <w:top w:val="nil"/>
              <w:left w:val="nil"/>
              <w:bottom w:val="nil"/>
              <w:right w:val="nil"/>
            </w:tcBorders>
            <w:shd w:val="clear" w:color="auto" w:fill="auto"/>
            <w:noWrap/>
            <w:vAlign w:val="bottom"/>
            <w:hideMark/>
          </w:tcPr>
          <w:p w14:paraId="76E369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w:t>
            </w:r>
          </w:p>
        </w:tc>
        <w:tc>
          <w:tcPr>
            <w:tcW w:w="1008" w:type="dxa"/>
            <w:tcBorders>
              <w:top w:val="nil"/>
              <w:left w:val="nil"/>
              <w:bottom w:val="nil"/>
              <w:right w:val="nil"/>
            </w:tcBorders>
            <w:shd w:val="clear" w:color="auto" w:fill="auto"/>
            <w:noWrap/>
            <w:vAlign w:val="bottom"/>
            <w:hideMark/>
          </w:tcPr>
          <w:p w14:paraId="0D46D0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BIH</w:t>
            </w:r>
          </w:p>
        </w:tc>
        <w:tc>
          <w:tcPr>
            <w:tcW w:w="2152" w:type="dxa"/>
            <w:tcBorders>
              <w:top w:val="nil"/>
              <w:left w:val="nil"/>
              <w:bottom w:val="nil"/>
              <w:right w:val="nil"/>
            </w:tcBorders>
            <w:shd w:val="clear" w:color="auto" w:fill="auto"/>
            <w:noWrap/>
            <w:vAlign w:val="bottom"/>
            <w:hideMark/>
          </w:tcPr>
          <w:p w14:paraId="70BA4AD1" w14:textId="70906262"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 xml:space="preserve">Bosnia </w:t>
            </w:r>
            <w:r>
              <w:rPr>
                <w:rFonts w:ascii="Calibri" w:eastAsia="Times New Roman" w:hAnsi="Calibri" w:cs="Calibri"/>
                <w:color w:val="000000"/>
                <w:sz w:val="20"/>
                <w:szCs w:val="20"/>
                <w:lang w:eastAsia="en-GB"/>
              </w:rPr>
              <w:t xml:space="preserve">&amp; </w:t>
            </w:r>
            <w:r w:rsidRPr="00943282">
              <w:rPr>
                <w:rFonts w:ascii="Calibri" w:eastAsia="Times New Roman" w:hAnsi="Calibri" w:cs="Calibri"/>
                <w:color w:val="000000"/>
                <w:sz w:val="20"/>
                <w:szCs w:val="20"/>
                <w:lang w:eastAsia="en-GB"/>
              </w:rPr>
              <w:t>Herzegovina</w:t>
            </w:r>
          </w:p>
        </w:tc>
        <w:tc>
          <w:tcPr>
            <w:tcW w:w="1006" w:type="dxa"/>
            <w:tcBorders>
              <w:top w:val="nil"/>
              <w:left w:val="nil"/>
              <w:bottom w:val="nil"/>
              <w:right w:val="nil"/>
            </w:tcBorders>
            <w:shd w:val="clear" w:color="auto" w:fill="auto"/>
            <w:noWrap/>
            <w:vAlign w:val="bottom"/>
            <w:hideMark/>
          </w:tcPr>
          <w:p w14:paraId="4C1BABB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5.282634</w:t>
            </w:r>
          </w:p>
        </w:tc>
        <w:tc>
          <w:tcPr>
            <w:tcW w:w="976" w:type="dxa"/>
            <w:tcBorders>
              <w:top w:val="nil"/>
              <w:left w:val="nil"/>
              <w:bottom w:val="nil"/>
              <w:right w:val="nil"/>
            </w:tcBorders>
            <w:shd w:val="clear" w:color="auto" w:fill="auto"/>
            <w:noWrap/>
            <w:vAlign w:val="bottom"/>
            <w:hideMark/>
          </w:tcPr>
          <w:p w14:paraId="5C98704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46.034</w:t>
            </w:r>
          </w:p>
        </w:tc>
        <w:tc>
          <w:tcPr>
            <w:tcW w:w="1001" w:type="dxa"/>
            <w:tcBorders>
              <w:top w:val="nil"/>
              <w:left w:val="nil"/>
              <w:bottom w:val="nil"/>
              <w:right w:val="nil"/>
            </w:tcBorders>
            <w:shd w:val="clear" w:color="auto" w:fill="auto"/>
            <w:noWrap/>
            <w:vAlign w:val="bottom"/>
            <w:hideMark/>
          </w:tcPr>
          <w:p w14:paraId="5F189F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25.61455</w:t>
            </w:r>
          </w:p>
        </w:tc>
        <w:tc>
          <w:tcPr>
            <w:tcW w:w="976" w:type="dxa"/>
            <w:tcBorders>
              <w:top w:val="nil"/>
              <w:left w:val="nil"/>
              <w:bottom w:val="nil"/>
              <w:right w:val="nil"/>
            </w:tcBorders>
            <w:shd w:val="clear" w:color="auto" w:fill="auto"/>
            <w:noWrap/>
            <w:vAlign w:val="bottom"/>
            <w:hideMark/>
          </w:tcPr>
          <w:p w14:paraId="4EB26C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223.2107</w:t>
            </w:r>
          </w:p>
        </w:tc>
      </w:tr>
      <w:tr w:rsidR="00943282" w:rsidRPr="00943282" w14:paraId="6A7046A5" w14:textId="77777777" w:rsidTr="00943282">
        <w:trPr>
          <w:trHeight w:val="300"/>
        </w:trPr>
        <w:tc>
          <w:tcPr>
            <w:tcW w:w="954" w:type="dxa"/>
            <w:tcBorders>
              <w:top w:val="nil"/>
              <w:left w:val="nil"/>
              <w:bottom w:val="nil"/>
              <w:right w:val="nil"/>
            </w:tcBorders>
            <w:shd w:val="clear" w:color="auto" w:fill="auto"/>
            <w:noWrap/>
            <w:vAlign w:val="bottom"/>
            <w:hideMark/>
          </w:tcPr>
          <w:p w14:paraId="658784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w:t>
            </w:r>
          </w:p>
        </w:tc>
        <w:tc>
          <w:tcPr>
            <w:tcW w:w="1008" w:type="dxa"/>
            <w:tcBorders>
              <w:top w:val="nil"/>
              <w:left w:val="nil"/>
              <w:bottom w:val="nil"/>
              <w:right w:val="nil"/>
            </w:tcBorders>
            <w:shd w:val="clear" w:color="auto" w:fill="auto"/>
            <w:noWrap/>
            <w:vAlign w:val="bottom"/>
            <w:hideMark/>
          </w:tcPr>
          <w:p w14:paraId="1AEE2D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BGR</w:t>
            </w:r>
          </w:p>
        </w:tc>
        <w:tc>
          <w:tcPr>
            <w:tcW w:w="2152" w:type="dxa"/>
            <w:tcBorders>
              <w:top w:val="nil"/>
              <w:left w:val="nil"/>
              <w:bottom w:val="nil"/>
              <w:right w:val="nil"/>
            </w:tcBorders>
            <w:shd w:val="clear" w:color="auto" w:fill="auto"/>
            <w:noWrap/>
            <w:vAlign w:val="bottom"/>
            <w:hideMark/>
          </w:tcPr>
          <w:p w14:paraId="3E56F39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Bulgaria</w:t>
            </w:r>
          </w:p>
        </w:tc>
        <w:tc>
          <w:tcPr>
            <w:tcW w:w="1006" w:type="dxa"/>
            <w:tcBorders>
              <w:top w:val="nil"/>
              <w:left w:val="nil"/>
              <w:bottom w:val="nil"/>
              <w:right w:val="nil"/>
            </w:tcBorders>
            <w:shd w:val="clear" w:color="auto" w:fill="auto"/>
            <w:noWrap/>
            <w:vAlign w:val="bottom"/>
            <w:hideMark/>
          </w:tcPr>
          <w:p w14:paraId="2332FEA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4.112531</w:t>
            </w:r>
          </w:p>
        </w:tc>
        <w:tc>
          <w:tcPr>
            <w:tcW w:w="976" w:type="dxa"/>
            <w:tcBorders>
              <w:top w:val="nil"/>
              <w:left w:val="nil"/>
              <w:bottom w:val="nil"/>
              <w:right w:val="nil"/>
            </w:tcBorders>
            <w:shd w:val="clear" w:color="auto" w:fill="auto"/>
            <w:noWrap/>
            <w:vAlign w:val="bottom"/>
            <w:hideMark/>
          </w:tcPr>
          <w:p w14:paraId="76605F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59.70806</w:t>
            </w:r>
          </w:p>
        </w:tc>
        <w:tc>
          <w:tcPr>
            <w:tcW w:w="1001" w:type="dxa"/>
            <w:tcBorders>
              <w:top w:val="nil"/>
              <w:left w:val="nil"/>
              <w:bottom w:val="nil"/>
              <w:right w:val="nil"/>
            </w:tcBorders>
            <w:shd w:val="clear" w:color="auto" w:fill="auto"/>
            <w:noWrap/>
            <w:vAlign w:val="bottom"/>
            <w:hideMark/>
          </w:tcPr>
          <w:p w14:paraId="6A40785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29.08166</w:t>
            </w:r>
          </w:p>
        </w:tc>
        <w:tc>
          <w:tcPr>
            <w:tcW w:w="976" w:type="dxa"/>
            <w:tcBorders>
              <w:top w:val="nil"/>
              <w:left w:val="nil"/>
              <w:bottom w:val="nil"/>
              <w:right w:val="nil"/>
            </w:tcBorders>
            <w:shd w:val="clear" w:color="auto" w:fill="auto"/>
            <w:noWrap/>
            <w:vAlign w:val="bottom"/>
            <w:hideMark/>
          </w:tcPr>
          <w:p w14:paraId="4655F3A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422.2241</w:t>
            </w:r>
          </w:p>
        </w:tc>
      </w:tr>
      <w:tr w:rsidR="00943282" w:rsidRPr="00943282" w14:paraId="4149D072" w14:textId="77777777" w:rsidTr="00943282">
        <w:trPr>
          <w:trHeight w:val="300"/>
        </w:trPr>
        <w:tc>
          <w:tcPr>
            <w:tcW w:w="954" w:type="dxa"/>
            <w:tcBorders>
              <w:top w:val="nil"/>
              <w:left w:val="nil"/>
              <w:bottom w:val="nil"/>
              <w:right w:val="nil"/>
            </w:tcBorders>
            <w:shd w:val="clear" w:color="auto" w:fill="auto"/>
            <w:noWrap/>
            <w:vAlign w:val="bottom"/>
            <w:hideMark/>
          </w:tcPr>
          <w:p w14:paraId="70531C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w:t>
            </w:r>
          </w:p>
        </w:tc>
        <w:tc>
          <w:tcPr>
            <w:tcW w:w="1008" w:type="dxa"/>
            <w:tcBorders>
              <w:top w:val="nil"/>
              <w:left w:val="nil"/>
              <w:bottom w:val="nil"/>
              <w:right w:val="nil"/>
            </w:tcBorders>
            <w:shd w:val="clear" w:color="auto" w:fill="auto"/>
            <w:noWrap/>
            <w:vAlign w:val="bottom"/>
            <w:hideMark/>
          </w:tcPr>
          <w:p w14:paraId="3F663A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HRV</w:t>
            </w:r>
          </w:p>
        </w:tc>
        <w:tc>
          <w:tcPr>
            <w:tcW w:w="2152" w:type="dxa"/>
            <w:tcBorders>
              <w:top w:val="nil"/>
              <w:left w:val="nil"/>
              <w:bottom w:val="nil"/>
              <w:right w:val="nil"/>
            </w:tcBorders>
            <w:shd w:val="clear" w:color="auto" w:fill="auto"/>
            <w:noWrap/>
            <w:vAlign w:val="bottom"/>
            <w:hideMark/>
          </w:tcPr>
          <w:p w14:paraId="4FCE60A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Croatia</w:t>
            </w:r>
          </w:p>
        </w:tc>
        <w:tc>
          <w:tcPr>
            <w:tcW w:w="1006" w:type="dxa"/>
            <w:tcBorders>
              <w:top w:val="nil"/>
              <w:left w:val="nil"/>
              <w:bottom w:val="nil"/>
              <w:right w:val="nil"/>
            </w:tcBorders>
            <w:shd w:val="clear" w:color="auto" w:fill="auto"/>
            <w:noWrap/>
            <w:vAlign w:val="bottom"/>
            <w:hideMark/>
          </w:tcPr>
          <w:p w14:paraId="26B6AE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4.88769</w:t>
            </w:r>
          </w:p>
        </w:tc>
        <w:tc>
          <w:tcPr>
            <w:tcW w:w="976" w:type="dxa"/>
            <w:tcBorders>
              <w:top w:val="nil"/>
              <w:left w:val="nil"/>
              <w:bottom w:val="nil"/>
              <w:right w:val="nil"/>
            </w:tcBorders>
            <w:shd w:val="clear" w:color="auto" w:fill="auto"/>
            <w:noWrap/>
            <w:vAlign w:val="bottom"/>
            <w:hideMark/>
          </w:tcPr>
          <w:p w14:paraId="4942F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45.57987</w:t>
            </w:r>
          </w:p>
        </w:tc>
        <w:tc>
          <w:tcPr>
            <w:tcW w:w="1001" w:type="dxa"/>
            <w:tcBorders>
              <w:top w:val="nil"/>
              <w:left w:val="nil"/>
              <w:bottom w:val="nil"/>
              <w:right w:val="nil"/>
            </w:tcBorders>
            <w:shd w:val="clear" w:color="auto" w:fill="auto"/>
            <w:noWrap/>
            <w:vAlign w:val="bottom"/>
            <w:hideMark/>
          </w:tcPr>
          <w:p w14:paraId="28A76A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57.78357</w:t>
            </w:r>
          </w:p>
        </w:tc>
        <w:tc>
          <w:tcPr>
            <w:tcW w:w="976" w:type="dxa"/>
            <w:tcBorders>
              <w:top w:val="nil"/>
              <w:left w:val="nil"/>
              <w:bottom w:val="nil"/>
              <w:right w:val="nil"/>
            </w:tcBorders>
            <w:shd w:val="clear" w:color="auto" w:fill="auto"/>
            <w:noWrap/>
            <w:vAlign w:val="bottom"/>
            <w:hideMark/>
          </w:tcPr>
          <w:p w14:paraId="39BA75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538.8574</w:t>
            </w:r>
          </w:p>
        </w:tc>
      </w:tr>
      <w:tr w:rsidR="00943282" w:rsidRPr="00943282" w14:paraId="12DA43A2" w14:textId="77777777" w:rsidTr="00943282">
        <w:trPr>
          <w:trHeight w:val="300"/>
        </w:trPr>
        <w:tc>
          <w:tcPr>
            <w:tcW w:w="954" w:type="dxa"/>
            <w:tcBorders>
              <w:top w:val="nil"/>
              <w:left w:val="nil"/>
              <w:bottom w:val="nil"/>
              <w:right w:val="nil"/>
            </w:tcBorders>
            <w:shd w:val="clear" w:color="auto" w:fill="auto"/>
            <w:noWrap/>
            <w:vAlign w:val="bottom"/>
            <w:hideMark/>
          </w:tcPr>
          <w:p w14:paraId="47CE81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w:t>
            </w:r>
          </w:p>
        </w:tc>
        <w:tc>
          <w:tcPr>
            <w:tcW w:w="1008" w:type="dxa"/>
            <w:tcBorders>
              <w:top w:val="nil"/>
              <w:left w:val="nil"/>
              <w:bottom w:val="nil"/>
              <w:right w:val="nil"/>
            </w:tcBorders>
            <w:shd w:val="clear" w:color="auto" w:fill="auto"/>
            <w:noWrap/>
            <w:vAlign w:val="bottom"/>
            <w:hideMark/>
          </w:tcPr>
          <w:p w14:paraId="58538E0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w:t>
            </w:r>
          </w:p>
        </w:tc>
        <w:tc>
          <w:tcPr>
            <w:tcW w:w="2152" w:type="dxa"/>
            <w:tcBorders>
              <w:top w:val="nil"/>
              <w:left w:val="nil"/>
              <w:bottom w:val="nil"/>
              <w:right w:val="nil"/>
            </w:tcBorders>
            <w:shd w:val="clear" w:color="auto" w:fill="auto"/>
            <w:noWrap/>
            <w:vAlign w:val="bottom"/>
            <w:hideMark/>
          </w:tcPr>
          <w:p w14:paraId="187C1A4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Cyprus</w:t>
            </w:r>
          </w:p>
        </w:tc>
        <w:tc>
          <w:tcPr>
            <w:tcW w:w="1006" w:type="dxa"/>
            <w:tcBorders>
              <w:top w:val="nil"/>
              <w:left w:val="nil"/>
              <w:bottom w:val="nil"/>
              <w:right w:val="nil"/>
            </w:tcBorders>
            <w:shd w:val="clear" w:color="auto" w:fill="auto"/>
            <w:noWrap/>
            <w:vAlign w:val="bottom"/>
            <w:hideMark/>
          </w:tcPr>
          <w:p w14:paraId="50791CF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3.656796</w:t>
            </w:r>
          </w:p>
        </w:tc>
        <w:tc>
          <w:tcPr>
            <w:tcW w:w="976" w:type="dxa"/>
            <w:tcBorders>
              <w:top w:val="nil"/>
              <w:left w:val="nil"/>
              <w:bottom w:val="nil"/>
              <w:right w:val="nil"/>
            </w:tcBorders>
            <w:shd w:val="clear" w:color="auto" w:fill="auto"/>
            <w:noWrap/>
            <w:vAlign w:val="bottom"/>
            <w:hideMark/>
          </w:tcPr>
          <w:p w14:paraId="5158201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23.87493</w:t>
            </w:r>
          </w:p>
        </w:tc>
        <w:tc>
          <w:tcPr>
            <w:tcW w:w="1001" w:type="dxa"/>
            <w:tcBorders>
              <w:top w:val="nil"/>
              <w:left w:val="nil"/>
              <w:bottom w:val="nil"/>
              <w:right w:val="nil"/>
            </w:tcBorders>
            <w:shd w:val="clear" w:color="auto" w:fill="auto"/>
            <w:noWrap/>
            <w:vAlign w:val="bottom"/>
            <w:hideMark/>
          </w:tcPr>
          <w:p w14:paraId="3CD40AB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78.42527</w:t>
            </w:r>
          </w:p>
        </w:tc>
        <w:tc>
          <w:tcPr>
            <w:tcW w:w="976" w:type="dxa"/>
            <w:tcBorders>
              <w:top w:val="nil"/>
              <w:left w:val="nil"/>
              <w:bottom w:val="nil"/>
              <w:right w:val="nil"/>
            </w:tcBorders>
            <w:shd w:val="clear" w:color="auto" w:fill="auto"/>
            <w:noWrap/>
            <w:vAlign w:val="bottom"/>
            <w:hideMark/>
          </w:tcPr>
          <w:p w14:paraId="2DAAF7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512.0323</w:t>
            </w:r>
          </w:p>
        </w:tc>
      </w:tr>
      <w:tr w:rsidR="00943282" w:rsidRPr="00943282" w14:paraId="10E694B5" w14:textId="77777777" w:rsidTr="00943282">
        <w:trPr>
          <w:trHeight w:val="300"/>
        </w:trPr>
        <w:tc>
          <w:tcPr>
            <w:tcW w:w="954" w:type="dxa"/>
            <w:tcBorders>
              <w:top w:val="nil"/>
              <w:left w:val="nil"/>
              <w:bottom w:val="nil"/>
              <w:right w:val="nil"/>
            </w:tcBorders>
            <w:shd w:val="clear" w:color="auto" w:fill="auto"/>
            <w:noWrap/>
            <w:vAlign w:val="bottom"/>
            <w:hideMark/>
          </w:tcPr>
          <w:p w14:paraId="5A616B1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w:t>
            </w:r>
          </w:p>
        </w:tc>
        <w:tc>
          <w:tcPr>
            <w:tcW w:w="1008" w:type="dxa"/>
            <w:tcBorders>
              <w:top w:val="nil"/>
              <w:left w:val="nil"/>
              <w:bottom w:val="nil"/>
              <w:right w:val="nil"/>
            </w:tcBorders>
            <w:shd w:val="clear" w:color="auto" w:fill="auto"/>
            <w:noWrap/>
            <w:vAlign w:val="bottom"/>
            <w:hideMark/>
          </w:tcPr>
          <w:p w14:paraId="6656A8B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w:t>
            </w:r>
          </w:p>
        </w:tc>
        <w:tc>
          <w:tcPr>
            <w:tcW w:w="2152" w:type="dxa"/>
            <w:tcBorders>
              <w:top w:val="nil"/>
              <w:left w:val="nil"/>
              <w:bottom w:val="nil"/>
              <w:right w:val="nil"/>
            </w:tcBorders>
            <w:shd w:val="clear" w:color="auto" w:fill="auto"/>
            <w:noWrap/>
            <w:vAlign w:val="bottom"/>
            <w:hideMark/>
          </w:tcPr>
          <w:p w14:paraId="2592B6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Czech Republic</w:t>
            </w:r>
          </w:p>
        </w:tc>
        <w:tc>
          <w:tcPr>
            <w:tcW w:w="1006" w:type="dxa"/>
            <w:tcBorders>
              <w:top w:val="nil"/>
              <w:left w:val="nil"/>
              <w:bottom w:val="nil"/>
              <w:right w:val="nil"/>
            </w:tcBorders>
            <w:shd w:val="clear" w:color="auto" w:fill="auto"/>
            <w:noWrap/>
            <w:vAlign w:val="bottom"/>
            <w:hideMark/>
          </w:tcPr>
          <w:p w14:paraId="2E21E7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4.810188</w:t>
            </w:r>
          </w:p>
        </w:tc>
        <w:tc>
          <w:tcPr>
            <w:tcW w:w="976" w:type="dxa"/>
            <w:tcBorders>
              <w:top w:val="nil"/>
              <w:left w:val="nil"/>
              <w:bottom w:val="nil"/>
              <w:right w:val="nil"/>
            </w:tcBorders>
            <w:shd w:val="clear" w:color="auto" w:fill="auto"/>
            <w:noWrap/>
            <w:vAlign w:val="bottom"/>
            <w:hideMark/>
          </w:tcPr>
          <w:p w14:paraId="65AFD7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43.38804</w:t>
            </w:r>
          </w:p>
        </w:tc>
        <w:tc>
          <w:tcPr>
            <w:tcW w:w="1001" w:type="dxa"/>
            <w:tcBorders>
              <w:top w:val="nil"/>
              <w:left w:val="nil"/>
              <w:bottom w:val="nil"/>
              <w:right w:val="nil"/>
            </w:tcBorders>
            <w:shd w:val="clear" w:color="auto" w:fill="auto"/>
            <w:noWrap/>
            <w:vAlign w:val="bottom"/>
            <w:hideMark/>
          </w:tcPr>
          <w:p w14:paraId="25EE6E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83.18895</w:t>
            </w:r>
          </w:p>
        </w:tc>
        <w:tc>
          <w:tcPr>
            <w:tcW w:w="976" w:type="dxa"/>
            <w:tcBorders>
              <w:top w:val="nil"/>
              <w:left w:val="nil"/>
              <w:bottom w:val="nil"/>
              <w:right w:val="nil"/>
            </w:tcBorders>
            <w:shd w:val="clear" w:color="auto" w:fill="auto"/>
            <w:noWrap/>
            <w:vAlign w:val="bottom"/>
            <w:hideMark/>
          </w:tcPr>
          <w:p w14:paraId="471522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750.3667</w:t>
            </w:r>
          </w:p>
        </w:tc>
      </w:tr>
      <w:tr w:rsidR="00943282" w:rsidRPr="00943282" w14:paraId="6061EBA4" w14:textId="77777777" w:rsidTr="00943282">
        <w:trPr>
          <w:trHeight w:val="300"/>
        </w:trPr>
        <w:tc>
          <w:tcPr>
            <w:tcW w:w="954" w:type="dxa"/>
            <w:tcBorders>
              <w:top w:val="nil"/>
              <w:left w:val="nil"/>
              <w:bottom w:val="nil"/>
              <w:right w:val="nil"/>
            </w:tcBorders>
            <w:shd w:val="clear" w:color="auto" w:fill="auto"/>
            <w:noWrap/>
            <w:vAlign w:val="bottom"/>
            <w:hideMark/>
          </w:tcPr>
          <w:p w14:paraId="78E3AE3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w:t>
            </w:r>
          </w:p>
        </w:tc>
        <w:tc>
          <w:tcPr>
            <w:tcW w:w="1008" w:type="dxa"/>
            <w:tcBorders>
              <w:top w:val="nil"/>
              <w:left w:val="nil"/>
              <w:bottom w:val="nil"/>
              <w:right w:val="nil"/>
            </w:tcBorders>
            <w:shd w:val="clear" w:color="auto" w:fill="auto"/>
            <w:noWrap/>
            <w:vAlign w:val="bottom"/>
            <w:hideMark/>
          </w:tcPr>
          <w:p w14:paraId="519FFC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DNK</w:t>
            </w:r>
          </w:p>
        </w:tc>
        <w:tc>
          <w:tcPr>
            <w:tcW w:w="2152" w:type="dxa"/>
            <w:tcBorders>
              <w:top w:val="nil"/>
              <w:left w:val="nil"/>
              <w:bottom w:val="nil"/>
              <w:right w:val="nil"/>
            </w:tcBorders>
            <w:shd w:val="clear" w:color="auto" w:fill="auto"/>
            <w:noWrap/>
            <w:vAlign w:val="bottom"/>
            <w:hideMark/>
          </w:tcPr>
          <w:p w14:paraId="01A2D5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Denmark</w:t>
            </w:r>
          </w:p>
        </w:tc>
        <w:tc>
          <w:tcPr>
            <w:tcW w:w="1006" w:type="dxa"/>
            <w:tcBorders>
              <w:top w:val="nil"/>
              <w:left w:val="nil"/>
              <w:bottom w:val="nil"/>
              <w:right w:val="nil"/>
            </w:tcBorders>
            <w:shd w:val="clear" w:color="auto" w:fill="auto"/>
            <w:noWrap/>
            <w:vAlign w:val="bottom"/>
            <w:hideMark/>
          </w:tcPr>
          <w:p w14:paraId="520433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5.001315</w:t>
            </w:r>
          </w:p>
        </w:tc>
        <w:tc>
          <w:tcPr>
            <w:tcW w:w="976" w:type="dxa"/>
            <w:tcBorders>
              <w:top w:val="nil"/>
              <w:left w:val="nil"/>
              <w:bottom w:val="nil"/>
              <w:right w:val="nil"/>
            </w:tcBorders>
            <w:shd w:val="clear" w:color="auto" w:fill="auto"/>
            <w:noWrap/>
            <w:vAlign w:val="bottom"/>
            <w:hideMark/>
          </w:tcPr>
          <w:p w14:paraId="0626E2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34.72713</w:t>
            </w:r>
          </w:p>
        </w:tc>
        <w:tc>
          <w:tcPr>
            <w:tcW w:w="1001" w:type="dxa"/>
            <w:tcBorders>
              <w:top w:val="nil"/>
              <w:left w:val="nil"/>
              <w:bottom w:val="nil"/>
              <w:right w:val="nil"/>
            </w:tcBorders>
            <w:shd w:val="clear" w:color="auto" w:fill="auto"/>
            <w:noWrap/>
            <w:vAlign w:val="bottom"/>
            <w:hideMark/>
          </w:tcPr>
          <w:p w14:paraId="1CCED0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227.3069</w:t>
            </w:r>
          </w:p>
        </w:tc>
        <w:tc>
          <w:tcPr>
            <w:tcW w:w="976" w:type="dxa"/>
            <w:tcBorders>
              <w:top w:val="nil"/>
              <w:left w:val="nil"/>
              <w:bottom w:val="nil"/>
              <w:right w:val="nil"/>
            </w:tcBorders>
            <w:shd w:val="clear" w:color="auto" w:fill="auto"/>
            <w:noWrap/>
            <w:vAlign w:val="bottom"/>
            <w:hideMark/>
          </w:tcPr>
          <w:p w14:paraId="450EB5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1578.328</w:t>
            </w:r>
          </w:p>
        </w:tc>
      </w:tr>
      <w:tr w:rsidR="00943282" w:rsidRPr="00943282" w14:paraId="089B2908" w14:textId="77777777" w:rsidTr="00943282">
        <w:trPr>
          <w:trHeight w:val="300"/>
        </w:trPr>
        <w:tc>
          <w:tcPr>
            <w:tcW w:w="954" w:type="dxa"/>
            <w:tcBorders>
              <w:top w:val="nil"/>
              <w:left w:val="nil"/>
              <w:bottom w:val="nil"/>
              <w:right w:val="nil"/>
            </w:tcBorders>
            <w:shd w:val="clear" w:color="auto" w:fill="auto"/>
            <w:noWrap/>
            <w:vAlign w:val="bottom"/>
            <w:hideMark/>
          </w:tcPr>
          <w:p w14:paraId="2799CE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w:t>
            </w:r>
          </w:p>
        </w:tc>
        <w:tc>
          <w:tcPr>
            <w:tcW w:w="1008" w:type="dxa"/>
            <w:tcBorders>
              <w:top w:val="nil"/>
              <w:left w:val="nil"/>
              <w:bottom w:val="nil"/>
              <w:right w:val="nil"/>
            </w:tcBorders>
            <w:shd w:val="clear" w:color="auto" w:fill="auto"/>
            <w:noWrap/>
            <w:vAlign w:val="bottom"/>
            <w:hideMark/>
          </w:tcPr>
          <w:p w14:paraId="529FF2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w:t>
            </w:r>
          </w:p>
        </w:tc>
        <w:tc>
          <w:tcPr>
            <w:tcW w:w="2152" w:type="dxa"/>
            <w:tcBorders>
              <w:top w:val="nil"/>
              <w:left w:val="nil"/>
              <w:bottom w:val="nil"/>
              <w:right w:val="nil"/>
            </w:tcBorders>
            <w:shd w:val="clear" w:color="auto" w:fill="auto"/>
            <w:noWrap/>
            <w:vAlign w:val="bottom"/>
            <w:hideMark/>
          </w:tcPr>
          <w:p w14:paraId="5D23486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Estonia</w:t>
            </w:r>
          </w:p>
        </w:tc>
        <w:tc>
          <w:tcPr>
            <w:tcW w:w="1006" w:type="dxa"/>
            <w:tcBorders>
              <w:top w:val="nil"/>
              <w:left w:val="nil"/>
              <w:bottom w:val="nil"/>
              <w:right w:val="nil"/>
            </w:tcBorders>
            <w:shd w:val="clear" w:color="auto" w:fill="auto"/>
            <w:noWrap/>
            <w:vAlign w:val="bottom"/>
            <w:hideMark/>
          </w:tcPr>
          <w:p w14:paraId="751E2A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4.769868</w:t>
            </w:r>
          </w:p>
        </w:tc>
        <w:tc>
          <w:tcPr>
            <w:tcW w:w="976" w:type="dxa"/>
            <w:tcBorders>
              <w:top w:val="nil"/>
              <w:left w:val="nil"/>
              <w:bottom w:val="nil"/>
              <w:right w:val="nil"/>
            </w:tcBorders>
            <w:shd w:val="clear" w:color="auto" w:fill="auto"/>
            <w:noWrap/>
            <w:vAlign w:val="bottom"/>
            <w:hideMark/>
          </w:tcPr>
          <w:p w14:paraId="215F251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53.50314</w:t>
            </w:r>
          </w:p>
        </w:tc>
        <w:tc>
          <w:tcPr>
            <w:tcW w:w="1001" w:type="dxa"/>
            <w:tcBorders>
              <w:top w:val="nil"/>
              <w:left w:val="nil"/>
              <w:bottom w:val="nil"/>
              <w:right w:val="nil"/>
            </w:tcBorders>
            <w:shd w:val="clear" w:color="auto" w:fill="auto"/>
            <w:noWrap/>
            <w:vAlign w:val="bottom"/>
            <w:hideMark/>
          </w:tcPr>
          <w:p w14:paraId="5A1DF3C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71.54299</w:t>
            </w:r>
          </w:p>
        </w:tc>
        <w:tc>
          <w:tcPr>
            <w:tcW w:w="976" w:type="dxa"/>
            <w:tcBorders>
              <w:top w:val="nil"/>
              <w:left w:val="nil"/>
              <w:bottom w:val="nil"/>
              <w:right w:val="nil"/>
            </w:tcBorders>
            <w:shd w:val="clear" w:color="auto" w:fill="auto"/>
            <w:noWrap/>
            <w:vAlign w:val="bottom"/>
            <w:hideMark/>
          </w:tcPr>
          <w:p w14:paraId="4A1E547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802.4908</w:t>
            </w:r>
          </w:p>
        </w:tc>
      </w:tr>
      <w:tr w:rsidR="00943282" w:rsidRPr="00943282" w14:paraId="4B12C421" w14:textId="77777777" w:rsidTr="00943282">
        <w:trPr>
          <w:trHeight w:val="300"/>
        </w:trPr>
        <w:tc>
          <w:tcPr>
            <w:tcW w:w="954" w:type="dxa"/>
            <w:tcBorders>
              <w:top w:val="nil"/>
              <w:left w:val="nil"/>
              <w:bottom w:val="nil"/>
              <w:right w:val="nil"/>
            </w:tcBorders>
            <w:shd w:val="clear" w:color="auto" w:fill="auto"/>
            <w:noWrap/>
            <w:vAlign w:val="bottom"/>
            <w:hideMark/>
          </w:tcPr>
          <w:p w14:paraId="4381D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w:t>
            </w:r>
          </w:p>
        </w:tc>
        <w:tc>
          <w:tcPr>
            <w:tcW w:w="1008" w:type="dxa"/>
            <w:tcBorders>
              <w:top w:val="nil"/>
              <w:left w:val="nil"/>
              <w:bottom w:val="nil"/>
              <w:right w:val="nil"/>
            </w:tcBorders>
            <w:shd w:val="clear" w:color="auto" w:fill="auto"/>
            <w:noWrap/>
            <w:vAlign w:val="bottom"/>
            <w:hideMark/>
          </w:tcPr>
          <w:p w14:paraId="67F682A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w:t>
            </w:r>
          </w:p>
        </w:tc>
        <w:tc>
          <w:tcPr>
            <w:tcW w:w="2152" w:type="dxa"/>
            <w:tcBorders>
              <w:top w:val="nil"/>
              <w:left w:val="nil"/>
              <w:bottom w:val="nil"/>
              <w:right w:val="nil"/>
            </w:tcBorders>
            <w:shd w:val="clear" w:color="auto" w:fill="auto"/>
            <w:noWrap/>
            <w:vAlign w:val="bottom"/>
            <w:hideMark/>
          </w:tcPr>
          <w:p w14:paraId="76FF4FC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Finland</w:t>
            </w:r>
          </w:p>
        </w:tc>
        <w:tc>
          <w:tcPr>
            <w:tcW w:w="1006" w:type="dxa"/>
            <w:tcBorders>
              <w:top w:val="nil"/>
              <w:left w:val="nil"/>
              <w:bottom w:val="nil"/>
              <w:right w:val="nil"/>
            </w:tcBorders>
            <w:shd w:val="clear" w:color="auto" w:fill="auto"/>
            <w:noWrap/>
            <w:vAlign w:val="bottom"/>
            <w:hideMark/>
          </w:tcPr>
          <w:p w14:paraId="31406F4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6.033878</w:t>
            </w:r>
          </w:p>
        </w:tc>
        <w:tc>
          <w:tcPr>
            <w:tcW w:w="976" w:type="dxa"/>
            <w:tcBorders>
              <w:top w:val="nil"/>
              <w:left w:val="nil"/>
              <w:bottom w:val="nil"/>
              <w:right w:val="nil"/>
            </w:tcBorders>
            <w:shd w:val="clear" w:color="auto" w:fill="auto"/>
            <w:noWrap/>
            <w:vAlign w:val="bottom"/>
            <w:hideMark/>
          </w:tcPr>
          <w:p w14:paraId="0FF9F0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33.29633</w:t>
            </w:r>
          </w:p>
        </w:tc>
        <w:tc>
          <w:tcPr>
            <w:tcW w:w="1001" w:type="dxa"/>
            <w:tcBorders>
              <w:top w:val="nil"/>
              <w:left w:val="nil"/>
              <w:bottom w:val="nil"/>
              <w:right w:val="nil"/>
            </w:tcBorders>
            <w:shd w:val="clear" w:color="auto" w:fill="auto"/>
            <w:noWrap/>
            <w:vAlign w:val="bottom"/>
            <w:hideMark/>
          </w:tcPr>
          <w:p w14:paraId="027FD21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218.4061</w:t>
            </w:r>
          </w:p>
        </w:tc>
        <w:tc>
          <w:tcPr>
            <w:tcW w:w="976" w:type="dxa"/>
            <w:tcBorders>
              <w:top w:val="nil"/>
              <w:left w:val="nil"/>
              <w:bottom w:val="nil"/>
              <w:right w:val="nil"/>
            </w:tcBorders>
            <w:shd w:val="clear" w:color="auto" w:fill="auto"/>
            <w:noWrap/>
            <w:vAlign w:val="bottom"/>
            <w:hideMark/>
          </w:tcPr>
          <w:p w14:paraId="7CAB1A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1205.216</w:t>
            </w:r>
          </w:p>
        </w:tc>
      </w:tr>
      <w:tr w:rsidR="00943282" w:rsidRPr="00943282" w14:paraId="22DEA7E2" w14:textId="77777777" w:rsidTr="00943282">
        <w:trPr>
          <w:trHeight w:val="300"/>
        </w:trPr>
        <w:tc>
          <w:tcPr>
            <w:tcW w:w="954" w:type="dxa"/>
            <w:tcBorders>
              <w:top w:val="nil"/>
              <w:left w:val="nil"/>
              <w:bottom w:val="nil"/>
              <w:right w:val="nil"/>
            </w:tcBorders>
            <w:shd w:val="clear" w:color="auto" w:fill="auto"/>
            <w:noWrap/>
            <w:vAlign w:val="bottom"/>
            <w:hideMark/>
          </w:tcPr>
          <w:p w14:paraId="29FB16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w:t>
            </w:r>
          </w:p>
        </w:tc>
        <w:tc>
          <w:tcPr>
            <w:tcW w:w="1008" w:type="dxa"/>
            <w:tcBorders>
              <w:top w:val="nil"/>
              <w:left w:val="nil"/>
              <w:bottom w:val="nil"/>
              <w:right w:val="nil"/>
            </w:tcBorders>
            <w:shd w:val="clear" w:color="auto" w:fill="auto"/>
            <w:noWrap/>
            <w:vAlign w:val="bottom"/>
            <w:hideMark/>
          </w:tcPr>
          <w:p w14:paraId="209392E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w:t>
            </w:r>
          </w:p>
        </w:tc>
        <w:tc>
          <w:tcPr>
            <w:tcW w:w="2152" w:type="dxa"/>
            <w:tcBorders>
              <w:top w:val="nil"/>
              <w:left w:val="nil"/>
              <w:bottom w:val="nil"/>
              <w:right w:val="nil"/>
            </w:tcBorders>
            <w:shd w:val="clear" w:color="auto" w:fill="auto"/>
            <w:noWrap/>
            <w:vAlign w:val="bottom"/>
            <w:hideMark/>
          </w:tcPr>
          <w:p w14:paraId="587705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France</w:t>
            </w:r>
          </w:p>
        </w:tc>
        <w:tc>
          <w:tcPr>
            <w:tcW w:w="1006" w:type="dxa"/>
            <w:tcBorders>
              <w:top w:val="nil"/>
              <w:left w:val="nil"/>
              <w:bottom w:val="nil"/>
              <w:right w:val="nil"/>
            </w:tcBorders>
            <w:shd w:val="clear" w:color="auto" w:fill="auto"/>
            <w:noWrap/>
            <w:vAlign w:val="bottom"/>
            <w:hideMark/>
          </w:tcPr>
          <w:p w14:paraId="6C29D9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5.055769</w:t>
            </w:r>
          </w:p>
        </w:tc>
        <w:tc>
          <w:tcPr>
            <w:tcW w:w="976" w:type="dxa"/>
            <w:tcBorders>
              <w:top w:val="nil"/>
              <w:left w:val="nil"/>
              <w:bottom w:val="nil"/>
              <w:right w:val="nil"/>
            </w:tcBorders>
            <w:shd w:val="clear" w:color="auto" w:fill="auto"/>
            <w:noWrap/>
            <w:vAlign w:val="bottom"/>
            <w:hideMark/>
          </w:tcPr>
          <w:p w14:paraId="1C88E4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31.51925</w:t>
            </w:r>
          </w:p>
        </w:tc>
        <w:tc>
          <w:tcPr>
            <w:tcW w:w="1001" w:type="dxa"/>
            <w:tcBorders>
              <w:top w:val="nil"/>
              <w:left w:val="nil"/>
              <w:bottom w:val="nil"/>
              <w:right w:val="nil"/>
            </w:tcBorders>
            <w:shd w:val="clear" w:color="auto" w:fill="auto"/>
            <w:noWrap/>
            <w:vAlign w:val="bottom"/>
            <w:hideMark/>
          </w:tcPr>
          <w:p w14:paraId="4AA7726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162.3835</w:t>
            </w:r>
          </w:p>
        </w:tc>
        <w:tc>
          <w:tcPr>
            <w:tcW w:w="976" w:type="dxa"/>
            <w:tcBorders>
              <w:top w:val="nil"/>
              <w:left w:val="nil"/>
              <w:bottom w:val="nil"/>
              <w:right w:val="nil"/>
            </w:tcBorders>
            <w:shd w:val="clear" w:color="auto" w:fill="auto"/>
            <w:noWrap/>
            <w:vAlign w:val="bottom"/>
            <w:hideMark/>
          </w:tcPr>
          <w:p w14:paraId="14DDFA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1012.35</w:t>
            </w:r>
          </w:p>
        </w:tc>
      </w:tr>
      <w:tr w:rsidR="00943282" w:rsidRPr="00943282" w14:paraId="3B6BC8BA" w14:textId="77777777" w:rsidTr="00943282">
        <w:trPr>
          <w:trHeight w:val="300"/>
        </w:trPr>
        <w:tc>
          <w:tcPr>
            <w:tcW w:w="954" w:type="dxa"/>
            <w:tcBorders>
              <w:top w:val="nil"/>
              <w:left w:val="nil"/>
              <w:bottom w:val="nil"/>
              <w:right w:val="nil"/>
            </w:tcBorders>
            <w:shd w:val="clear" w:color="auto" w:fill="auto"/>
            <w:noWrap/>
            <w:vAlign w:val="bottom"/>
            <w:hideMark/>
          </w:tcPr>
          <w:p w14:paraId="52DB5E3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w:t>
            </w:r>
          </w:p>
        </w:tc>
        <w:tc>
          <w:tcPr>
            <w:tcW w:w="1008" w:type="dxa"/>
            <w:tcBorders>
              <w:top w:val="nil"/>
              <w:left w:val="nil"/>
              <w:bottom w:val="nil"/>
              <w:right w:val="nil"/>
            </w:tcBorders>
            <w:shd w:val="clear" w:color="auto" w:fill="auto"/>
            <w:noWrap/>
            <w:vAlign w:val="bottom"/>
            <w:hideMark/>
          </w:tcPr>
          <w:p w14:paraId="44BA715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w:t>
            </w:r>
          </w:p>
        </w:tc>
        <w:tc>
          <w:tcPr>
            <w:tcW w:w="2152" w:type="dxa"/>
            <w:tcBorders>
              <w:top w:val="nil"/>
              <w:left w:val="nil"/>
              <w:bottom w:val="nil"/>
              <w:right w:val="nil"/>
            </w:tcBorders>
            <w:shd w:val="clear" w:color="auto" w:fill="auto"/>
            <w:noWrap/>
            <w:vAlign w:val="bottom"/>
            <w:hideMark/>
          </w:tcPr>
          <w:p w14:paraId="3F9C19F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Georgia</w:t>
            </w:r>
          </w:p>
        </w:tc>
        <w:tc>
          <w:tcPr>
            <w:tcW w:w="1006" w:type="dxa"/>
            <w:tcBorders>
              <w:top w:val="nil"/>
              <w:left w:val="nil"/>
              <w:bottom w:val="nil"/>
              <w:right w:val="nil"/>
            </w:tcBorders>
            <w:shd w:val="clear" w:color="auto" w:fill="auto"/>
            <w:noWrap/>
            <w:vAlign w:val="bottom"/>
            <w:hideMark/>
          </w:tcPr>
          <w:p w14:paraId="574A0C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5.907595</w:t>
            </w:r>
          </w:p>
        </w:tc>
        <w:tc>
          <w:tcPr>
            <w:tcW w:w="976" w:type="dxa"/>
            <w:tcBorders>
              <w:top w:val="nil"/>
              <w:left w:val="nil"/>
              <w:bottom w:val="nil"/>
              <w:right w:val="nil"/>
            </w:tcBorders>
            <w:shd w:val="clear" w:color="auto" w:fill="auto"/>
            <w:noWrap/>
            <w:vAlign w:val="bottom"/>
            <w:hideMark/>
          </w:tcPr>
          <w:p w14:paraId="4EC313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58.59946</w:t>
            </w:r>
          </w:p>
        </w:tc>
        <w:tc>
          <w:tcPr>
            <w:tcW w:w="1001" w:type="dxa"/>
            <w:tcBorders>
              <w:top w:val="nil"/>
              <w:left w:val="nil"/>
              <w:bottom w:val="nil"/>
              <w:right w:val="nil"/>
            </w:tcBorders>
            <w:shd w:val="clear" w:color="auto" w:fill="auto"/>
            <w:noWrap/>
            <w:vAlign w:val="bottom"/>
            <w:hideMark/>
          </w:tcPr>
          <w:p w14:paraId="2CBD380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25.13581</w:t>
            </w:r>
          </w:p>
        </w:tc>
        <w:tc>
          <w:tcPr>
            <w:tcW w:w="976" w:type="dxa"/>
            <w:tcBorders>
              <w:top w:val="nil"/>
              <w:left w:val="nil"/>
              <w:bottom w:val="nil"/>
              <w:right w:val="nil"/>
            </w:tcBorders>
            <w:shd w:val="clear" w:color="auto" w:fill="auto"/>
            <w:noWrap/>
            <w:vAlign w:val="bottom"/>
            <w:hideMark/>
          </w:tcPr>
          <w:p w14:paraId="721C1C0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249.3307</w:t>
            </w:r>
          </w:p>
        </w:tc>
      </w:tr>
      <w:tr w:rsidR="00943282" w:rsidRPr="00943282" w14:paraId="4E6FC85B" w14:textId="77777777" w:rsidTr="00943282">
        <w:trPr>
          <w:trHeight w:val="300"/>
        </w:trPr>
        <w:tc>
          <w:tcPr>
            <w:tcW w:w="954" w:type="dxa"/>
            <w:tcBorders>
              <w:top w:val="nil"/>
              <w:left w:val="nil"/>
              <w:bottom w:val="nil"/>
              <w:right w:val="nil"/>
            </w:tcBorders>
            <w:shd w:val="clear" w:color="auto" w:fill="auto"/>
            <w:noWrap/>
            <w:vAlign w:val="bottom"/>
            <w:hideMark/>
          </w:tcPr>
          <w:p w14:paraId="31006A6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w:t>
            </w:r>
          </w:p>
        </w:tc>
        <w:tc>
          <w:tcPr>
            <w:tcW w:w="1008" w:type="dxa"/>
            <w:tcBorders>
              <w:top w:val="nil"/>
              <w:left w:val="nil"/>
              <w:bottom w:val="nil"/>
              <w:right w:val="nil"/>
            </w:tcBorders>
            <w:shd w:val="clear" w:color="auto" w:fill="auto"/>
            <w:noWrap/>
            <w:vAlign w:val="bottom"/>
            <w:hideMark/>
          </w:tcPr>
          <w:p w14:paraId="77FEBB4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DEU</w:t>
            </w:r>
          </w:p>
        </w:tc>
        <w:tc>
          <w:tcPr>
            <w:tcW w:w="2152" w:type="dxa"/>
            <w:tcBorders>
              <w:top w:val="nil"/>
              <w:left w:val="nil"/>
              <w:bottom w:val="nil"/>
              <w:right w:val="nil"/>
            </w:tcBorders>
            <w:shd w:val="clear" w:color="auto" w:fill="auto"/>
            <w:noWrap/>
            <w:vAlign w:val="bottom"/>
            <w:hideMark/>
          </w:tcPr>
          <w:p w14:paraId="0264303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Germany</w:t>
            </w:r>
          </w:p>
        </w:tc>
        <w:tc>
          <w:tcPr>
            <w:tcW w:w="1006" w:type="dxa"/>
            <w:tcBorders>
              <w:top w:val="nil"/>
              <w:left w:val="nil"/>
              <w:bottom w:val="nil"/>
              <w:right w:val="nil"/>
            </w:tcBorders>
            <w:shd w:val="clear" w:color="auto" w:fill="auto"/>
            <w:noWrap/>
            <w:vAlign w:val="bottom"/>
            <w:hideMark/>
          </w:tcPr>
          <w:p w14:paraId="1DDCE8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3.891831</w:t>
            </w:r>
          </w:p>
        </w:tc>
        <w:tc>
          <w:tcPr>
            <w:tcW w:w="976" w:type="dxa"/>
            <w:tcBorders>
              <w:top w:val="nil"/>
              <w:left w:val="nil"/>
              <w:bottom w:val="nil"/>
              <w:right w:val="nil"/>
            </w:tcBorders>
            <w:shd w:val="clear" w:color="auto" w:fill="auto"/>
            <w:noWrap/>
            <w:vAlign w:val="bottom"/>
            <w:hideMark/>
          </w:tcPr>
          <w:p w14:paraId="3ED31CE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32.11489</w:t>
            </w:r>
          </w:p>
        </w:tc>
        <w:tc>
          <w:tcPr>
            <w:tcW w:w="1001" w:type="dxa"/>
            <w:tcBorders>
              <w:top w:val="nil"/>
              <w:left w:val="nil"/>
              <w:bottom w:val="nil"/>
              <w:right w:val="nil"/>
            </w:tcBorders>
            <w:shd w:val="clear" w:color="auto" w:fill="auto"/>
            <w:noWrap/>
            <w:vAlign w:val="bottom"/>
            <w:hideMark/>
          </w:tcPr>
          <w:p w14:paraId="4407B68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137.3651</w:t>
            </w:r>
          </w:p>
        </w:tc>
        <w:tc>
          <w:tcPr>
            <w:tcW w:w="976" w:type="dxa"/>
            <w:tcBorders>
              <w:top w:val="nil"/>
              <w:left w:val="nil"/>
              <w:bottom w:val="nil"/>
              <w:right w:val="nil"/>
            </w:tcBorders>
            <w:shd w:val="clear" w:color="auto" w:fill="auto"/>
            <w:noWrap/>
            <w:vAlign w:val="bottom"/>
            <w:hideMark/>
          </w:tcPr>
          <w:p w14:paraId="76F274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1133.519</w:t>
            </w:r>
          </w:p>
        </w:tc>
      </w:tr>
      <w:tr w:rsidR="00943282" w:rsidRPr="00943282" w14:paraId="33BB7FB8" w14:textId="77777777" w:rsidTr="00943282">
        <w:trPr>
          <w:trHeight w:val="300"/>
        </w:trPr>
        <w:tc>
          <w:tcPr>
            <w:tcW w:w="954" w:type="dxa"/>
            <w:tcBorders>
              <w:top w:val="nil"/>
              <w:left w:val="nil"/>
              <w:bottom w:val="nil"/>
              <w:right w:val="nil"/>
            </w:tcBorders>
            <w:shd w:val="clear" w:color="auto" w:fill="auto"/>
            <w:noWrap/>
            <w:vAlign w:val="bottom"/>
            <w:hideMark/>
          </w:tcPr>
          <w:p w14:paraId="31661C8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w:t>
            </w:r>
          </w:p>
        </w:tc>
        <w:tc>
          <w:tcPr>
            <w:tcW w:w="1008" w:type="dxa"/>
            <w:tcBorders>
              <w:top w:val="nil"/>
              <w:left w:val="nil"/>
              <w:bottom w:val="nil"/>
              <w:right w:val="nil"/>
            </w:tcBorders>
            <w:shd w:val="clear" w:color="auto" w:fill="auto"/>
            <w:noWrap/>
            <w:vAlign w:val="bottom"/>
            <w:hideMark/>
          </w:tcPr>
          <w:p w14:paraId="35606B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GRC</w:t>
            </w:r>
          </w:p>
        </w:tc>
        <w:tc>
          <w:tcPr>
            <w:tcW w:w="2152" w:type="dxa"/>
            <w:tcBorders>
              <w:top w:val="nil"/>
              <w:left w:val="nil"/>
              <w:bottom w:val="nil"/>
              <w:right w:val="nil"/>
            </w:tcBorders>
            <w:shd w:val="clear" w:color="auto" w:fill="auto"/>
            <w:noWrap/>
            <w:vAlign w:val="bottom"/>
            <w:hideMark/>
          </w:tcPr>
          <w:p w14:paraId="4F10FF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Greece</w:t>
            </w:r>
          </w:p>
        </w:tc>
        <w:tc>
          <w:tcPr>
            <w:tcW w:w="1006" w:type="dxa"/>
            <w:tcBorders>
              <w:top w:val="nil"/>
              <w:left w:val="nil"/>
              <w:bottom w:val="nil"/>
              <w:right w:val="nil"/>
            </w:tcBorders>
            <w:shd w:val="clear" w:color="auto" w:fill="auto"/>
            <w:noWrap/>
            <w:vAlign w:val="bottom"/>
            <w:hideMark/>
          </w:tcPr>
          <w:p w14:paraId="46F2BF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4.310497</w:t>
            </w:r>
          </w:p>
        </w:tc>
        <w:tc>
          <w:tcPr>
            <w:tcW w:w="976" w:type="dxa"/>
            <w:tcBorders>
              <w:top w:val="nil"/>
              <w:left w:val="nil"/>
              <w:bottom w:val="nil"/>
              <w:right w:val="nil"/>
            </w:tcBorders>
            <w:shd w:val="clear" w:color="auto" w:fill="auto"/>
            <w:noWrap/>
            <w:vAlign w:val="bottom"/>
            <w:hideMark/>
          </w:tcPr>
          <w:p w14:paraId="699BC0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29.90386</w:t>
            </w:r>
          </w:p>
        </w:tc>
        <w:tc>
          <w:tcPr>
            <w:tcW w:w="1001" w:type="dxa"/>
            <w:tcBorders>
              <w:top w:val="nil"/>
              <w:left w:val="nil"/>
              <w:bottom w:val="nil"/>
              <w:right w:val="nil"/>
            </w:tcBorders>
            <w:shd w:val="clear" w:color="auto" w:fill="auto"/>
            <w:noWrap/>
            <w:vAlign w:val="bottom"/>
            <w:hideMark/>
          </w:tcPr>
          <w:p w14:paraId="17317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79.58051</w:t>
            </w:r>
          </w:p>
        </w:tc>
        <w:tc>
          <w:tcPr>
            <w:tcW w:w="976" w:type="dxa"/>
            <w:tcBorders>
              <w:top w:val="nil"/>
              <w:left w:val="nil"/>
              <w:bottom w:val="nil"/>
              <w:right w:val="nil"/>
            </w:tcBorders>
            <w:shd w:val="clear" w:color="auto" w:fill="auto"/>
            <w:noWrap/>
            <w:vAlign w:val="bottom"/>
            <w:hideMark/>
          </w:tcPr>
          <w:p w14:paraId="5ED886E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552.0859</w:t>
            </w:r>
          </w:p>
        </w:tc>
      </w:tr>
      <w:tr w:rsidR="00943282" w:rsidRPr="00943282" w14:paraId="5F84361E" w14:textId="77777777" w:rsidTr="00943282">
        <w:trPr>
          <w:trHeight w:val="300"/>
        </w:trPr>
        <w:tc>
          <w:tcPr>
            <w:tcW w:w="954" w:type="dxa"/>
            <w:tcBorders>
              <w:top w:val="nil"/>
              <w:left w:val="nil"/>
              <w:bottom w:val="nil"/>
              <w:right w:val="nil"/>
            </w:tcBorders>
            <w:shd w:val="clear" w:color="auto" w:fill="auto"/>
            <w:noWrap/>
            <w:vAlign w:val="bottom"/>
            <w:hideMark/>
          </w:tcPr>
          <w:p w14:paraId="3B1F73B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w:t>
            </w:r>
          </w:p>
        </w:tc>
        <w:tc>
          <w:tcPr>
            <w:tcW w:w="1008" w:type="dxa"/>
            <w:tcBorders>
              <w:top w:val="nil"/>
              <w:left w:val="nil"/>
              <w:bottom w:val="nil"/>
              <w:right w:val="nil"/>
            </w:tcBorders>
            <w:shd w:val="clear" w:color="auto" w:fill="auto"/>
            <w:noWrap/>
            <w:vAlign w:val="bottom"/>
            <w:hideMark/>
          </w:tcPr>
          <w:p w14:paraId="40A7CE7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w:t>
            </w:r>
          </w:p>
        </w:tc>
        <w:tc>
          <w:tcPr>
            <w:tcW w:w="2152" w:type="dxa"/>
            <w:tcBorders>
              <w:top w:val="nil"/>
              <w:left w:val="nil"/>
              <w:bottom w:val="nil"/>
              <w:right w:val="nil"/>
            </w:tcBorders>
            <w:shd w:val="clear" w:color="auto" w:fill="auto"/>
            <w:noWrap/>
            <w:vAlign w:val="bottom"/>
            <w:hideMark/>
          </w:tcPr>
          <w:p w14:paraId="00A947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Hungary</w:t>
            </w:r>
          </w:p>
        </w:tc>
        <w:tc>
          <w:tcPr>
            <w:tcW w:w="1006" w:type="dxa"/>
            <w:tcBorders>
              <w:top w:val="nil"/>
              <w:left w:val="nil"/>
              <w:bottom w:val="nil"/>
              <w:right w:val="nil"/>
            </w:tcBorders>
            <w:shd w:val="clear" w:color="auto" w:fill="auto"/>
            <w:noWrap/>
            <w:vAlign w:val="bottom"/>
            <w:hideMark/>
          </w:tcPr>
          <w:p w14:paraId="24EE38F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4.120157</w:t>
            </w:r>
          </w:p>
        </w:tc>
        <w:tc>
          <w:tcPr>
            <w:tcW w:w="976" w:type="dxa"/>
            <w:tcBorders>
              <w:top w:val="nil"/>
              <w:left w:val="nil"/>
              <w:bottom w:val="nil"/>
              <w:right w:val="nil"/>
            </w:tcBorders>
            <w:shd w:val="clear" w:color="auto" w:fill="auto"/>
            <w:noWrap/>
            <w:vAlign w:val="bottom"/>
            <w:hideMark/>
          </w:tcPr>
          <w:p w14:paraId="620B0D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60.55442</w:t>
            </w:r>
          </w:p>
        </w:tc>
        <w:tc>
          <w:tcPr>
            <w:tcW w:w="1001" w:type="dxa"/>
            <w:tcBorders>
              <w:top w:val="nil"/>
              <w:left w:val="nil"/>
              <w:bottom w:val="nil"/>
              <w:right w:val="nil"/>
            </w:tcBorders>
            <w:shd w:val="clear" w:color="auto" w:fill="auto"/>
            <w:noWrap/>
            <w:vAlign w:val="bottom"/>
            <w:hideMark/>
          </w:tcPr>
          <w:p w14:paraId="5D0FF2C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51.46563</w:t>
            </w:r>
          </w:p>
        </w:tc>
        <w:tc>
          <w:tcPr>
            <w:tcW w:w="976" w:type="dxa"/>
            <w:tcBorders>
              <w:top w:val="nil"/>
              <w:left w:val="nil"/>
              <w:bottom w:val="nil"/>
              <w:right w:val="nil"/>
            </w:tcBorders>
            <w:shd w:val="clear" w:color="auto" w:fill="auto"/>
            <w:noWrap/>
            <w:vAlign w:val="bottom"/>
            <w:hideMark/>
          </w:tcPr>
          <w:p w14:paraId="47E2B69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756.3963</w:t>
            </w:r>
          </w:p>
        </w:tc>
      </w:tr>
      <w:tr w:rsidR="00943282" w:rsidRPr="00943282" w14:paraId="6C3E36BC" w14:textId="77777777" w:rsidTr="00943282">
        <w:trPr>
          <w:trHeight w:val="300"/>
        </w:trPr>
        <w:tc>
          <w:tcPr>
            <w:tcW w:w="954" w:type="dxa"/>
            <w:tcBorders>
              <w:top w:val="nil"/>
              <w:left w:val="nil"/>
              <w:bottom w:val="nil"/>
              <w:right w:val="nil"/>
            </w:tcBorders>
            <w:shd w:val="clear" w:color="auto" w:fill="auto"/>
            <w:noWrap/>
            <w:vAlign w:val="bottom"/>
            <w:hideMark/>
          </w:tcPr>
          <w:p w14:paraId="6E1D069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w:t>
            </w:r>
          </w:p>
        </w:tc>
        <w:tc>
          <w:tcPr>
            <w:tcW w:w="1008" w:type="dxa"/>
            <w:tcBorders>
              <w:top w:val="nil"/>
              <w:left w:val="nil"/>
              <w:bottom w:val="nil"/>
              <w:right w:val="nil"/>
            </w:tcBorders>
            <w:shd w:val="clear" w:color="auto" w:fill="auto"/>
            <w:noWrap/>
            <w:vAlign w:val="bottom"/>
            <w:hideMark/>
          </w:tcPr>
          <w:p w14:paraId="6A93E6E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IRL</w:t>
            </w:r>
          </w:p>
        </w:tc>
        <w:tc>
          <w:tcPr>
            <w:tcW w:w="2152" w:type="dxa"/>
            <w:tcBorders>
              <w:top w:val="nil"/>
              <w:left w:val="nil"/>
              <w:bottom w:val="nil"/>
              <w:right w:val="nil"/>
            </w:tcBorders>
            <w:shd w:val="clear" w:color="auto" w:fill="auto"/>
            <w:noWrap/>
            <w:vAlign w:val="bottom"/>
            <w:hideMark/>
          </w:tcPr>
          <w:p w14:paraId="470E813D"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Ireland</w:t>
            </w:r>
          </w:p>
        </w:tc>
        <w:tc>
          <w:tcPr>
            <w:tcW w:w="1006" w:type="dxa"/>
            <w:tcBorders>
              <w:top w:val="nil"/>
              <w:left w:val="nil"/>
              <w:bottom w:val="nil"/>
              <w:right w:val="nil"/>
            </w:tcBorders>
            <w:shd w:val="clear" w:color="auto" w:fill="auto"/>
            <w:noWrap/>
            <w:vAlign w:val="bottom"/>
            <w:hideMark/>
          </w:tcPr>
          <w:p w14:paraId="751EF8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4.748741</w:t>
            </w:r>
          </w:p>
        </w:tc>
        <w:tc>
          <w:tcPr>
            <w:tcW w:w="976" w:type="dxa"/>
            <w:tcBorders>
              <w:top w:val="nil"/>
              <w:left w:val="nil"/>
              <w:bottom w:val="nil"/>
              <w:right w:val="nil"/>
            </w:tcBorders>
            <w:shd w:val="clear" w:color="auto" w:fill="auto"/>
            <w:noWrap/>
            <w:vAlign w:val="bottom"/>
            <w:hideMark/>
          </w:tcPr>
          <w:p w14:paraId="401D368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31.26906</w:t>
            </w:r>
          </w:p>
        </w:tc>
        <w:tc>
          <w:tcPr>
            <w:tcW w:w="1001" w:type="dxa"/>
            <w:tcBorders>
              <w:top w:val="nil"/>
              <w:left w:val="nil"/>
              <w:bottom w:val="nil"/>
              <w:right w:val="nil"/>
            </w:tcBorders>
            <w:shd w:val="clear" w:color="auto" w:fill="auto"/>
            <w:noWrap/>
            <w:vAlign w:val="bottom"/>
            <w:hideMark/>
          </w:tcPr>
          <w:p w14:paraId="3BC2803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241.1933</w:t>
            </w:r>
          </w:p>
        </w:tc>
        <w:tc>
          <w:tcPr>
            <w:tcW w:w="976" w:type="dxa"/>
            <w:tcBorders>
              <w:top w:val="nil"/>
              <w:left w:val="nil"/>
              <w:bottom w:val="nil"/>
              <w:right w:val="nil"/>
            </w:tcBorders>
            <w:shd w:val="clear" w:color="auto" w:fill="auto"/>
            <w:noWrap/>
            <w:vAlign w:val="bottom"/>
            <w:hideMark/>
          </w:tcPr>
          <w:p w14:paraId="2FBC776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1588.187</w:t>
            </w:r>
          </w:p>
        </w:tc>
      </w:tr>
      <w:tr w:rsidR="00943282" w:rsidRPr="00943282" w14:paraId="482DAD54" w14:textId="77777777" w:rsidTr="00943282">
        <w:trPr>
          <w:trHeight w:val="300"/>
        </w:trPr>
        <w:tc>
          <w:tcPr>
            <w:tcW w:w="954" w:type="dxa"/>
            <w:tcBorders>
              <w:top w:val="nil"/>
              <w:left w:val="nil"/>
              <w:bottom w:val="nil"/>
              <w:right w:val="nil"/>
            </w:tcBorders>
            <w:shd w:val="clear" w:color="auto" w:fill="auto"/>
            <w:noWrap/>
            <w:vAlign w:val="bottom"/>
            <w:hideMark/>
          </w:tcPr>
          <w:p w14:paraId="29C6B5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w:t>
            </w:r>
          </w:p>
        </w:tc>
        <w:tc>
          <w:tcPr>
            <w:tcW w:w="1008" w:type="dxa"/>
            <w:tcBorders>
              <w:top w:val="nil"/>
              <w:left w:val="nil"/>
              <w:bottom w:val="nil"/>
              <w:right w:val="nil"/>
            </w:tcBorders>
            <w:shd w:val="clear" w:color="auto" w:fill="auto"/>
            <w:noWrap/>
            <w:vAlign w:val="bottom"/>
            <w:hideMark/>
          </w:tcPr>
          <w:p w14:paraId="4731664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w:t>
            </w:r>
          </w:p>
        </w:tc>
        <w:tc>
          <w:tcPr>
            <w:tcW w:w="2152" w:type="dxa"/>
            <w:tcBorders>
              <w:top w:val="nil"/>
              <w:left w:val="nil"/>
              <w:bottom w:val="nil"/>
              <w:right w:val="nil"/>
            </w:tcBorders>
            <w:shd w:val="clear" w:color="auto" w:fill="auto"/>
            <w:noWrap/>
            <w:vAlign w:val="bottom"/>
            <w:hideMark/>
          </w:tcPr>
          <w:p w14:paraId="4D2CA3E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Italy</w:t>
            </w:r>
          </w:p>
        </w:tc>
        <w:tc>
          <w:tcPr>
            <w:tcW w:w="1006" w:type="dxa"/>
            <w:tcBorders>
              <w:top w:val="nil"/>
              <w:left w:val="nil"/>
              <w:bottom w:val="nil"/>
              <w:right w:val="nil"/>
            </w:tcBorders>
            <w:shd w:val="clear" w:color="auto" w:fill="auto"/>
            <w:noWrap/>
            <w:vAlign w:val="bottom"/>
            <w:hideMark/>
          </w:tcPr>
          <w:p w14:paraId="0DCE69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3.880961</w:t>
            </w:r>
          </w:p>
        </w:tc>
        <w:tc>
          <w:tcPr>
            <w:tcW w:w="976" w:type="dxa"/>
            <w:tcBorders>
              <w:top w:val="nil"/>
              <w:left w:val="nil"/>
              <w:bottom w:val="nil"/>
              <w:right w:val="nil"/>
            </w:tcBorders>
            <w:shd w:val="clear" w:color="auto" w:fill="auto"/>
            <w:noWrap/>
            <w:vAlign w:val="bottom"/>
            <w:hideMark/>
          </w:tcPr>
          <w:p w14:paraId="42A8829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26.26254</w:t>
            </w:r>
          </w:p>
        </w:tc>
        <w:tc>
          <w:tcPr>
            <w:tcW w:w="1001" w:type="dxa"/>
            <w:tcBorders>
              <w:top w:val="nil"/>
              <w:left w:val="nil"/>
              <w:bottom w:val="nil"/>
              <w:right w:val="nil"/>
            </w:tcBorders>
            <w:shd w:val="clear" w:color="auto" w:fill="auto"/>
            <w:noWrap/>
            <w:vAlign w:val="bottom"/>
            <w:hideMark/>
          </w:tcPr>
          <w:p w14:paraId="55A763A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107.4278</w:t>
            </w:r>
          </w:p>
        </w:tc>
        <w:tc>
          <w:tcPr>
            <w:tcW w:w="976" w:type="dxa"/>
            <w:tcBorders>
              <w:top w:val="nil"/>
              <w:left w:val="nil"/>
              <w:bottom w:val="nil"/>
              <w:right w:val="nil"/>
            </w:tcBorders>
            <w:shd w:val="clear" w:color="auto" w:fill="auto"/>
            <w:noWrap/>
            <w:vAlign w:val="bottom"/>
            <w:hideMark/>
          </w:tcPr>
          <w:p w14:paraId="11A6D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726.9663</w:t>
            </w:r>
          </w:p>
        </w:tc>
      </w:tr>
      <w:tr w:rsidR="00943282" w:rsidRPr="00943282" w14:paraId="6D657AE5" w14:textId="77777777" w:rsidTr="00943282">
        <w:trPr>
          <w:trHeight w:val="300"/>
        </w:trPr>
        <w:tc>
          <w:tcPr>
            <w:tcW w:w="954" w:type="dxa"/>
            <w:tcBorders>
              <w:top w:val="nil"/>
              <w:left w:val="nil"/>
              <w:bottom w:val="nil"/>
              <w:right w:val="nil"/>
            </w:tcBorders>
            <w:shd w:val="clear" w:color="auto" w:fill="auto"/>
            <w:noWrap/>
            <w:vAlign w:val="bottom"/>
            <w:hideMark/>
          </w:tcPr>
          <w:p w14:paraId="1B5F5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w:t>
            </w:r>
          </w:p>
        </w:tc>
        <w:tc>
          <w:tcPr>
            <w:tcW w:w="1008" w:type="dxa"/>
            <w:tcBorders>
              <w:top w:val="nil"/>
              <w:left w:val="nil"/>
              <w:bottom w:val="nil"/>
              <w:right w:val="nil"/>
            </w:tcBorders>
            <w:shd w:val="clear" w:color="auto" w:fill="auto"/>
            <w:noWrap/>
            <w:vAlign w:val="bottom"/>
            <w:hideMark/>
          </w:tcPr>
          <w:p w14:paraId="346DD8A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w:t>
            </w:r>
          </w:p>
        </w:tc>
        <w:tc>
          <w:tcPr>
            <w:tcW w:w="2152" w:type="dxa"/>
            <w:tcBorders>
              <w:top w:val="nil"/>
              <w:left w:val="nil"/>
              <w:bottom w:val="nil"/>
              <w:right w:val="nil"/>
            </w:tcBorders>
            <w:shd w:val="clear" w:color="auto" w:fill="auto"/>
            <w:noWrap/>
            <w:vAlign w:val="bottom"/>
            <w:hideMark/>
          </w:tcPr>
          <w:p w14:paraId="751C385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Kazakhstan</w:t>
            </w:r>
          </w:p>
        </w:tc>
        <w:tc>
          <w:tcPr>
            <w:tcW w:w="1006" w:type="dxa"/>
            <w:tcBorders>
              <w:top w:val="nil"/>
              <w:left w:val="nil"/>
              <w:bottom w:val="nil"/>
              <w:right w:val="nil"/>
            </w:tcBorders>
            <w:shd w:val="clear" w:color="auto" w:fill="auto"/>
            <w:noWrap/>
            <w:vAlign w:val="bottom"/>
            <w:hideMark/>
          </w:tcPr>
          <w:p w14:paraId="515A2D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5.071755</w:t>
            </w:r>
          </w:p>
        </w:tc>
        <w:tc>
          <w:tcPr>
            <w:tcW w:w="976" w:type="dxa"/>
            <w:tcBorders>
              <w:top w:val="nil"/>
              <w:left w:val="nil"/>
              <w:bottom w:val="nil"/>
              <w:right w:val="nil"/>
            </w:tcBorders>
            <w:shd w:val="clear" w:color="auto" w:fill="auto"/>
            <w:noWrap/>
            <w:vAlign w:val="bottom"/>
            <w:hideMark/>
          </w:tcPr>
          <w:p w14:paraId="0B8E9A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86.73105</w:t>
            </w:r>
          </w:p>
        </w:tc>
        <w:tc>
          <w:tcPr>
            <w:tcW w:w="1001" w:type="dxa"/>
            <w:tcBorders>
              <w:top w:val="nil"/>
              <w:left w:val="nil"/>
              <w:bottom w:val="nil"/>
              <w:right w:val="nil"/>
            </w:tcBorders>
            <w:shd w:val="clear" w:color="auto" w:fill="auto"/>
            <w:noWrap/>
            <w:vAlign w:val="bottom"/>
            <w:hideMark/>
          </w:tcPr>
          <w:p w14:paraId="78C249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35.6383</w:t>
            </w:r>
          </w:p>
        </w:tc>
        <w:tc>
          <w:tcPr>
            <w:tcW w:w="976" w:type="dxa"/>
            <w:tcBorders>
              <w:top w:val="nil"/>
              <w:left w:val="nil"/>
              <w:bottom w:val="nil"/>
              <w:right w:val="nil"/>
            </w:tcBorders>
            <w:shd w:val="clear" w:color="auto" w:fill="auto"/>
            <w:noWrap/>
            <w:vAlign w:val="bottom"/>
            <w:hideMark/>
          </w:tcPr>
          <w:p w14:paraId="5091332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609.4432</w:t>
            </w:r>
          </w:p>
        </w:tc>
      </w:tr>
      <w:tr w:rsidR="00943282" w:rsidRPr="00943282" w14:paraId="05628438" w14:textId="77777777" w:rsidTr="00943282">
        <w:trPr>
          <w:trHeight w:val="300"/>
        </w:trPr>
        <w:tc>
          <w:tcPr>
            <w:tcW w:w="954" w:type="dxa"/>
            <w:tcBorders>
              <w:top w:val="nil"/>
              <w:left w:val="nil"/>
              <w:bottom w:val="nil"/>
              <w:right w:val="nil"/>
            </w:tcBorders>
            <w:shd w:val="clear" w:color="auto" w:fill="auto"/>
            <w:noWrap/>
            <w:vAlign w:val="bottom"/>
            <w:hideMark/>
          </w:tcPr>
          <w:p w14:paraId="6928A7D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w:t>
            </w:r>
          </w:p>
        </w:tc>
        <w:tc>
          <w:tcPr>
            <w:tcW w:w="1008" w:type="dxa"/>
            <w:tcBorders>
              <w:top w:val="nil"/>
              <w:left w:val="nil"/>
              <w:bottom w:val="nil"/>
              <w:right w:val="nil"/>
            </w:tcBorders>
            <w:shd w:val="clear" w:color="auto" w:fill="auto"/>
            <w:noWrap/>
            <w:vAlign w:val="bottom"/>
            <w:hideMark/>
          </w:tcPr>
          <w:p w14:paraId="57BAC3E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KGZ</w:t>
            </w:r>
          </w:p>
        </w:tc>
        <w:tc>
          <w:tcPr>
            <w:tcW w:w="2152" w:type="dxa"/>
            <w:tcBorders>
              <w:top w:val="nil"/>
              <w:left w:val="nil"/>
              <w:bottom w:val="nil"/>
              <w:right w:val="nil"/>
            </w:tcBorders>
            <w:shd w:val="clear" w:color="auto" w:fill="auto"/>
            <w:noWrap/>
            <w:vAlign w:val="bottom"/>
            <w:hideMark/>
          </w:tcPr>
          <w:p w14:paraId="32F98F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Kyrgyzstan</w:t>
            </w:r>
          </w:p>
        </w:tc>
        <w:tc>
          <w:tcPr>
            <w:tcW w:w="1006" w:type="dxa"/>
            <w:tcBorders>
              <w:top w:val="nil"/>
              <w:left w:val="nil"/>
              <w:bottom w:val="nil"/>
              <w:right w:val="nil"/>
            </w:tcBorders>
            <w:shd w:val="clear" w:color="auto" w:fill="auto"/>
            <w:noWrap/>
            <w:vAlign w:val="bottom"/>
            <w:hideMark/>
          </w:tcPr>
          <w:p w14:paraId="79099A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6.222197</w:t>
            </w:r>
          </w:p>
        </w:tc>
        <w:tc>
          <w:tcPr>
            <w:tcW w:w="976" w:type="dxa"/>
            <w:tcBorders>
              <w:top w:val="nil"/>
              <w:left w:val="nil"/>
              <w:bottom w:val="nil"/>
              <w:right w:val="nil"/>
            </w:tcBorders>
            <w:shd w:val="clear" w:color="auto" w:fill="auto"/>
            <w:noWrap/>
            <w:vAlign w:val="bottom"/>
            <w:hideMark/>
          </w:tcPr>
          <w:p w14:paraId="00727FB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75.4283</w:t>
            </w:r>
          </w:p>
        </w:tc>
        <w:tc>
          <w:tcPr>
            <w:tcW w:w="1001" w:type="dxa"/>
            <w:tcBorders>
              <w:top w:val="nil"/>
              <w:left w:val="nil"/>
              <w:bottom w:val="nil"/>
              <w:right w:val="nil"/>
            </w:tcBorders>
            <w:shd w:val="clear" w:color="auto" w:fill="auto"/>
            <w:noWrap/>
            <w:vAlign w:val="bottom"/>
            <w:hideMark/>
          </w:tcPr>
          <w:p w14:paraId="439ADC1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8.91048</w:t>
            </w:r>
          </w:p>
        </w:tc>
        <w:tc>
          <w:tcPr>
            <w:tcW w:w="976" w:type="dxa"/>
            <w:tcBorders>
              <w:top w:val="nil"/>
              <w:left w:val="nil"/>
              <w:bottom w:val="nil"/>
              <w:right w:val="nil"/>
            </w:tcBorders>
            <w:shd w:val="clear" w:color="auto" w:fill="auto"/>
            <w:noWrap/>
            <w:vAlign w:val="bottom"/>
            <w:hideMark/>
          </w:tcPr>
          <w:p w14:paraId="26FAFA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108.0169</w:t>
            </w:r>
          </w:p>
        </w:tc>
      </w:tr>
      <w:tr w:rsidR="00943282" w:rsidRPr="00943282" w14:paraId="349C87BC" w14:textId="77777777" w:rsidTr="00943282">
        <w:trPr>
          <w:trHeight w:val="300"/>
        </w:trPr>
        <w:tc>
          <w:tcPr>
            <w:tcW w:w="954" w:type="dxa"/>
            <w:tcBorders>
              <w:top w:val="nil"/>
              <w:left w:val="nil"/>
              <w:bottom w:val="nil"/>
              <w:right w:val="nil"/>
            </w:tcBorders>
            <w:shd w:val="clear" w:color="auto" w:fill="auto"/>
            <w:noWrap/>
            <w:vAlign w:val="bottom"/>
            <w:hideMark/>
          </w:tcPr>
          <w:p w14:paraId="2F771D0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w:t>
            </w:r>
          </w:p>
        </w:tc>
        <w:tc>
          <w:tcPr>
            <w:tcW w:w="1008" w:type="dxa"/>
            <w:tcBorders>
              <w:top w:val="nil"/>
              <w:left w:val="nil"/>
              <w:bottom w:val="nil"/>
              <w:right w:val="nil"/>
            </w:tcBorders>
            <w:shd w:val="clear" w:color="auto" w:fill="auto"/>
            <w:noWrap/>
            <w:vAlign w:val="bottom"/>
            <w:hideMark/>
          </w:tcPr>
          <w:p w14:paraId="07A26B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LVA</w:t>
            </w:r>
          </w:p>
        </w:tc>
        <w:tc>
          <w:tcPr>
            <w:tcW w:w="2152" w:type="dxa"/>
            <w:tcBorders>
              <w:top w:val="nil"/>
              <w:left w:val="nil"/>
              <w:bottom w:val="nil"/>
              <w:right w:val="nil"/>
            </w:tcBorders>
            <w:shd w:val="clear" w:color="auto" w:fill="auto"/>
            <w:noWrap/>
            <w:vAlign w:val="bottom"/>
            <w:hideMark/>
          </w:tcPr>
          <w:p w14:paraId="7CF801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Latvia</w:t>
            </w:r>
          </w:p>
        </w:tc>
        <w:tc>
          <w:tcPr>
            <w:tcW w:w="1006" w:type="dxa"/>
            <w:tcBorders>
              <w:top w:val="nil"/>
              <w:left w:val="nil"/>
              <w:bottom w:val="nil"/>
              <w:right w:val="nil"/>
            </w:tcBorders>
            <w:shd w:val="clear" w:color="auto" w:fill="auto"/>
            <w:noWrap/>
            <w:vAlign w:val="bottom"/>
            <w:hideMark/>
          </w:tcPr>
          <w:p w14:paraId="4E07F2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4.975009</w:t>
            </w:r>
          </w:p>
        </w:tc>
        <w:tc>
          <w:tcPr>
            <w:tcW w:w="976" w:type="dxa"/>
            <w:tcBorders>
              <w:top w:val="nil"/>
              <w:left w:val="nil"/>
              <w:bottom w:val="nil"/>
              <w:right w:val="nil"/>
            </w:tcBorders>
            <w:shd w:val="clear" w:color="auto" w:fill="auto"/>
            <w:noWrap/>
            <w:vAlign w:val="bottom"/>
            <w:hideMark/>
          </w:tcPr>
          <w:p w14:paraId="21E1FAA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66.04896</w:t>
            </w:r>
          </w:p>
        </w:tc>
        <w:tc>
          <w:tcPr>
            <w:tcW w:w="1001" w:type="dxa"/>
            <w:tcBorders>
              <w:top w:val="nil"/>
              <w:left w:val="nil"/>
              <w:bottom w:val="nil"/>
              <w:right w:val="nil"/>
            </w:tcBorders>
            <w:shd w:val="clear" w:color="auto" w:fill="auto"/>
            <w:noWrap/>
            <w:vAlign w:val="bottom"/>
            <w:hideMark/>
          </w:tcPr>
          <w:p w14:paraId="7559470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64.47799</w:t>
            </w:r>
          </w:p>
        </w:tc>
        <w:tc>
          <w:tcPr>
            <w:tcW w:w="976" w:type="dxa"/>
            <w:tcBorders>
              <w:top w:val="nil"/>
              <w:left w:val="nil"/>
              <w:bottom w:val="nil"/>
              <w:right w:val="nil"/>
            </w:tcBorders>
            <w:shd w:val="clear" w:color="auto" w:fill="auto"/>
            <w:noWrap/>
            <w:vAlign w:val="bottom"/>
            <w:hideMark/>
          </w:tcPr>
          <w:p w14:paraId="7D07F0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856.0195</w:t>
            </w:r>
          </w:p>
        </w:tc>
      </w:tr>
      <w:tr w:rsidR="00943282" w:rsidRPr="00943282" w14:paraId="4A538B49" w14:textId="77777777" w:rsidTr="00943282">
        <w:trPr>
          <w:trHeight w:val="300"/>
        </w:trPr>
        <w:tc>
          <w:tcPr>
            <w:tcW w:w="954" w:type="dxa"/>
            <w:tcBorders>
              <w:top w:val="nil"/>
              <w:left w:val="nil"/>
              <w:bottom w:val="nil"/>
              <w:right w:val="nil"/>
            </w:tcBorders>
            <w:shd w:val="clear" w:color="auto" w:fill="auto"/>
            <w:noWrap/>
            <w:vAlign w:val="bottom"/>
            <w:hideMark/>
          </w:tcPr>
          <w:p w14:paraId="7410057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w:t>
            </w:r>
          </w:p>
        </w:tc>
        <w:tc>
          <w:tcPr>
            <w:tcW w:w="1008" w:type="dxa"/>
            <w:tcBorders>
              <w:top w:val="nil"/>
              <w:left w:val="nil"/>
              <w:bottom w:val="nil"/>
              <w:right w:val="nil"/>
            </w:tcBorders>
            <w:shd w:val="clear" w:color="auto" w:fill="auto"/>
            <w:noWrap/>
            <w:vAlign w:val="bottom"/>
            <w:hideMark/>
          </w:tcPr>
          <w:p w14:paraId="25ADD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LTU</w:t>
            </w:r>
          </w:p>
        </w:tc>
        <w:tc>
          <w:tcPr>
            <w:tcW w:w="2152" w:type="dxa"/>
            <w:tcBorders>
              <w:top w:val="nil"/>
              <w:left w:val="nil"/>
              <w:bottom w:val="nil"/>
              <w:right w:val="nil"/>
            </w:tcBorders>
            <w:shd w:val="clear" w:color="auto" w:fill="auto"/>
            <w:noWrap/>
            <w:vAlign w:val="bottom"/>
            <w:hideMark/>
          </w:tcPr>
          <w:p w14:paraId="184D5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Lithuania</w:t>
            </w:r>
          </w:p>
        </w:tc>
        <w:tc>
          <w:tcPr>
            <w:tcW w:w="1006" w:type="dxa"/>
            <w:tcBorders>
              <w:top w:val="nil"/>
              <w:left w:val="nil"/>
              <w:bottom w:val="nil"/>
              <w:right w:val="nil"/>
            </w:tcBorders>
            <w:shd w:val="clear" w:color="auto" w:fill="auto"/>
            <w:noWrap/>
            <w:vAlign w:val="bottom"/>
            <w:hideMark/>
          </w:tcPr>
          <w:p w14:paraId="28C0F7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5.215746</w:t>
            </w:r>
          </w:p>
        </w:tc>
        <w:tc>
          <w:tcPr>
            <w:tcW w:w="976" w:type="dxa"/>
            <w:tcBorders>
              <w:top w:val="nil"/>
              <w:left w:val="nil"/>
              <w:bottom w:val="nil"/>
              <w:right w:val="nil"/>
            </w:tcBorders>
            <w:shd w:val="clear" w:color="auto" w:fill="auto"/>
            <w:noWrap/>
            <w:vAlign w:val="bottom"/>
            <w:hideMark/>
          </w:tcPr>
          <w:p w14:paraId="0DE36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67.34839</w:t>
            </w:r>
          </w:p>
        </w:tc>
        <w:tc>
          <w:tcPr>
            <w:tcW w:w="1001" w:type="dxa"/>
            <w:tcBorders>
              <w:top w:val="nil"/>
              <w:left w:val="nil"/>
              <w:bottom w:val="nil"/>
              <w:right w:val="nil"/>
            </w:tcBorders>
            <w:shd w:val="clear" w:color="auto" w:fill="auto"/>
            <w:noWrap/>
            <w:vAlign w:val="bottom"/>
            <w:hideMark/>
          </w:tcPr>
          <w:p w14:paraId="671CBB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70.1451</w:t>
            </w:r>
          </w:p>
        </w:tc>
        <w:tc>
          <w:tcPr>
            <w:tcW w:w="976" w:type="dxa"/>
            <w:tcBorders>
              <w:top w:val="nil"/>
              <w:left w:val="nil"/>
              <w:bottom w:val="nil"/>
              <w:right w:val="nil"/>
            </w:tcBorders>
            <w:shd w:val="clear" w:color="auto" w:fill="auto"/>
            <w:noWrap/>
            <w:vAlign w:val="bottom"/>
            <w:hideMark/>
          </w:tcPr>
          <w:p w14:paraId="544A88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905.7495</w:t>
            </w:r>
          </w:p>
        </w:tc>
      </w:tr>
      <w:tr w:rsidR="00943282" w:rsidRPr="00943282" w14:paraId="7DFD500A" w14:textId="77777777" w:rsidTr="00943282">
        <w:trPr>
          <w:trHeight w:val="300"/>
        </w:trPr>
        <w:tc>
          <w:tcPr>
            <w:tcW w:w="954" w:type="dxa"/>
            <w:tcBorders>
              <w:top w:val="nil"/>
              <w:left w:val="nil"/>
              <w:bottom w:val="nil"/>
              <w:right w:val="nil"/>
            </w:tcBorders>
            <w:shd w:val="clear" w:color="auto" w:fill="auto"/>
            <w:noWrap/>
            <w:vAlign w:val="bottom"/>
            <w:hideMark/>
          </w:tcPr>
          <w:p w14:paraId="02133A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w:t>
            </w:r>
          </w:p>
        </w:tc>
        <w:tc>
          <w:tcPr>
            <w:tcW w:w="1008" w:type="dxa"/>
            <w:tcBorders>
              <w:top w:val="nil"/>
              <w:left w:val="nil"/>
              <w:bottom w:val="nil"/>
              <w:right w:val="nil"/>
            </w:tcBorders>
            <w:shd w:val="clear" w:color="auto" w:fill="auto"/>
            <w:noWrap/>
            <w:vAlign w:val="bottom"/>
            <w:hideMark/>
          </w:tcPr>
          <w:p w14:paraId="36B619D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w:t>
            </w:r>
          </w:p>
        </w:tc>
        <w:tc>
          <w:tcPr>
            <w:tcW w:w="2152" w:type="dxa"/>
            <w:tcBorders>
              <w:top w:val="nil"/>
              <w:left w:val="nil"/>
              <w:bottom w:val="nil"/>
              <w:right w:val="nil"/>
            </w:tcBorders>
            <w:shd w:val="clear" w:color="auto" w:fill="auto"/>
            <w:noWrap/>
            <w:vAlign w:val="bottom"/>
            <w:hideMark/>
          </w:tcPr>
          <w:p w14:paraId="0309C1D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Luxembourg</w:t>
            </w:r>
          </w:p>
        </w:tc>
        <w:tc>
          <w:tcPr>
            <w:tcW w:w="1006" w:type="dxa"/>
            <w:tcBorders>
              <w:top w:val="nil"/>
              <w:left w:val="nil"/>
              <w:bottom w:val="nil"/>
              <w:right w:val="nil"/>
            </w:tcBorders>
            <w:shd w:val="clear" w:color="auto" w:fill="auto"/>
            <w:noWrap/>
            <w:vAlign w:val="bottom"/>
            <w:hideMark/>
          </w:tcPr>
          <w:p w14:paraId="6A8244A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5.132261</w:t>
            </w:r>
          </w:p>
        </w:tc>
        <w:tc>
          <w:tcPr>
            <w:tcW w:w="976" w:type="dxa"/>
            <w:tcBorders>
              <w:top w:val="nil"/>
              <w:left w:val="nil"/>
              <w:bottom w:val="nil"/>
              <w:right w:val="nil"/>
            </w:tcBorders>
            <w:shd w:val="clear" w:color="auto" w:fill="auto"/>
            <w:noWrap/>
            <w:vAlign w:val="bottom"/>
            <w:hideMark/>
          </w:tcPr>
          <w:p w14:paraId="2291803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28.16479</w:t>
            </w:r>
          </w:p>
        </w:tc>
        <w:tc>
          <w:tcPr>
            <w:tcW w:w="1001" w:type="dxa"/>
            <w:tcBorders>
              <w:top w:val="nil"/>
              <w:left w:val="nil"/>
              <w:bottom w:val="nil"/>
              <w:right w:val="nil"/>
            </w:tcBorders>
            <w:shd w:val="clear" w:color="auto" w:fill="auto"/>
            <w:noWrap/>
            <w:vAlign w:val="bottom"/>
            <w:hideMark/>
          </w:tcPr>
          <w:p w14:paraId="42F13A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356.7689</w:t>
            </w:r>
          </w:p>
        </w:tc>
        <w:tc>
          <w:tcPr>
            <w:tcW w:w="976" w:type="dxa"/>
            <w:tcBorders>
              <w:top w:val="nil"/>
              <w:left w:val="nil"/>
              <w:bottom w:val="nil"/>
              <w:right w:val="nil"/>
            </w:tcBorders>
            <w:shd w:val="clear" w:color="auto" w:fill="auto"/>
            <w:noWrap/>
            <w:vAlign w:val="bottom"/>
            <w:hideMark/>
          </w:tcPr>
          <w:p w14:paraId="3B4C6CF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1957.874</w:t>
            </w:r>
          </w:p>
        </w:tc>
      </w:tr>
      <w:tr w:rsidR="00943282" w:rsidRPr="00943282" w14:paraId="5DFE9BAA" w14:textId="77777777" w:rsidTr="00943282">
        <w:trPr>
          <w:trHeight w:val="300"/>
        </w:trPr>
        <w:tc>
          <w:tcPr>
            <w:tcW w:w="954" w:type="dxa"/>
            <w:tcBorders>
              <w:top w:val="nil"/>
              <w:left w:val="nil"/>
              <w:bottom w:val="nil"/>
              <w:right w:val="nil"/>
            </w:tcBorders>
            <w:shd w:val="clear" w:color="auto" w:fill="auto"/>
            <w:noWrap/>
            <w:vAlign w:val="bottom"/>
            <w:hideMark/>
          </w:tcPr>
          <w:p w14:paraId="79F48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w:t>
            </w:r>
          </w:p>
        </w:tc>
        <w:tc>
          <w:tcPr>
            <w:tcW w:w="1008" w:type="dxa"/>
            <w:tcBorders>
              <w:top w:val="nil"/>
              <w:left w:val="nil"/>
              <w:bottom w:val="nil"/>
              <w:right w:val="nil"/>
            </w:tcBorders>
            <w:shd w:val="clear" w:color="auto" w:fill="auto"/>
            <w:noWrap/>
            <w:vAlign w:val="bottom"/>
            <w:hideMark/>
          </w:tcPr>
          <w:p w14:paraId="355321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MLT</w:t>
            </w:r>
          </w:p>
        </w:tc>
        <w:tc>
          <w:tcPr>
            <w:tcW w:w="2152" w:type="dxa"/>
            <w:tcBorders>
              <w:top w:val="nil"/>
              <w:left w:val="nil"/>
              <w:bottom w:val="nil"/>
              <w:right w:val="nil"/>
            </w:tcBorders>
            <w:shd w:val="clear" w:color="auto" w:fill="auto"/>
            <w:noWrap/>
            <w:vAlign w:val="bottom"/>
            <w:hideMark/>
          </w:tcPr>
          <w:p w14:paraId="51296EC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Malta</w:t>
            </w:r>
          </w:p>
        </w:tc>
        <w:tc>
          <w:tcPr>
            <w:tcW w:w="1006" w:type="dxa"/>
            <w:tcBorders>
              <w:top w:val="nil"/>
              <w:left w:val="nil"/>
              <w:bottom w:val="nil"/>
              <w:right w:val="nil"/>
            </w:tcBorders>
            <w:shd w:val="clear" w:color="auto" w:fill="auto"/>
            <w:noWrap/>
            <w:vAlign w:val="bottom"/>
            <w:hideMark/>
          </w:tcPr>
          <w:p w14:paraId="5EAA943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4.059192</w:t>
            </w:r>
          </w:p>
        </w:tc>
        <w:tc>
          <w:tcPr>
            <w:tcW w:w="976" w:type="dxa"/>
            <w:tcBorders>
              <w:top w:val="nil"/>
              <w:left w:val="nil"/>
              <w:bottom w:val="nil"/>
              <w:right w:val="nil"/>
            </w:tcBorders>
            <w:shd w:val="clear" w:color="auto" w:fill="auto"/>
            <w:noWrap/>
            <w:vAlign w:val="bottom"/>
            <w:hideMark/>
          </w:tcPr>
          <w:p w14:paraId="5105FF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28.96349</w:t>
            </w:r>
          </w:p>
        </w:tc>
        <w:tc>
          <w:tcPr>
            <w:tcW w:w="1001" w:type="dxa"/>
            <w:tcBorders>
              <w:top w:val="nil"/>
              <w:left w:val="nil"/>
              <w:bottom w:val="nil"/>
              <w:right w:val="nil"/>
            </w:tcBorders>
            <w:shd w:val="clear" w:color="auto" w:fill="auto"/>
            <w:noWrap/>
            <w:vAlign w:val="bottom"/>
            <w:hideMark/>
          </w:tcPr>
          <w:p w14:paraId="6E2281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81.29479</w:t>
            </w:r>
          </w:p>
        </w:tc>
        <w:tc>
          <w:tcPr>
            <w:tcW w:w="976" w:type="dxa"/>
            <w:tcBorders>
              <w:top w:val="nil"/>
              <w:left w:val="nil"/>
              <w:bottom w:val="nil"/>
              <w:right w:val="nil"/>
            </w:tcBorders>
            <w:shd w:val="clear" w:color="auto" w:fill="auto"/>
            <w:noWrap/>
            <w:vAlign w:val="bottom"/>
            <w:hideMark/>
          </w:tcPr>
          <w:p w14:paraId="3CD8A3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580.0614</w:t>
            </w:r>
          </w:p>
        </w:tc>
      </w:tr>
      <w:tr w:rsidR="00943282" w:rsidRPr="00943282" w14:paraId="650C79F2" w14:textId="77777777" w:rsidTr="00943282">
        <w:trPr>
          <w:trHeight w:val="300"/>
        </w:trPr>
        <w:tc>
          <w:tcPr>
            <w:tcW w:w="954" w:type="dxa"/>
            <w:tcBorders>
              <w:top w:val="nil"/>
              <w:left w:val="nil"/>
              <w:bottom w:val="nil"/>
              <w:right w:val="nil"/>
            </w:tcBorders>
            <w:shd w:val="clear" w:color="auto" w:fill="auto"/>
            <w:noWrap/>
            <w:vAlign w:val="bottom"/>
            <w:hideMark/>
          </w:tcPr>
          <w:p w14:paraId="0BA6B3E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w:t>
            </w:r>
          </w:p>
        </w:tc>
        <w:tc>
          <w:tcPr>
            <w:tcW w:w="1008" w:type="dxa"/>
            <w:tcBorders>
              <w:top w:val="nil"/>
              <w:left w:val="nil"/>
              <w:bottom w:val="nil"/>
              <w:right w:val="nil"/>
            </w:tcBorders>
            <w:shd w:val="clear" w:color="auto" w:fill="auto"/>
            <w:noWrap/>
            <w:vAlign w:val="bottom"/>
            <w:hideMark/>
          </w:tcPr>
          <w:p w14:paraId="15509B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MDA</w:t>
            </w:r>
          </w:p>
        </w:tc>
        <w:tc>
          <w:tcPr>
            <w:tcW w:w="2152" w:type="dxa"/>
            <w:tcBorders>
              <w:top w:val="nil"/>
              <w:left w:val="nil"/>
              <w:bottom w:val="nil"/>
              <w:right w:val="nil"/>
            </w:tcBorders>
            <w:shd w:val="clear" w:color="auto" w:fill="auto"/>
            <w:noWrap/>
            <w:vAlign w:val="bottom"/>
            <w:hideMark/>
          </w:tcPr>
          <w:p w14:paraId="5065B8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Moldova</w:t>
            </w:r>
          </w:p>
        </w:tc>
        <w:tc>
          <w:tcPr>
            <w:tcW w:w="1006" w:type="dxa"/>
            <w:tcBorders>
              <w:top w:val="nil"/>
              <w:left w:val="nil"/>
              <w:bottom w:val="nil"/>
              <w:right w:val="nil"/>
            </w:tcBorders>
            <w:shd w:val="clear" w:color="auto" w:fill="auto"/>
            <w:noWrap/>
            <w:vAlign w:val="bottom"/>
            <w:hideMark/>
          </w:tcPr>
          <w:p w14:paraId="218CF2D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6.348035</w:t>
            </w:r>
          </w:p>
        </w:tc>
        <w:tc>
          <w:tcPr>
            <w:tcW w:w="976" w:type="dxa"/>
            <w:tcBorders>
              <w:top w:val="nil"/>
              <w:left w:val="nil"/>
              <w:bottom w:val="nil"/>
              <w:right w:val="nil"/>
            </w:tcBorders>
            <w:shd w:val="clear" w:color="auto" w:fill="auto"/>
            <w:noWrap/>
            <w:vAlign w:val="bottom"/>
            <w:hideMark/>
          </w:tcPr>
          <w:p w14:paraId="374D38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83.53807</w:t>
            </w:r>
          </w:p>
        </w:tc>
        <w:tc>
          <w:tcPr>
            <w:tcW w:w="1001" w:type="dxa"/>
            <w:tcBorders>
              <w:top w:val="nil"/>
              <w:left w:val="nil"/>
              <w:bottom w:val="nil"/>
              <w:right w:val="nil"/>
            </w:tcBorders>
            <w:shd w:val="clear" w:color="auto" w:fill="auto"/>
            <w:noWrap/>
            <w:vAlign w:val="bottom"/>
            <w:hideMark/>
          </w:tcPr>
          <w:p w14:paraId="286B9C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13.84997</w:t>
            </w:r>
          </w:p>
        </w:tc>
        <w:tc>
          <w:tcPr>
            <w:tcW w:w="976" w:type="dxa"/>
            <w:tcBorders>
              <w:top w:val="nil"/>
              <w:left w:val="nil"/>
              <w:bottom w:val="nil"/>
              <w:right w:val="nil"/>
            </w:tcBorders>
            <w:shd w:val="clear" w:color="auto" w:fill="auto"/>
            <w:noWrap/>
            <w:vAlign w:val="bottom"/>
            <w:hideMark/>
          </w:tcPr>
          <w:p w14:paraId="436DC4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182.2611</w:t>
            </w:r>
          </w:p>
        </w:tc>
      </w:tr>
      <w:tr w:rsidR="00943282" w:rsidRPr="00943282" w14:paraId="01807955" w14:textId="77777777" w:rsidTr="00943282">
        <w:trPr>
          <w:trHeight w:val="300"/>
        </w:trPr>
        <w:tc>
          <w:tcPr>
            <w:tcW w:w="954" w:type="dxa"/>
            <w:tcBorders>
              <w:top w:val="nil"/>
              <w:left w:val="nil"/>
              <w:bottom w:val="nil"/>
              <w:right w:val="nil"/>
            </w:tcBorders>
            <w:shd w:val="clear" w:color="auto" w:fill="auto"/>
            <w:noWrap/>
            <w:vAlign w:val="bottom"/>
            <w:hideMark/>
          </w:tcPr>
          <w:p w14:paraId="2AAF13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w:t>
            </w:r>
          </w:p>
        </w:tc>
        <w:tc>
          <w:tcPr>
            <w:tcW w:w="1008" w:type="dxa"/>
            <w:tcBorders>
              <w:top w:val="nil"/>
              <w:left w:val="nil"/>
              <w:bottom w:val="nil"/>
              <w:right w:val="nil"/>
            </w:tcBorders>
            <w:shd w:val="clear" w:color="auto" w:fill="auto"/>
            <w:noWrap/>
            <w:vAlign w:val="bottom"/>
            <w:hideMark/>
          </w:tcPr>
          <w:p w14:paraId="1980870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NLD</w:t>
            </w:r>
          </w:p>
        </w:tc>
        <w:tc>
          <w:tcPr>
            <w:tcW w:w="2152" w:type="dxa"/>
            <w:tcBorders>
              <w:top w:val="nil"/>
              <w:left w:val="nil"/>
              <w:bottom w:val="nil"/>
              <w:right w:val="nil"/>
            </w:tcBorders>
            <w:shd w:val="clear" w:color="auto" w:fill="auto"/>
            <w:noWrap/>
            <w:vAlign w:val="bottom"/>
            <w:hideMark/>
          </w:tcPr>
          <w:p w14:paraId="72C83E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Netherlands</w:t>
            </w:r>
          </w:p>
        </w:tc>
        <w:tc>
          <w:tcPr>
            <w:tcW w:w="1006" w:type="dxa"/>
            <w:tcBorders>
              <w:top w:val="nil"/>
              <w:left w:val="nil"/>
              <w:bottom w:val="nil"/>
              <w:right w:val="nil"/>
            </w:tcBorders>
            <w:shd w:val="clear" w:color="auto" w:fill="auto"/>
            <w:noWrap/>
            <w:vAlign w:val="bottom"/>
            <w:hideMark/>
          </w:tcPr>
          <w:p w14:paraId="623351A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5.146839</w:t>
            </w:r>
          </w:p>
        </w:tc>
        <w:tc>
          <w:tcPr>
            <w:tcW w:w="976" w:type="dxa"/>
            <w:tcBorders>
              <w:top w:val="nil"/>
              <w:left w:val="nil"/>
              <w:bottom w:val="nil"/>
              <w:right w:val="nil"/>
            </w:tcBorders>
            <w:shd w:val="clear" w:color="auto" w:fill="auto"/>
            <w:noWrap/>
            <w:vAlign w:val="bottom"/>
            <w:hideMark/>
          </w:tcPr>
          <w:p w14:paraId="65CF5E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29.3717</w:t>
            </w:r>
          </w:p>
        </w:tc>
        <w:tc>
          <w:tcPr>
            <w:tcW w:w="1001" w:type="dxa"/>
            <w:tcBorders>
              <w:top w:val="nil"/>
              <w:left w:val="nil"/>
              <w:bottom w:val="nil"/>
              <w:right w:val="nil"/>
            </w:tcBorders>
            <w:shd w:val="clear" w:color="auto" w:fill="auto"/>
            <w:noWrap/>
            <w:vAlign w:val="bottom"/>
            <w:hideMark/>
          </w:tcPr>
          <w:p w14:paraId="5F7701C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200.915</w:t>
            </w:r>
          </w:p>
        </w:tc>
        <w:tc>
          <w:tcPr>
            <w:tcW w:w="976" w:type="dxa"/>
            <w:tcBorders>
              <w:top w:val="nil"/>
              <w:left w:val="nil"/>
              <w:bottom w:val="nil"/>
              <w:right w:val="nil"/>
            </w:tcBorders>
            <w:shd w:val="clear" w:color="auto" w:fill="auto"/>
            <w:noWrap/>
            <w:vAlign w:val="bottom"/>
            <w:hideMark/>
          </w:tcPr>
          <w:p w14:paraId="738CF4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1146.571</w:t>
            </w:r>
          </w:p>
        </w:tc>
      </w:tr>
      <w:tr w:rsidR="00943282" w:rsidRPr="00943282" w14:paraId="6BE7B97A" w14:textId="77777777" w:rsidTr="00943282">
        <w:trPr>
          <w:trHeight w:val="300"/>
        </w:trPr>
        <w:tc>
          <w:tcPr>
            <w:tcW w:w="954" w:type="dxa"/>
            <w:tcBorders>
              <w:top w:val="nil"/>
              <w:left w:val="nil"/>
              <w:bottom w:val="nil"/>
              <w:right w:val="nil"/>
            </w:tcBorders>
            <w:shd w:val="clear" w:color="auto" w:fill="auto"/>
            <w:noWrap/>
            <w:vAlign w:val="bottom"/>
            <w:hideMark/>
          </w:tcPr>
          <w:p w14:paraId="38BB6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w:t>
            </w:r>
          </w:p>
        </w:tc>
        <w:tc>
          <w:tcPr>
            <w:tcW w:w="1008" w:type="dxa"/>
            <w:tcBorders>
              <w:top w:val="nil"/>
              <w:left w:val="nil"/>
              <w:bottom w:val="nil"/>
              <w:right w:val="nil"/>
            </w:tcBorders>
            <w:shd w:val="clear" w:color="auto" w:fill="auto"/>
            <w:noWrap/>
            <w:vAlign w:val="bottom"/>
            <w:hideMark/>
          </w:tcPr>
          <w:p w14:paraId="0837A5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t>
            </w:r>
          </w:p>
        </w:tc>
        <w:tc>
          <w:tcPr>
            <w:tcW w:w="2152" w:type="dxa"/>
            <w:tcBorders>
              <w:top w:val="nil"/>
              <w:left w:val="nil"/>
              <w:bottom w:val="nil"/>
              <w:right w:val="nil"/>
            </w:tcBorders>
            <w:shd w:val="clear" w:color="auto" w:fill="auto"/>
            <w:noWrap/>
            <w:vAlign w:val="bottom"/>
            <w:hideMark/>
          </w:tcPr>
          <w:p w14:paraId="59CA03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Norway</w:t>
            </w:r>
          </w:p>
        </w:tc>
        <w:tc>
          <w:tcPr>
            <w:tcW w:w="1006" w:type="dxa"/>
            <w:tcBorders>
              <w:top w:val="nil"/>
              <w:left w:val="nil"/>
              <w:bottom w:val="nil"/>
              <w:right w:val="nil"/>
            </w:tcBorders>
            <w:shd w:val="clear" w:color="auto" w:fill="auto"/>
            <w:noWrap/>
            <w:vAlign w:val="bottom"/>
            <w:hideMark/>
          </w:tcPr>
          <w:p w14:paraId="3A9251B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4.682027</w:t>
            </w:r>
          </w:p>
        </w:tc>
        <w:tc>
          <w:tcPr>
            <w:tcW w:w="976" w:type="dxa"/>
            <w:tcBorders>
              <w:top w:val="nil"/>
              <w:left w:val="nil"/>
              <w:bottom w:val="nil"/>
              <w:right w:val="nil"/>
            </w:tcBorders>
            <w:shd w:val="clear" w:color="auto" w:fill="auto"/>
            <w:noWrap/>
            <w:vAlign w:val="bottom"/>
            <w:hideMark/>
          </w:tcPr>
          <w:p w14:paraId="1A5698E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27.86404</w:t>
            </w:r>
          </w:p>
        </w:tc>
        <w:tc>
          <w:tcPr>
            <w:tcW w:w="1001" w:type="dxa"/>
            <w:tcBorders>
              <w:top w:val="nil"/>
              <w:left w:val="nil"/>
              <w:bottom w:val="nil"/>
              <w:right w:val="nil"/>
            </w:tcBorders>
            <w:shd w:val="clear" w:color="auto" w:fill="auto"/>
            <w:noWrap/>
            <w:vAlign w:val="bottom"/>
            <w:hideMark/>
          </w:tcPr>
          <w:p w14:paraId="073496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247.6564</w:t>
            </w:r>
          </w:p>
        </w:tc>
        <w:tc>
          <w:tcPr>
            <w:tcW w:w="976" w:type="dxa"/>
            <w:tcBorders>
              <w:top w:val="nil"/>
              <w:left w:val="nil"/>
              <w:bottom w:val="nil"/>
              <w:right w:val="nil"/>
            </w:tcBorders>
            <w:shd w:val="clear" w:color="auto" w:fill="auto"/>
            <w:noWrap/>
            <w:vAlign w:val="bottom"/>
            <w:hideMark/>
          </w:tcPr>
          <w:p w14:paraId="0773434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1473.872</w:t>
            </w:r>
          </w:p>
        </w:tc>
      </w:tr>
      <w:tr w:rsidR="00943282" w:rsidRPr="00943282" w14:paraId="357CCA60" w14:textId="77777777" w:rsidTr="00943282">
        <w:trPr>
          <w:trHeight w:val="300"/>
        </w:trPr>
        <w:tc>
          <w:tcPr>
            <w:tcW w:w="954" w:type="dxa"/>
            <w:tcBorders>
              <w:top w:val="nil"/>
              <w:left w:val="nil"/>
              <w:bottom w:val="nil"/>
              <w:right w:val="nil"/>
            </w:tcBorders>
            <w:shd w:val="clear" w:color="auto" w:fill="auto"/>
            <w:noWrap/>
            <w:vAlign w:val="bottom"/>
            <w:hideMark/>
          </w:tcPr>
          <w:p w14:paraId="33C365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30</w:t>
            </w:r>
          </w:p>
        </w:tc>
        <w:tc>
          <w:tcPr>
            <w:tcW w:w="1008" w:type="dxa"/>
            <w:tcBorders>
              <w:top w:val="nil"/>
              <w:left w:val="nil"/>
              <w:bottom w:val="nil"/>
              <w:right w:val="nil"/>
            </w:tcBorders>
            <w:shd w:val="clear" w:color="auto" w:fill="auto"/>
            <w:noWrap/>
            <w:vAlign w:val="bottom"/>
            <w:hideMark/>
          </w:tcPr>
          <w:p w14:paraId="6A0FF95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w:t>
            </w:r>
          </w:p>
        </w:tc>
        <w:tc>
          <w:tcPr>
            <w:tcW w:w="2152" w:type="dxa"/>
            <w:tcBorders>
              <w:top w:val="nil"/>
              <w:left w:val="nil"/>
              <w:bottom w:val="nil"/>
              <w:right w:val="nil"/>
            </w:tcBorders>
            <w:shd w:val="clear" w:color="auto" w:fill="auto"/>
            <w:noWrap/>
            <w:vAlign w:val="bottom"/>
            <w:hideMark/>
          </w:tcPr>
          <w:p w14:paraId="01DCE4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Poland</w:t>
            </w:r>
          </w:p>
        </w:tc>
        <w:tc>
          <w:tcPr>
            <w:tcW w:w="1006" w:type="dxa"/>
            <w:tcBorders>
              <w:top w:val="nil"/>
              <w:left w:val="nil"/>
              <w:bottom w:val="nil"/>
              <w:right w:val="nil"/>
            </w:tcBorders>
            <w:shd w:val="clear" w:color="auto" w:fill="auto"/>
            <w:noWrap/>
            <w:vAlign w:val="bottom"/>
            <w:hideMark/>
          </w:tcPr>
          <w:p w14:paraId="2DEA6F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4.762892</w:t>
            </w:r>
          </w:p>
        </w:tc>
        <w:tc>
          <w:tcPr>
            <w:tcW w:w="976" w:type="dxa"/>
            <w:tcBorders>
              <w:top w:val="nil"/>
              <w:left w:val="nil"/>
              <w:bottom w:val="nil"/>
              <w:right w:val="nil"/>
            </w:tcBorders>
            <w:shd w:val="clear" w:color="auto" w:fill="auto"/>
            <w:noWrap/>
            <w:vAlign w:val="bottom"/>
            <w:hideMark/>
          </w:tcPr>
          <w:p w14:paraId="15CDD2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51.99854</w:t>
            </w:r>
          </w:p>
        </w:tc>
        <w:tc>
          <w:tcPr>
            <w:tcW w:w="1001" w:type="dxa"/>
            <w:tcBorders>
              <w:top w:val="nil"/>
              <w:left w:val="nil"/>
              <w:bottom w:val="nil"/>
              <w:right w:val="nil"/>
            </w:tcBorders>
            <w:shd w:val="clear" w:color="auto" w:fill="auto"/>
            <w:noWrap/>
            <w:vAlign w:val="bottom"/>
            <w:hideMark/>
          </w:tcPr>
          <w:p w14:paraId="141AB3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57.5255</w:t>
            </w:r>
          </w:p>
        </w:tc>
        <w:tc>
          <w:tcPr>
            <w:tcW w:w="976" w:type="dxa"/>
            <w:tcBorders>
              <w:top w:val="nil"/>
              <w:left w:val="nil"/>
              <w:bottom w:val="nil"/>
              <w:right w:val="nil"/>
            </w:tcBorders>
            <w:shd w:val="clear" w:color="auto" w:fill="auto"/>
            <w:noWrap/>
            <w:vAlign w:val="bottom"/>
            <w:hideMark/>
          </w:tcPr>
          <w:p w14:paraId="5F64B4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628.0306</w:t>
            </w:r>
          </w:p>
        </w:tc>
      </w:tr>
      <w:tr w:rsidR="00943282" w:rsidRPr="00943282" w14:paraId="6435841B" w14:textId="77777777" w:rsidTr="00943282">
        <w:trPr>
          <w:trHeight w:val="300"/>
        </w:trPr>
        <w:tc>
          <w:tcPr>
            <w:tcW w:w="954" w:type="dxa"/>
            <w:tcBorders>
              <w:top w:val="nil"/>
              <w:left w:val="nil"/>
              <w:bottom w:val="nil"/>
              <w:right w:val="nil"/>
            </w:tcBorders>
            <w:shd w:val="clear" w:color="auto" w:fill="auto"/>
            <w:noWrap/>
            <w:vAlign w:val="bottom"/>
            <w:hideMark/>
          </w:tcPr>
          <w:p w14:paraId="0F6C912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w:t>
            </w:r>
          </w:p>
        </w:tc>
        <w:tc>
          <w:tcPr>
            <w:tcW w:w="1008" w:type="dxa"/>
            <w:tcBorders>
              <w:top w:val="nil"/>
              <w:left w:val="nil"/>
              <w:bottom w:val="nil"/>
              <w:right w:val="nil"/>
            </w:tcBorders>
            <w:shd w:val="clear" w:color="auto" w:fill="auto"/>
            <w:noWrap/>
            <w:vAlign w:val="bottom"/>
            <w:hideMark/>
          </w:tcPr>
          <w:p w14:paraId="53095B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PRT</w:t>
            </w:r>
          </w:p>
        </w:tc>
        <w:tc>
          <w:tcPr>
            <w:tcW w:w="2152" w:type="dxa"/>
            <w:tcBorders>
              <w:top w:val="nil"/>
              <w:left w:val="nil"/>
              <w:bottom w:val="nil"/>
              <w:right w:val="nil"/>
            </w:tcBorders>
            <w:shd w:val="clear" w:color="auto" w:fill="auto"/>
            <w:noWrap/>
            <w:vAlign w:val="bottom"/>
            <w:hideMark/>
          </w:tcPr>
          <w:p w14:paraId="290A67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Portugal</w:t>
            </w:r>
          </w:p>
        </w:tc>
        <w:tc>
          <w:tcPr>
            <w:tcW w:w="1006" w:type="dxa"/>
            <w:tcBorders>
              <w:top w:val="nil"/>
              <w:left w:val="nil"/>
              <w:bottom w:val="nil"/>
              <w:right w:val="nil"/>
            </w:tcBorders>
            <w:shd w:val="clear" w:color="auto" w:fill="auto"/>
            <w:noWrap/>
            <w:vAlign w:val="bottom"/>
            <w:hideMark/>
          </w:tcPr>
          <w:p w14:paraId="16853D5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3.725688</w:t>
            </w:r>
          </w:p>
        </w:tc>
        <w:tc>
          <w:tcPr>
            <w:tcW w:w="976" w:type="dxa"/>
            <w:tcBorders>
              <w:top w:val="nil"/>
              <w:left w:val="nil"/>
              <w:bottom w:val="nil"/>
              <w:right w:val="nil"/>
            </w:tcBorders>
            <w:shd w:val="clear" w:color="auto" w:fill="auto"/>
            <w:noWrap/>
            <w:vAlign w:val="bottom"/>
            <w:hideMark/>
          </w:tcPr>
          <w:p w14:paraId="108DFA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32.2846</w:t>
            </w:r>
          </w:p>
        </w:tc>
        <w:tc>
          <w:tcPr>
            <w:tcW w:w="1001" w:type="dxa"/>
            <w:tcBorders>
              <w:top w:val="nil"/>
              <w:left w:val="nil"/>
              <w:bottom w:val="nil"/>
              <w:right w:val="nil"/>
            </w:tcBorders>
            <w:shd w:val="clear" w:color="auto" w:fill="auto"/>
            <w:noWrap/>
            <w:vAlign w:val="bottom"/>
            <w:hideMark/>
          </w:tcPr>
          <w:p w14:paraId="31CA5C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68.1251</w:t>
            </w:r>
          </w:p>
        </w:tc>
        <w:tc>
          <w:tcPr>
            <w:tcW w:w="976" w:type="dxa"/>
            <w:tcBorders>
              <w:top w:val="nil"/>
              <w:left w:val="nil"/>
              <w:bottom w:val="nil"/>
              <w:right w:val="nil"/>
            </w:tcBorders>
            <w:shd w:val="clear" w:color="auto" w:fill="auto"/>
            <w:noWrap/>
            <w:vAlign w:val="bottom"/>
            <w:hideMark/>
          </w:tcPr>
          <w:p w14:paraId="3B3E68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590.3318</w:t>
            </w:r>
          </w:p>
        </w:tc>
      </w:tr>
      <w:tr w:rsidR="00943282" w:rsidRPr="00943282" w14:paraId="45C265C0" w14:textId="77777777" w:rsidTr="00943282">
        <w:trPr>
          <w:trHeight w:val="300"/>
        </w:trPr>
        <w:tc>
          <w:tcPr>
            <w:tcW w:w="954" w:type="dxa"/>
            <w:tcBorders>
              <w:top w:val="nil"/>
              <w:left w:val="nil"/>
              <w:bottom w:val="nil"/>
              <w:right w:val="nil"/>
            </w:tcBorders>
            <w:shd w:val="clear" w:color="auto" w:fill="auto"/>
            <w:noWrap/>
            <w:vAlign w:val="bottom"/>
            <w:hideMark/>
          </w:tcPr>
          <w:p w14:paraId="7419E9F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w:t>
            </w:r>
          </w:p>
        </w:tc>
        <w:tc>
          <w:tcPr>
            <w:tcW w:w="1008" w:type="dxa"/>
            <w:tcBorders>
              <w:top w:val="nil"/>
              <w:left w:val="nil"/>
              <w:bottom w:val="nil"/>
              <w:right w:val="nil"/>
            </w:tcBorders>
            <w:shd w:val="clear" w:color="auto" w:fill="auto"/>
            <w:noWrap/>
            <w:vAlign w:val="bottom"/>
            <w:hideMark/>
          </w:tcPr>
          <w:p w14:paraId="21322AC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ROU</w:t>
            </w:r>
          </w:p>
        </w:tc>
        <w:tc>
          <w:tcPr>
            <w:tcW w:w="2152" w:type="dxa"/>
            <w:tcBorders>
              <w:top w:val="nil"/>
              <w:left w:val="nil"/>
              <w:bottom w:val="nil"/>
              <w:right w:val="nil"/>
            </w:tcBorders>
            <w:shd w:val="clear" w:color="auto" w:fill="auto"/>
            <w:noWrap/>
            <w:vAlign w:val="bottom"/>
            <w:hideMark/>
          </w:tcPr>
          <w:p w14:paraId="1CA02A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Romania</w:t>
            </w:r>
          </w:p>
        </w:tc>
        <w:tc>
          <w:tcPr>
            <w:tcW w:w="1006" w:type="dxa"/>
            <w:tcBorders>
              <w:top w:val="nil"/>
              <w:left w:val="nil"/>
              <w:bottom w:val="nil"/>
              <w:right w:val="nil"/>
            </w:tcBorders>
            <w:shd w:val="clear" w:color="auto" w:fill="auto"/>
            <w:noWrap/>
            <w:vAlign w:val="bottom"/>
            <w:hideMark/>
          </w:tcPr>
          <w:p w14:paraId="0CB82FA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4.498521</w:t>
            </w:r>
          </w:p>
        </w:tc>
        <w:tc>
          <w:tcPr>
            <w:tcW w:w="976" w:type="dxa"/>
            <w:tcBorders>
              <w:top w:val="nil"/>
              <w:left w:val="nil"/>
              <w:bottom w:val="nil"/>
              <w:right w:val="nil"/>
            </w:tcBorders>
            <w:shd w:val="clear" w:color="auto" w:fill="auto"/>
            <w:noWrap/>
            <w:vAlign w:val="bottom"/>
            <w:hideMark/>
          </w:tcPr>
          <w:p w14:paraId="1109554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58.76905</w:t>
            </w:r>
          </w:p>
        </w:tc>
        <w:tc>
          <w:tcPr>
            <w:tcW w:w="1001" w:type="dxa"/>
            <w:tcBorders>
              <w:top w:val="nil"/>
              <w:left w:val="nil"/>
              <w:bottom w:val="nil"/>
              <w:right w:val="nil"/>
            </w:tcBorders>
            <w:shd w:val="clear" w:color="auto" w:fill="auto"/>
            <w:noWrap/>
            <w:vAlign w:val="bottom"/>
            <w:hideMark/>
          </w:tcPr>
          <w:p w14:paraId="2E19CB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34.32078</w:t>
            </w:r>
          </w:p>
        </w:tc>
        <w:tc>
          <w:tcPr>
            <w:tcW w:w="976" w:type="dxa"/>
            <w:tcBorders>
              <w:top w:val="nil"/>
              <w:left w:val="nil"/>
              <w:bottom w:val="nil"/>
              <w:right w:val="nil"/>
            </w:tcBorders>
            <w:shd w:val="clear" w:color="auto" w:fill="auto"/>
            <w:noWrap/>
            <w:vAlign w:val="bottom"/>
            <w:hideMark/>
          </w:tcPr>
          <w:p w14:paraId="2E92834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448.3695</w:t>
            </w:r>
          </w:p>
        </w:tc>
      </w:tr>
      <w:tr w:rsidR="00943282" w:rsidRPr="00943282" w14:paraId="13235A2C" w14:textId="77777777" w:rsidTr="00943282">
        <w:trPr>
          <w:trHeight w:val="300"/>
        </w:trPr>
        <w:tc>
          <w:tcPr>
            <w:tcW w:w="954" w:type="dxa"/>
            <w:tcBorders>
              <w:top w:val="nil"/>
              <w:left w:val="nil"/>
              <w:bottom w:val="nil"/>
              <w:right w:val="nil"/>
            </w:tcBorders>
            <w:shd w:val="clear" w:color="auto" w:fill="auto"/>
            <w:noWrap/>
            <w:vAlign w:val="bottom"/>
            <w:hideMark/>
          </w:tcPr>
          <w:p w14:paraId="4DC64A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w:t>
            </w:r>
          </w:p>
        </w:tc>
        <w:tc>
          <w:tcPr>
            <w:tcW w:w="1008" w:type="dxa"/>
            <w:tcBorders>
              <w:top w:val="nil"/>
              <w:left w:val="nil"/>
              <w:bottom w:val="nil"/>
              <w:right w:val="nil"/>
            </w:tcBorders>
            <w:shd w:val="clear" w:color="auto" w:fill="auto"/>
            <w:noWrap/>
            <w:vAlign w:val="bottom"/>
            <w:hideMark/>
          </w:tcPr>
          <w:p w14:paraId="4B1FED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w:t>
            </w:r>
          </w:p>
        </w:tc>
        <w:tc>
          <w:tcPr>
            <w:tcW w:w="2152" w:type="dxa"/>
            <w:tcBorders>
              <w:top w:val="nil"/>
              <w:left w:val="nil"/>
              <w:bottom w:val="nil"/>
              <w:right w:val="nil"/>
            </w:tcBorders>
            <w:shd w:val="clear" w:color="auto" w:fill="auto"/>
            <w:noWrap/>
            <w:vAlign w:val="bottom"/>
            <w:hideMark/>
          </w:tcPr>
          <w:p w14:paraId="22DDF98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Russia</w:t>
            </w:r>
          </w:p>
        </w:tc>
        <w:tc>
          <w:tcPr>
            <w:tcW w:w="1006" w:type="dxa"/>
            <w:tcBorders>
              <w:top w:val="nil"/>
              <w:left w:val="nil"/>
              <w:bottom w:val="nil"/>
              <w:right w:val="nil"/>
            </w:tcBorders>
            <w:shd w:val="clear" w:color="auto" w:fill="auto"/>
            <w:noWrap/>
            <w:vAlign w:val="bottom"/>
            <w:hideMark/>
          </w:tcPr>
          <w:p w14:paraId="49E307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5.96991</w:t>
            </w:r>
          </w:p>
        </w:tc>
        <w:tc>
          <w:tcPr>
            <w:tcW w:w="976" w:type="dxa"/>
            <w:tcBorders>
              <w:top w:val="nil"/>
              <w:left w:val="nil"/>
              <w:bottom w:val="nil"/>
              <w:right w:val="nil"/>
            </w:tcBorders>
            <w:shd w:val="clear" w:color="auto" w:fill="auto"/>
            <w:noWrap/>
            <w:vAlign w:val="bottom"/>
            <w:hideMark/>
          </w:tcPr>
          <w:p w14:paraId="259DC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88.63084</w:t>
            </w:r>
          </w:p>
        </w:tc>
        <w:tc>
          <w:tcPr>
            <w:tcW w:w="1001" w:type="dxa"/>
            <w:tcBorders>
              <w:top w:val="nil"/>
              <w:left w:val="nil"/>
              <w:bottom w:val="nil"/>
              <w:right w:val="nil"/>
            </w:tcBorders>
            <w:shd w:val="clear" w:color="auto" w:fill="auto"/>
            <w:noWrap/>
            <w:vAlign w:val="bottom"/>
            <w:hideMark/>
          </w:tcPr>
          <w:p w14:paraId="30644A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46.39759</w:t>
            </w:r>
          </w:p>
        </w:tc>
        <w:tc>
          <w:tcPr>
            <w:tcW w:w="976" w:type="dxa"/>
            <w:tcBorders>
              <w:top w:val="nil"/>
              <w:left w:val="nil"/>
              <w:bottom w:val="nil"/>
              <w:right w:val="nil"/>
            </w:tcBorders>
            <w:shd w:val="clear" w:color="auto" w:fill="auto"/>
            <w:noWrap/>
            <w:vAlign w:val="bottom"/>
            <w:hideMark/>
          </w:tcPr>
          <w:p w14:paraId="127E52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688.8308</w:t>
            </w:r>
          </w:p>
        </w:tc>
      </w:tr>
      <w:tr w:rsidR="00943282" w:rsidRPr="00943282" w14:paraId="17E34F3F" w14:textId="77777777" w:rsidTr="00943282">
        <w:trPr>
          <w:trHeight w:val="300"/>
        </w:trPr>
        <w:tc>
          <w:tcPr>
            <w:tcW w:w="954" w:type="dxa"/>
            <w:tcBorders>
              <w:top w:val="nil"/>
              <w:left w:val="nil"/>
              <w:bottom w:val="nil"/>
              <w:right w:val="nil"/>
            </w:tcBorders>
            <w:shd w:val="clear" w:color="auto" w:fill="auto"/>
            <w:noWrap/>
            <w:vAlign w:val="bottom"/>
            <w:hideMark/>
          </w:tcPr>
          <w:p w14:paraId="4E470A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w:t>
            </w:r>
          </w:p>
        </w:tc>
        <w:tc>
          <w:tcPr>
            <w:tcW w:w="1008" w:type="dxa"/>
            <w:tcBorders>
              <w:top w:val="nil"/>
              <w:left w:val="nil"/>
              <w:bottom w:val="nil"/>
              <w:right w:val="nil"/>
            </w:tcBorders>
            <w:shd w:val="clear" w:color="auto" w:fill="auto"/>
            <w:noWrap/>
            <w:vAlign w:val="bottom"/>
            <w:hideMark/>
          </w:tcPr>
          <w:p w14:paraId="167BD2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SRB</w:t>
            </w:r>
          </w:p>
        </w:tc>
        <w:tc>
          <w:tcPr>
            <w:tcW w:w="2152" w:type="dxa"/>
            <w:tcBorders>
              <w:top w:val="nil"/>
              <w:left w:val="nil"/>
              <w:bottom w:val="nil"/>
              <w:right w:val="nil"/>
            </w:tcBorders>
            <w:shd w:val="clear" w:color="auto" w:fill="auto"/>
            <w:noWrap/>
            <w:vAlign w:val="bottom"/>
            <w:hideMark/>
          </w:tcPr>
          <w:p w14:paraId="273E20D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Serbia</w:t>
            </w:r>
          </w:p>
        </w:tc>
        <w:tc>
          <w:tcPr>
            <w:tcW w:w="1006" w:type="dxa"/>
            <w:tcBorders>
              <w:top w:val="nil"/>
              <w:left w:val="nil"/>
              <w:bottom w:val="nil"/>
              <w:right w:val="nil"/>
            </w:tcBorders>
            <w:shd w:val="clear" w:color="auto" w:fill="auto"/>
            <w:noWrap/>
            <w:vAlign w:val="bottom"/>
            <w:hideMark/>
          </w:tcPr>
          <w:p w14:paraId="3B1B24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4.127919</w:t>
            </w:r>
          </w:p>
        </w:tc>
        <w:tc>
          <w:tcPr>
            <w:tcW w:w="976" w:type="dxa"/>
            <w:tcBorders>
              <w:top w:val="nil"/>
              <w:left w:val="nil"/>
              <w:bottom w:val="nil"/>
              <w:right w:val="nil"/>
            </w:tcBorders>
            <w:shd w:val="clear" w:color="auto" w:fill="auto"/>
            <w:noWrap/>
            <w:vAlign w:val="bottom"/>
            <w:hideMark/>
          </w:tcPr>
          <w:p w14:paraId="1B524E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56.89381</w:t>
            </w:r>
          </w:p>
        </w:tc>
        <w:tc>
          <w:tcPr>
            <w:tcW w:w="1001" w:type="dxa"/>
            <w:tcBorders>
              <w:top w:val="nil"/>
              <w:left w:val="nil"/>
              <w:bottom w:val="nil"/>
              <w:right w:val="nil"/>
            </w:tcBorders>
            <w:shd w:val="clear" w:color="auto" w:fill="auto"/>
            <w:noWrap/>
            <w:vAlign w:val="bottom"/>
            <w:hideMark/>
          </w:tcPr>
          <w:p w14:paraId="3F96C49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24.20376</w:t>
            </w:r>
          </w:p>
        </w:tc>
        <w:tc>
          <w:tcPr>
            <w:tcW w:w="976" w:type="dxa"/>
            <w:tcBorders>
              <w:top w:val="nil"/>
              <w:left w:val="nil"/>
              <w:bottom w:val="nil"/>
              <w:right w:val="nil"/>
            </w:tcBorders>
            <w:shd w:val="clear" w:color="auto" w:fill="auto"/>
            <w:noWrap/>
            <w:vAlign w:val="bottom"/>
            <w:hideMark/>
          </w:tcPr>
          <w:p w14:paraId="15FFF8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333.5928</w:t>
            </w:r>
          </w:p>
        </w:tc>
      </w:tr>
      <w:tr w:rsidR="00943282" w:rsidRPr="00943282" w14:paraId="23064DE4" w14:textId="77777777" w:rsidTr="00943282">
        <w:trPr>
          <w:trHeight w:val="300"/>
        </w:trPr>
        <w:tc>
          <w:tcPr>
            <w:tcW w:w="954" w:type="dxa"/>
            <w:tcBorders>
              <w:top w:val="nil"/>
              <w:left w:val="nil"/>
              <w:bottom w:val="nil"/>
              <w:right w:val="nil"/>
            </w:tcBorders>
            <w:shd w:val="clear" w:color="auto" w:fill="auto"/>
            <w:noWrap/>
            <w:vAlign w:val="bottom"/>
            <w:hideMark/>
          </w:tcPr>
          <w:p w14:paraId="0663ECD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w:t>
            </w:r>
          </w:p>
        </w:tc>
        <w:tc>
          <w:tcPr>
            <w:tcW w:w="1008" w:type="dxa"/>
            <w:tcBorders>
              <w:top w:val="nil"/>
              <w:left w:val="nil"/>
              <w:bottom w:val="nil"/>
              <w:right w:val="nil"/>
            </w:tcBorders>
            <w:shd w:val="clear" w:color="auto" w:fill="auto"/>
            <w:noWrap/>
            <w:vAlign w:val="bottom"/>
            <w:hideMark/>
          </w:tcPr>
          <w:p w14:paraId="4282D7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SVK</w:t>
            </w:r>
          </w:p>
        </w:tc>
        <w:tc>
          <w:tcPr>
            <w:tcW w:w="2152" w:type="dxa"/>
            <w:tcBorders>
              <w:top w:val="nil"/>
              <w:left w:val="nil"/>
              <w:bottom w:val="nil"/>
              <w:right w:val="nil"/>
            </w:tcBorders>
            <w:shd w:val="clear" w:color="auto" w:fill="auto"/>
            <w:noWrap/>
            <w:vAlign w:val="bottom"/>
            <w:hideMark/>
          </w:tcPr>
          <w:p w14:paraId="308C048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Slovakia</w:t>
            </w:r>
          </w:p>
        </w:tc>
        <w:tc>
          <w:tcPr>
            <w:tcW w:w="1006" w:type="dxa"/>
            <w:tcBorders>
              <w:top w:val="nil"/>
              <w:left w:val="nil"/>
              <w:bottom w:val="nil"/>
              <w:right w:val="nil"/>
            </w:tcBorders>
            <w:shd w:val="clear" w:color="auto" w:fill="auto"/>
            <w:noWrap/>
            <w:vAlign w:val="bottom"/>
            <w:hideMark/>
          </w:tcPr>
          <w:p w14:paraId="43EEFF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4.552586</w:t>
            </w:r>
          </w:p>
        </w:tc>
        <w:tc>
          <w:tcPr>
            <w:tcW w:w="976" w:type="dxa"/>
            <w:tcBorders>
              <w:top w:val="nil"/>
              <w:left w:val="nil"/>
              <w:bottom w:val="nil"/>
              <w:right w:val="nil"/>
            </w:tcBorders>
            <w:shd w:val="clear" w:color="auto" w:fill="auto"/>
            <w:noWrap/>
            <w:vAlign w:val="bottom"/>
            <w:hideMark/>
          </w:tcPr>
          <w:p w14:paraId="42CDA4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54.81966</w:t>
            </w:r>
          </w:p>
        </w:tc>
        <w:tc>
          <w:tcPr>
            <w:tcW w:w="1001" w:type="dxa"/>
            <w:tcBorders>
              <w:top w:val="nil"/>
              <w:left w:val="nil"/>
              <w:bottom w:val="nil"/>
              <w:right w:val="nil"/>
            </w:tcBorders>
            <w:shd w:val="clear" w:color="auto" w:fill="auto"/>
            <w:noWrap/>
            <w:vAlign w:val="bottom"/>
            <w:hideMark/>
          </w:tcPr>
          <w:p w14:paraId="66230C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78.00693</w:t>
            </w:r>
          </w:p>
        </w:tc>
        <w:tc>
          <w:tcPr>
            <w:tcW w:w="976" w:type="dxa"/>
            <w:tcBorders>
              <w:top w:val="nil"/>
              <w:left w:val="nil"/>
              <w:bottom w:val="nil"/>
              <w:right w:val="nil"/>
            </w:tcBorders>
            <w:shd w:val="clear" w:color="auto" w:fill="auto"/>
            <w:noWrap/>
            <w:vAlign w:val="bottom"/>
            <w:hideMark/>
          </w:tcPr>
          <w:p w14:paraId="69A967F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939.3153</w:t>
            </w:r>
          </w:p>
        </w:tc>
      </w:tr>
      <w:tr w:rsidR="00943282" w:rsidRPr="00943282" w14:paraId="06210BE7" w14:textId="77777777" w:rsidTr="00943282">
        <w:trPr>
          <w:trHeight w:val="300"/>
        </w:trPr>
        <w:tc>
          <w:tcPr>
            <w:tcW w:w="954" w:type="dxa"/>
            <w:tcBorders>
              <w:top w:val="nil"/>
              <w:left w:val="nil"/>
              <w:bottom w:val="nil"/>
              <w:right w:val="nil"/>
            </w:tcBorders>
            <w:shd w:val="clear" w:color="auto" w:fill="auto"/>
            <w:noWrap/>
            <w:vAlign w:val="bottom"/>
            <w:hideMark/>
          </w:tcPr>
          <w:p w14:paraId="43E6F1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w:t>
            </w:r>
          </w:p>
        </w:tc>
        <w:tc>
          <w:tcPr>
            <w:tcW w:w="1008" w:type="dxa"/>
            <w:tcBorders>
              <w:top w:val="nil"/>
              <w:left w:val="nil"/>
              <w:bottom w:val="nil"/>
              <w:right w:val="nil"/>
            </w:tcBorders>
            <w:shd w:val="clear" w:color="auto" w:fill="auto"/>
            <w:noWrap/>
            <w:vAlign w:val="bottom"/>
            <w:hideMark/>
          </w:tcPr>
          <w:p w14:paraId="0DCCAF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SVN</w:t>
            </w:r>
          </w:p>
        </w:tc>
        <w:tc>
          <w:tcPr>
            <w:tcW w:w="2152" w:type="dxa"/>
            <w:tcBorders>
              <w:top w:val="nil"/>
              <w:left w:val="nil"/>
              <w:bottom w:val="nil"/>
              <w:right w:val="nil"/>
            </w:tcBorders>
            <w:shd w:val="clear" w:color="auto" w:fill="auto"/>
            <w:noWrap/>
            <w:vAlign w:val="bottom"/>
            <w:hideMark/>
          </w:tcPr>
          <w:p w14:paraId="007EF4D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Slovenia</w:t>
            </w:r>
          </w:p>
        </w:tc>
        <w:tc>
          <w:tcPr>
            <w:tcW w:w="1006" w:type="dxa"/>
            <w:tcBorders>
              <w:top w:val="nil"/>
              <w:left w:val="nil"/>
              <w:bottom w:val="nil"/>
              <w:right w:val="nil"/>
            </w:tcBorders>
            <w:shd w:val="clear" w:color="auto" w:fill="auto"/>
            <w:noWrap/>
            <w:vAlign w:val="bottom"/>
            <w:hideMark/>
          </w:tcPr>
          <w:p w14:paraId="6110EA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4.819639</w:t>
            </w:r>
          </w:p>
        </w:tc>
        <w:tc>
          <w:tcPr>
            <w:tcW w:w="976" w:type="dxa"/>
            <w:tcBorders>
              <w:top w:val="nil"/>
              <w:left w:val="nil"/>
              <w:bottom w:val="nil"/>
              <w:right w:val="nil"/>
            </w:tcBorders>
            <w:shd w:val="clear" w:color="auto" w:fill="auto"/>
            <w:noWrap/>
            <w:vAlign w:val="bottom"/>
            <w:hideMark/>
          </w:tcPr>
          <w:p w14:paraId="610214F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37.04435</w:t>
            </w:r>
          </w:p>
        </w:tc>
        <w:tc>
          <w:tcPr>
            <w:tcW w:w="1001" w:type="dxa"/>
            <w:tcBorders>
              <w:top w:val="nil"/>
              <w:left w:val="nil"/>
              <w:bottom w:val="nil"/>
              <w:right w:val="nil"/>
            </w:tcBorders>
            <w:shd w:val="clear" w:color="auto" w:fill="auto"/>
            <w:noWrap/>
            <w:vAlign w:val="bottom"/>
            <w:hideMark/>
          </w:tcPr>
          <w:p w14:paraId="27EB61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93.98659</w:t>
            </w:r>
          </w:p>
        </w:tc>
        <w:tc>
          <w:tcPr>
            <w:tcW w:w="976" w:type="dxa"/>
            <w:tcBorders>
              <w:top w:val="nil"/>
              <w:left w:val="nil"/>
              <w:bottom w:val="nil"/>
              <w:right w:val="nil"/>
            </w:tcBorders>
            <w:shd w:val="clear" w:color="auto" w:fill="auto"/>
            <w:noWrap/>
            <w:vAlign w:val="bottom"/>
            <w:hideMark/>
          </w:tcPr>
          <w:p w14:paraId="0BF662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722.3927</w:t>
            </w:r>
          </w:p>
        </w:tc>
      </w:tr>
      <w:tr w:rsidR="00943282" w:rsidRPr="00943282" w14:paraId="197A499B" w14:textId="77777777" w:rsidTr="00943282">
        <w:trPr>
          <w:trHeight w:val="300"/>
        </w:trPr>
        <w:tc>
          <w:tcPr>
            <w:tcW w:w="954" w:type="dxa"/>
            <w:tcBorders>
              <w:top w:val="nil"/>
              <w:left w:val="nil"/>
              <w:bottom w:val="nil"/>
              <w:right w:val="nil"/>
            </w:tcBorders>
            <w:shd w:val="clear" w:color="auto" w:fill="auto"/>
            <w:noWrap/>
            <w:vAlign w:val="bottom"/>
            <w:hideMark/>
          </w:tcPr>
          <w:p w14:paraId="3CD24F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w:t>
            </w:r>
          </w:p>
        </w:tc>
        <w:tc>
          <w:tcPr>
            <w:tcW w:w="1008" w:type="dxa"/>
            <w:tcBorders>
              <w:top w:val="nil"/>
              <w:left w:val="nil"/>
              <w:bottom w:val="nil"/>
              <w:right w:val="nil"/>
            </w:tcBorders>
            <w:shd w:val="clear" w:color="auto" w:fill="auto"/>
            <w:noWrap/>
            <w:vAlign w:val="bottom"/>
            <w:hideMark/>
          </w:tcPr>
          <w:p w14:paraId="6B35066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ESP</w:t>
            </w:r>
          </w:p>
        </w:tc>
        <w:tc>
          <w:tcPr>
            <w:tcW w:w="2152" w:type="dxa"/>
            <w:tcBorders>
              <w:top w:val="nil"/>
              <w:left w:val="nil"/>
              <w:bottom w:val="nil"/>
              <w:right w:val="nil"/>
            </w:tcBorders>
            <w:shd w:val="clear" w:color="auto" w:fill="auto"/>
            <w:noWrap/>
            <w:vAlign w:val="bottom"/>
            <w:hideMark/>
          </w:tcPr>
          <w:p w14:paraId="6C449EE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Spain</w:t>
            </w:r>
          </w:p>
        </w:tc>
        <w:tc>
          <w:tcPr>
            <w:tcW w:w="1006" w:type="dxa"/>
            <w:tcBorders>
              <w:top w:val="nil"/>
              <w:left w:val="nil"/>
              <w:bottom w:val="nil"/>
              <w:right w:val="nil"/>
            </w:tcBorders>
            <w:shd w:val="clear" w:color="auto" w:fill="auto"/>
            <w:noWrap/>
            <w:vAlign w:val="bottom"/>
            <w:hideMark/>
          </w:tcPr>
          <w:p w14:paraId="3375FE3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5.202445</w:t>
            </w:r>
          </w:p>
        </w:tc>
        <w:tc>
          <w:tcPr>
            <w:tcW w:w="976" w:type="dxa"/>
            <w:tcBorders>
              <w:top w:val="nil"/>
              <w:left w:val="nil"/>
              <w:bottom w:val="nil"/>
              <w:right w:val="nil"/>
            </w:tcBorders>
            <w:shd w:val="clear" w:color="auto" w:fill="auto"/>
            <w:noWrap/>
            <w:vAlign w:val="bottom"/>
            <w:hideMark/>
          </w:tcPr>
          <w:p w14:paraId="50A5A9C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26.66381</w:t>
            </w:r>
          </w:p>
        </w:tc>
        <w:tc>
          <w:tcPr>
            <w:tcW w:w="1001" w:type="dxa"/>
            <w:tcBorders>
              <w:top w:val="nil"/>
              <w:left w:val="nil"/>
              <w:bottom w:val="nil"/>
              <w:right w:val="nil"/>
            </w:tcBorders>
            <w:shd w:val="clear" w:color="auto" w:fill="auto"/>
            <w:noWrap/>
            <w:vAlign w:val="bottom"/>
            <w:hideMark/>
          </w:tcPr>
          <w:p w14:paraId="7E6EA9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130.4332</w:t>
            </w:r>
          </w:p>
        </w:tc>
        <w:tc>
          <w:tcPr>
            <w:tcW w:w="976" w:type="dxa"/>
            <w:tcBorders>
              <w:top w:val="nil"/>
              <w:left w:val="nil"/>
              <w:bottom w:val="nil"/>
              <w:right w:val="nil"/>
            </w:tcBorders>
            <w:shd w:val="clear" w:color="auto" w:fill="auto"/>
            <w:noWrap/>
            <w:vAlign w:val="bottom"/>
            <w:hideMark/>
          </w:tcPr>
          <w:p w14:paraId="767249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668.5024</w:t>
            </w:r>
          </w:p>
        </w:tc>
      </w:tr>
      <w:tr w:rsidR="00943282" w:rsidRPr="00943282" w14:paraId="2A9DABF7" w14:textId="77777777" w:rsidTr="00943282">
        <w:trPr>
          <w:trHeight w:val="300"/>
        </w:trPr>
        <w:tc>
          <w:tcPr>
            <w:tcW w:w="954" w:type="dxa"/>
            <w:tcBorders>
              <w:top w:val="nil"/>
              <w:left w:val="nil"/>
              <w:bottom w:val="nil"/>
              <w:right w:val="nil"/>
            </w:tcBorders>
            <w:shd w:val="clear" w:color="auto" w:fill="auto"/>
            <w:noWrap/>
            <w:vAlign w:val="bottom"/>
            <w:hideMark/>
          </w:tcPr>
          <w:p w14:paraId="0366894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w:t>
            </w:r>
          </w:p>
        </w:tc>
        <w:tc>
          <w:tcPr>
            <w:tcW w:w="1008" w:type="dxa"/>
            <w:tcBorders>
              <w:top w:val="nil"/>
              <w:left w:val="nil"/>
              <w:bottom w:val="nil"/>
              <w:right w:val="nil"/>
            </w:tcBorders>
            <w:shd w:val="clear" w:color="auto" w:fill="auto"/>
            <w:noWrap/>
            <w:vAlign w:val="bottom"/>
            <w:hideMark/>
          </w:tcPr>
          <w:p w14:paraId="0FACB3E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w:t>
            </w:r>
          </w:p>
        </w:tc>
        <w:tc>
          <w:tcPr>
            <w:tcW w:w="2152" w:type="dxa"/>
            <w:tcBorders>
              <w:top w:val="nil"/>
              <w:left w:val="nil"/>
              <w:bottom w:val="nil"/>
              <w:right w:val="nil"/>
            </w:tcBorders>
            <w:shd w:val="clear" w:color="auto" w:fill="auto"/>
            <w:noWrap/>
            <w:vAlign w:val="bottom"/>
            <w:hideMark/>
          </w:tcPr>
          <w:p w14:paraId="6F7E28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Sweden</w:t>
            </w:r>
          </w:p>
        </w:tc>
        <w:tc>
          <w:tcPr>
            <w:tcW w:w="1006" w:type="dxa"/>
            <w:tcBorders>
              <w:top w:val="nil"/>
              <w:left w:val="nil"/>
              <w:bottom w:val="nil"/>
              <w:right w:val="nil"/>
            </w:tcBorders>
            <w:shd w:val="clear" w:color="auto" w:fill="auto"/>
            <w:noWrap/>
            <w:vAlign w:val="bottom"/>
            <w:hideMark/>
          </w:tcPr>
          <w:p w14:paraId="794346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5.434156</w:t>
            </w:r>
          </w:p>
        </w:tc>
        <w:tc>
          <w:tcPr>
            <w:tcW w:w="976" w:type="dxa"/>
            <w:tcBorders>
              <w:top w:val="nil"/>
              <w:left w:val="nil"/>
              <w:bottom w:val="nil"/>
              <w:right w:val="nil"/>
            </w:tcBorders>
            <w:shd w:val="clear" w:color="auto" w:fill="auto"/>
            <w:noWrap/>
            <w:vAlign w:val="bottom"/>
            <w:hideMark/>
          </w:tcPr>
          <w:p w14:paraId="24F43D0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26.48419</w:t>
            </w:r>
          </w:p>
        </w:tc>
        <w:tc>
          <w:tcPr>
            <w:tcW w:w="1001" w:type="dxa"/>
            <w:tcBorders>
              <w:top w:val="nil"/>
              <w:left w:val="nil"/>
              <w:bottom w:val="nil"/>
              <w:right w:val="nil"/>
            </w:tcBorders>
            <w:shd w:val="clear" w:color="auto" w:fill="auto"/>
            <w:noWrap/>
            <w:vAlign w:val="bottom"/>
            <w:hideMark/>
          </w:tcPr>
          <w:p w14:paraId="48D5BC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216.8742</w:t>
            </w:r>
          </w:p>
        </w:tc>
        <w:tc>
          <w:tcPr>
            <w:tcW w:w="976" w:type="dxa"/>
            <w:tcBorders>
              <w:top w:val="nil"/>
              <w:left w:val="nil"/>
              <w:bottom w:val="nil"/>
              <w:right w:val="nil"/>
            </w:tcBorders>
            <w:shd w:val="clear" w:color="auto" w:fill="auto"/>
            <w:noWrap/>
            <w:vAlign w:val="bottom"/>
            <w:hideMark/>
          </w:tcPr>
          <w:p w14:paraId="4AA80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1056.969</w:t>
            </w:r>
          </w:p>
        </w:tc>
      </w:tr>
      <w:tr w:rsidR="00943282" w:rsidRPr="00943282" w14:paraId="601AADDF" w14:textId="77777777" w:rsidTr="00943282">
        <w:trPr>
          <w:trHeight w:val="300"/>
        </w:trPr>
        <w:tc>
          <w:tcPr>
            <w:tcW w:w="954" w:type="dxa"/>
            <w:tcBorders>
              <w:top w:val="nil"/>
              <w:left w:val="nil"/>
              <w:bottom w:val="nil"/>
              <w:right w:val="nil"/>
            </w:tcBorders>
            <w:shd w:val="clear" w:color="auto" w:fill="auto"/>
            <w:noWrap/>
            <w:vAlign w:val="bottom"/>
            <w:hideMark/>
          </w:tcPr>
          <w:p w14:paraId="7DDAF7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39</w:t>
            </w:r>
          </w:p>
        </w:tc>
        <w:tc>
          <w:tcPr>
            <w:tcW w:w="1008" w:type="dxa"/>
            <w:tcBorders>
              <w:top w:val="nil"/>
              <w:left w:val="nil"/>
              <w:bottom w:val="nil"/>
              <w:right w:val="nil"/>
            </w:tcBorders>
            <w:shd w:val="clear" w:color="auto" w:fill="auto"/>
            <w:noWrap/>
            <w:vAlign w:val="bottom"/>
            <w:hideMark/>
          </w:tcPr>
          <w:p w14:paraId="546326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CHE</w:t>
            </w:r>
          </w:p>
        </w:tc>
        <w:tc>
          <w:tcPr>
            <w:tcW w:w="2152" w:type="dxa"/>
            <w:tcBorders>
              <w:top w:val="nil"/>
              <w:left w:val="nil"/>
              <w:bottom w:val="nil"/>
              <w:right w:val="nil"/>
            </w:tcBorders>
            <w:shd w:val="clear" w:color="auto" w:fill="auto"/>
            <w:noWrap/>
            <w:vAlign w:val="bottom"/>
            <w:hideMark/>
          </w:tcPr>
          <w:p w14:paraId="7AD696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Switzerland</w:t>
            </w:r>
          </w:p>
        </w:tc>
        <w:tc>
          <w:tcPr>
            <w:tcW w:w="1006" w:type="dxa"/>
            <w:tcBorders>
              <w:top w:val="nil"/>
              <w:left w:val="nil"/>
              <w:bottom w:val="nil"/>
              <w:right w:val="nil"/>
            </w:tcBorders>
            <w:shd w:val="clear" w:color="auto" w:fill="auto"/>
            <w:noWrap/>
            <w:vAlign w:val="bottom"/>
            <w:hideMark/>
          </w:tcPr>
          <w:p w14:paraId="53ACA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5.430949</w:t>
            </w:r>
          </w:p>
        </w:tc>
        <w:tc>
          <w:tcPr>
            <w:tcW w:w="976" w:type="dxa"/>
            <w:tcBorders>
              <w:top w:val="nil"/>
              <w:left w:val="nil"/>
              <w:bottom w:val="nil"/>
              <w:right w:val="nil"/>
            </w:tcBorders>
            <w:shd w:val="clear" w:color="auto" w:fill="auto"/>
            <w:noWrap/>
            <w:vAlign w:val="bottom"/>
            <w:hideMark/>
          </w:tcPr>
          <w:p w14:paraId="21F6990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25.18192</w:t>
            </w:r>
          </w:p>
        </w:tc>
        <w:tc>
          <w:tcPr>
            <w:tcW w:w="1001" w:type="dxa"/>
            <w:tcBorders>
              <w:top w:val="nil"/>
              <w:left w:val="nil"/>
              <w:bottom w:val="nil"/>
              <w:right w:val="nil"/>
            </w:tcBorders>
            <w:shd w:val="clear" w:color="auto" w:fill="auto"/>
            <w:noWrap/>
            <w:vAlign w:val="bottom"/>
            <w:hideMark/>
          </w:tcPr>
          <w:p w14:paraId="0C58B3E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350.677</w:t>
            </w:r>
          </w:p>
        </w:tc>
        <w:tc>
          <w:tcPr>
            <w:tcW w:w="976" w:type="dxa"/>
            <w:tcBorders>
              <w:top w:val="nil"/>
              <w:left w:val="nil"/>
              <w:bottom w:val="nil"/>
              <w:right w:val="nil"/>
            </w:tcBorders>
            <w:shd w:val="clear" w:color="auto" w:fill="auto"/>
            <w:noWrap/>
            <w:vAlign w:val="bottom"/>
            <w:hideMark/>
          </w:tcPr>
          <w:p w14:paraId="41FB48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1626</w:t>
            </w:r>
          </w:p>
        </w:tc>
      </w:tr>
      <w:tr w:rsidR="00943282" w:rsidRPr="00943282" w14:paraId="016BCC4F" w14:textId="77777777" w:rsidTr="00943282">
        <w:trPr>
          <w:trHeight w:val="300"/>
        </w:trPr>
        <w:tc>
          <w:tcPr>
            <w:tcW w:w="954" w:type="dxa"/>
            <w:tcBorders>
              <w:top w:val="nil"/>
              <w:left w:val="nil"/>
              <w:bottom w:val="nil"/>
              <w:right w:val="nil"/>
            </w:tcBorders>
            <w:shd w:val="clear" w:color="auto" w:fill="auto"/>
            <w:noWrap/>
            <w:vAlign w:val="bottom"/>
            <w:hideMark/>
          </w:tcPr>
          <w:p w14:paraId="7A8D38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w:t>
            </w:r>
          </w:p>
        </w:tc>
        <w:tc>
          <w:tcPr>
            <w:tcW w:w="1008" w:type="dxa"/>
            <w:tcBorders>
              <w:top w:val="nil"/>
              <w:left w:val="nil"/>
              <w:bottom w:val="nil"/>
              <w:right w:val="nil"/>
            </w:tcBorders>
            <w:shd w:val="clear" w:color="auto" w:fill="auto"/>
            <w:noWrap/>
            <w:vAlign w:val="bottom"/>
            <w:hideMark/>
          </w:tcPr>
          <w:p w14:paraId="16C6F77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TJK</w:t>
            </w:r>
          </w:p>
        </w:tc>
        <w:tc>
          <w:tcPr>
            <w:tcW w:w="2152" w:type="dxa"/>
            <w:tcBorders>
              <w:top w:val="nil"/>
              <w:left w:val="nil"/>
              <w:bottom w:val="nil"/>
              <w:right w:val="nil"/>
            </w:tcBorders>
            <w:shd w:val="clear" w:color="auto" w:fill="auto"/>
            <w:noWrap/>
            <w:vAlign w:val="bottom"/>
            <w:hideMark/>
          </w:tcPr>
          <w:p w14:paraId="6A0F6D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Tajikistan</w:t>
            </w:r>
          </w:p>
        </w:tc>
        <w:tc>
          <w:tcPr>
            <w:tcW w:w="1006" w:type="dxa"/>
            <w:tcBorders>
              <w:top w:val="nil"/>
              <w:left w:val="nil"/>
              <w:bottom w:val="nil"/>
              <w:right w:val="nil"/>
            </w:tcBorders>
            <w:shd w:val="clear" w:color="auto" w:fill="auto"/>
            <w:noWrap/>
            <w:vAlign w:val="bottom"/>
            <w:hideMark/>
          </w:tcPr>
          <w:p w14:paraId="46A0D3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4.864008</w:t>
            </w:r>
          </w:p>
        </w:tc>
        <w:tc>
          <w:tcPr>
            <w:tcW w:w="976" w:type="dxa"/>
            <w:tcBorders>
              <w:top w:val="nil"/>
              <w:left w:val="nil"/>
              <w:bottom w:val="nil"/>
              <w:right w:val="nil"/>
            </w:tcBorders>
            <w:shd w:val="clear" w:color="auto" w:fill="auto"/>
            <w:noWrap/>
            <w:vAlign w:val="bottom"/>
            <w:hideMark/>
          </w:tcPr>
          <w:p w14:paraId="22CCD38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13.94949</w:t>
            </w:r>
          </w:p>
        </w:tc>
        <w:tc>
          <w:tcPr>
            <w:tcW w:w="1001" w:type="dxa"/>
            <w:tcBorders>
              <w:top w:val="nil"/>
              <w:left w:val="nil"/>
              <w:bottom w:val="nil"/>
              <w:right w:val="nil"/>
            </w:tcBorders>
            <w:shd w:val="clear" w:color="auto" w:fill="auto"/>
            <w:noWrap/>
            <w:vAlign w:val="bottom"/>
            <w:hideMark/>
          </w:tcPr>
          <w:p w14:paraId="26DB41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6.96549</w:t>
            </w:r>
          </w:p>
        </w:tc>
        <w:tc>
          <w:tcPr>
            <w:tcW w:w="976" w:type="dxa"/>
            <w:tcBorders>
              <w:top w:val="nil"/>
              <w:left w:val="nil"/>
              <w:bottom w:val="nil"/>
              <w:right w:val="nil"/>
            </w:tcBorders>
            <w:shd w:val="clear" w:color="auto" w:fill="auto"/>
            <w:noWrap/>
            <w:vAlign w:val="bottom"/>
            <w:hideMark/>
          </w:tcPr>
          <w:p w14:paraId="4462127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19.97634</w:t>
            </w:r>
          </w:p>
        </w:tc>
      </w:tr>
      <w:tr w:rsidR="00943282" w:rsidRPr="00943282" w14:paraId="444D00B7" w14:textId="77777777" w:rsidTr="00943282">
        <w:trPr>
          <w:trHeight w:val="300"/>
        </w:trPr>
        <w:tc>
          <w:tcPr>
            <w:tcW w:w="954" w:type="dxa"/>
            <w:tcBorders>
              <w:top w:val="nil"/>
              <w:left w:val="nil"/>
              <w:bottom w:val="nil"/>
              <w:right w:val="nil"/>
            </w:tcBorders>
            <w:shd w:val="clear" w:color="auto" w:fill="auto"/>
            <w:noWrap/>
            <w:vAlign w:val="bottom"/>
            <w:hideMark/>
          </w:tcPr>
          <w:p w14:paraId="1F899B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w:t>
            </w:r>
          </w:p>
        </w:tc>
        <w:tc>
          <w:tcPr>
            <w:tcW w:w="1008" w:type="dxa"/>
            <w:tcBorders>
              <w:top w:val="nil"/>
              <w:left w:val="nil"/>
              <w:bottom w:val="nil"/>
              <w:right w:val="nil"/>
            </w:tcBorders>
            <w:shd w:val="clear" w:color="auto" w:fill="auto"/>
            <w:noWrap/>
            <w:vAlign w:val="bottom"/>
            <w:hideMark/>
          </w:tcPr>
          <w:p w14:paraId="7D0F712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w:t>
            </w:r>
          </w:p>
        </w:tc>
        <w:tc>
          <w:tcPr>
            <w:tcW w:w="2152" w:type="dxa"/>
            <w:tcBorders>
              <w:top w:val="nil"/>
              <w:left w:val="nil"/>
              <w:bottom w:val="nil"/>
              <w:right w:val="nil"/>
            </w:tcBorders>
            <w:shd w:val="clear" w:color="auto" w:fill="auto"/>
            <w:noWrap/>
            <w:vAlign w:val="bottom"/>
            <w:hideMark/>
          </w:tcPr>
          <w:p w14:paraId="547512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Turkey</w:t>
            </w:r>
          </w:p>
        </w:tc>
        <w:tc>
          <w:tcPr>
            <w:tcW w:w="1006" w:type="dxa"/>
            <w:tcBorders>
              <w:top w:val="nil"/>
              <w:left w:val="nil"/>
              <w:bottom w:val="nil"/>
              <w:right w:val="nil"/>
            </w:tcBorders>
            <w:shd w:val="clear" w:color="auto" w:fill="auto"/>
            <w:noWrap/>
            <w:vAlign w:val="bottom"/>
            <w:hideMark/>
          </w:tcPr>
          <w:p w14:paraId="1FF15FD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4.929746</w:t>
            </w:r>
          </w:p>
        </w:tc>
        <w:tc>
          <w:tcPr>
            <w:tcW w:w="976" w:type="dxa"/>
            <w:tcBorders>
              <w:top w:val="nil"/>
              <w:left w:val="nil"/>
              <w:bottom w:val="nil"/>
              <w:right w:val="nil"/>
            </w:tcBorders>
            <w:shd w:val="clear" w:color="auto" w:fill="auto"/>
            <w:noWrap/>
            <w:vAlign w:val="bottom"/>
            <w:hideMark/>
          </w:tcPr>
          <w:p w14:paraId="09F6E07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42.07853</w:t>
            </w:r>
          </w:p>
        </w:tc>
        <w:tc>
          <w:tcPr>
            <w:tcW w:w="1001" w:type="dxa"/>
            <w:tcBorders>
              <w:top w:val="nil"/>
              <w:left w:val="nil"/>
              <w:bottom w:val="nil"/>
              <w:right w:val="nil"/>
            </w:tcBorders>
            <w:shd w:val="clear" w:color="auto" w:fill="auto"/>
            <w:noWrap/>
            <w:vAlign w:val="bottom"/>
            <w:hideMark/>
          </w:tcPr>
          <w:p w14:paraId="5F0E573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56.764</w:t>
            </w:r>
          </w:p>
        </w:tc>
        <w:tc>
          <w:tcPr>
            <w:tcW w:w="976" w:type="dxa"/>
            <w:tcBorders>
              <w:top w:val="nil"/>
              <w:left w:val="nil"/>
              <w:bottom w:val="nil"/>
              <w:right w:val="nil"/>
            </w:tcBorders>
            <w:shd w:val="clear" w:color="auto" w:fill="auto"/>
            <w:noWrap/>
            <w:vAlign w:val="bottom"/>
            <w:hideMark/>
          </w:tcPr>
          <w:p w14:paraId="44351A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484.5169</w:t>
            </w:r>
          </w:p>
        </w:tc>
      </w:tr>
      <w:tr w:rsidR="00943282" w:rsidRPr="00943282" w14:paraId="2B141E64" w14:textId="77777777" w:rsidTr="00943282">
        <w:trPr>
          <w:trHeight w:val="300"/>
        </w:trPr>
        <w:tc>
          <w:tcPr>
            <w:tcW w:w="954" w:type="dxa"/>
            <w:tcBorders>
              <w:top w:val="nil"/>
              <w:left w:val="nil"/>
              <w:bottom w:val="nil"/>
              <w:right w:val="nil"/>
            </w:tcBorders>
            <w:shd w:val="clear" w:color="auto" w:fill="auto"/>
            <w:noWrap/>
            <w:vAlign w:val="bottom"/>
            <w:hideMark/>
          </w:tcPr>
          <w:p w14:paraId="59214A3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w:t>
            </w:r>
          </w:p>
        </w:tc>
        <w:tc>
          <w:tcPr>
            <w:tcW w:w="1008" w:type="dxa"/>
            <w:tcBorders>
              <w:top w:val="nil"/>
              <w:left w:val="nil"/>
              <w:bottom w:val="nil"/>
              <w:right w:val="nil"/>
            </w:tcBorders>
            <w:shd w:val="clear" w:color="auto" w:fill="auto"/>
            <w:noWrap/>
            <w:vAlign w:val="bottom"/>
            <w:hideMark/>
          </w:tcPr>
          <w:p w14:paraId="6D2902B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GBR</w:t>
            </w:r>
          </w:p>
        </w:tc>
        <w:tc>
          <w:tcPr>
            <w:tcW w:w="2152" w:type="dxa"/>
            <w:tcBorders>
              <w:top w:val="nil"/>
              <w:left w:val="nil"/>
              <w:bottom w:val="nil"/>
              <w:right w:val="nil"/>
            </w:tcBorders>
            <w:shd w:val="clear" w:color="auto" w:fill="auto"/>
            <w:noWrap/>
            <w:vAlign w:val="bottom"/>
            <w:hideMark/>
          </w:tcPr>
          <w:p w14:paraId="595ACF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w:t>
            </w:r>
          </w:p>
        </w:tc>
        <w:tc>
          <w:tcPr>
            <w:tcW w:w="1006" w:type="dxa"/>
            <w:tcBorders>
              <w:top w:val="nil"/>
              <w:left w:val="nil"/>
              <w:bottom w:val="nil"/>
              <w:right w:val="nil"/>
            </w:tcBorders>
            <w:shd w:val="clear" w:color="auto" w:fill="auto"/>
            <w:noWrap/>
            <w:vAlign w:val="bottom"/>
            <w:hideMark/>
          </w:tcPr>
          <w:p w14:paraId="43B854B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4.309123</w:t>
            </w:r>
          </w:p>
        </w:tc>
        <w:tc>
          <w:tcPr>
            <w:tcW w:w="976" w:type="dxa"/>
            <w:tcBorders>
              <w:top w:val="nil"/>
              <w:left w:val="nil"/>
              <w:bottom w:val="nil"/>
              <w:right w:val="nil"/>
            </w:tcBorders>
            <w:shd w:val="clear" w:color="auto" w:fill="auto"/>
            <w:noWrap/>
            <w:vAlign w:val="bottom"/>
            <w:hideMark/>
          </w:tcPr>
          <w:p w14:paraId="119647F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32.79863</w:t>
            </w:r>
          </w:p>
        </w:tc>
        <w:tc>
          <w:tcPr>
            <w:tcW w:w="1001" w:type="dxa"/>
            <w:tcBorders>
              <w:top w:val="nil"/>
              <w:left w:val="nil"/>
              <w:bottom w:val="nil"/>
              <w:right w:val="nil"/>
            </w:tcBorders>
            <w:shd w:val="clear" w:color="auto" w:fill="auto"/>
            <w:noWrap/>
            <w:vAlign w:val="bottom"/>
            <w:hideMark/>
          </w:tcPr>
          <w:p w14:paraId="4D52DE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173.9365</w:t>
            </w:r>
          </w:p>
        </w:tc>
        <w:tc>
          <w:tcPr>
            <w:tcW w:w="976" w:type="dxa"/>
            <w:tcBorders>
              <w:top w:val="nil"/>
              <w:left w:val="nil"/>
              <w:bottom w:val="nil"/>
              <w:right w:val="nil"/>
            </w:tcBorders>
            <w:shd w:val="clear" w:color="auto" w:fill="auto"/>
            <w:noWrap/>
            <w:vAlign w:val="bottom"/>
            <w:hideMark/>
          </w:tcPr>
          <w:p w14:paraId="7F2E37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1323.907</w:t>
            </w:r>
          </w:p>
        </w:tc>
      </w:tr>
      <w:tr w:rsidR="00943282" w:rsidRPr="00943282" w14:paraId="321C45FC" w14:textId="77777777" w:rsidTr="00943282">
        <w:trPr>
          <w:trHeight w:val="300"/>
        </w:trPr>
        <w:tc>
          <w:tcPr>
            <w:tcW w:w="954" w:type="dxa"/>
            <w:tcBorders>
              <w:top w:val="nil"/>
              <w:left w:val="nil"/>
              <w:bottom w:val="nil"/>
              <w:right w:val="nil"/>
            </w:tcBorders>
            <w:shd w:val="clear" w:color="auto" w:fill="auto"/>
            <w:noWrap/>
            <w:vAlign w:val="bottom"/>
            <w:hideMark/>
          </w:tcPr>
          <w:p w14:paraId="3DDEA3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lastRenderedPageBreak/>
              <w:t>43</w:t>
            </w:r>
          </w:p>
        </w:tc>
        <w:tc>
          <w:tcPr>
            <w:tcW w:w="1008" w:type="dxa"/>
            <w:tcBorders>
              <w:top w:val="nil"/>
              <w:left w:val="nil"/>
              <w:bottom w:val="nil"/>
              <w:right w:val="nil"/>
            </w:tcBorders>
            <w:shd w:val="clear" w:color="auto" w:fill="auto"/>
            <w:noWrap/>
            <w:vAlign w:val="bottom"/>
            <w:hideMark/>
          </w:tcPr>
          <w:p w14:paraId="2136B9B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w:t>
            </w:r>
          </w:p>
        </w:tc>
        <w:tc>
          <w:tcPr>
            <w:tcW w:w="2152" w:type="dxa"/>
            <w:tcBorders>
              <w:top w:val="nil"/>
              <w:left w:val="nil"/>
              <w:bottom w:val="nil"/>
              <w:right w:val="nil"/>
            </w:tcBorders>
            <w:shd w:val="clear" w:color="auto" w:fill="auto"/>
            <w:noWrap/>
            <w:vAlign w:val="bottom"/>
            <w:hideMark/>
          </w:tcPr>
          <w:p w14:paraId="4B7F5D7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Ukraine</w:t>
            </w:r>
          </w:p>
        </w:tc>
        <w:tc>
          <w:tcPr>
            <w:tcW w:w="1006" w:type="dxa"/>
            <w:tcBorders>
              <w:top w:val="nil"/>
              <w:left w:val="nil"/>
              <w:bottom w:val="nil"/>
              <w:right w:val="nil"/>
            </w:tcBorders>
            <w:shd w:val="clear" w:color="auto" w:fill="auto"/>
            <w:noWrap/>
            <w:vAlign w:val="bottom"/>
            <w:hideMark/>
          </w:tcPr>
          <w:p w14:paraId="65AD49C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5.730831</w:t>
            </w:r>
          </w:p>
        </w:tc>
        <w:tc>
          <w:tcPr>
            <w:tcW w:w="976" w:type="dxa"/>
            <w:tcBorders>
              <w:top w:val="nil"/>
              <w:left w:val="nil"/>
              <w:bottom w:val="nil"/>
              <w:right w:val="nil"/>
            </w:tcBorders>
            <w:shd w:val="clear" w:color="auto" w:fill="auto"/>
            <w:noWrap/>
            <w:vAlign w:val="bottom"/>
            <w:hideMark/>
          </w:tcPr>
          <w:p w14:paraId="43F403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80.63592</w:t>
            </w:r>
          </w:p>
        </w:tc>
        <w:tc>
          <w:tcPr>
            <w:tcW w:w="1001" w:type="dxa"/>
            <w:tcBorders>
              <w:top w:val="nil"/>
              <w:left w:val="nil"/>
              <w:bottom w:val="nil"/>
              <w:right w:val="nil"/>
            </w:tcBorders>
            <w:shd w:val="clear" w:color="auto" w:fill="auto"/>
            <w:noWrap/>
            <w:vAlign w:val="bottom"/>
            <w:hideMark/>
          </w:tcPr>
          <w:p w14:paraId="033A0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10.71089</w:t>
            </w:r>
          </w:p>
        </w:tc>
        <w:tc>
          <w:tcPr>
            <w:tcW w:w="976" w:type="dxa"/>
            <w:tcBorders>
              <w:top w:val="nil"/>
              <w:left w:val="nil"/>
              <w:bottom w:val="nil"/>
              <w:right w:val="nil"/>
            </w:tcBorders>
            <w:shd w:val="clear" w:color="auto" w:fill="auto"/>
            <w:noWrap/>
            <w:vAlign w:val="bottom"/>
            <w:hideMark/>
          </w:tcPr>
          <w:p w14:paraId="63F7BD0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150.708</w:t>
            </w:r>
          </w:p>
        </w:tc>
      </w:tr>
      <w:tr w:rsidR="00943282" w:rsidRPr="00943282" w14:paraId="71DAF6BA" w14:textId="77777777" w:rsidTr="00943282">
        <w:trPr>
          <w:trHeight w:val="300"/>
        </w:trPr>
        <w:tc>
          <w:tcPr>
            <w:tcW w:w="954" w:type="dxa"/>
            <w:tcBorders>
              <w:top w:val="nil"/>
              <w:left w:val="nil"/>
              <w:bottom w:val="nil"/>
              <w:right w:val="nil"/>
            </w:tcBorders>
            <w:shd w:val="clear" w:color="auto" w:fill="auto"/>
            <w:noWrap/>
            <w:vAlign w:val="bottom"/>
            <w:hideMark/>
          </w:tcPr>
          <w:p w14:paraId="01B5B0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w:t>
            </w:r>
          </w:p>
        </w:tc>
        <w:tc>
          <w:tcPr>
            <w:tcW w:w="1008" w:type="dxa"/>
            <w:tcBorders>
              <w:top w:val="nil"/>
              <w:left w:val="nil"/>
              <w:bottom w:val="nil"/>
              <w:right w:val="nil"/>
            </w:tcBorders>
            <w:shd w:val="clear" w:color="auto" w:fill="auto"/>
            <w:noWrap/>
            <w:vAlign w:val="bottom"/>
            <w:hideMark/>
          </w:tcPr>
          <w:p w14:paraId="3231FAA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w:t>
            </w:r>
          </w:p>
        </w:tc>
        <w:tc>
          <w:tcPr>
            <w:tcW w:w="2152" w:type="dxa"/>
            <w:tcBorders>
              <w:top w:val="nil"/>
              <w:left w:val="nil"/>
              <w:bottom w:val="nil"/>
              <w:right w:val="nil"/>
            </w:tcBorders>
            <w:shd w:val="clear" w:color="auto" w:fill="auto"/>
            <w:noWrap/>
            <w:vAlign w:val="bottom"/>
            <w:hideMark/>
          </w:tcPr>
          <w:p w14:paraId="426A13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Uzbekistan</w:t>
            </w:r>
          </w:p>
        </w:tc>
        <w:tc>
          <w:tcPr>
            <w:tcW w:w="1006" w:type="dxa"/>
            <w:tcBorders>
              <w:top w:val="nil"/>
              <w:left w:val="nil"/>
              <w:bottom w:val="nil"/>
              <w:right w:val="nil"/>
            </w:tcBorders>
            <w:shd w:val="clear" w:color="auto" w:fill="auto"/>
            <w:noWrap/>
            <w:vAlign w:val="bottom"/>
            <w:hideMark/>
          </w:tcPr>
          <w:p w14:paraId="009754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5.784437</w:t>
            </w:r>
          </w:p>
        </w:tc>
        <w:tc>
          <w:tcPr>
            <w:tcW w:w="976" w:type="dxa"/>
            <w:tcBorders>
              <w:top w:val="nil"/>
              <w:left w:val="nil"/>
              <w:bottom w:val="nil"/>
              <w:right w:val="nil"/>
            </w:tcBorders>
            <w:shd w:val="clear" w:color="auto" w:fill="auto"/>
            <w:noWrap/>
            <w:vAlign w:val="bottom"/>
            <w:hideMark/>
          </w:tcPr>
          <w:p w14:paraId="488A1A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85.47633</w:t>
            </w:r>
          </w:p>
        </w:tc>
        <w:tc>
          <w:tcPr>
            <w:tcW w:w="1001" w:type="dxa"/>
            <w:tcBorders>
              <w:top w:val="nil"/>
              <w:left w:val="nil"/>
              <w:bottom w:val="nil"/>
              <w:right w:val="nil"/>
            </w:tcBorders>
            <w:shd w:val="clear" w:color="auto" w:fill="auto"/>
            <w:noWrap/>
            <w:vAlign w:val="bottom"/>
            <w:hideMark/>
          </w:tcPr>
          <w:p w14:paraId="7514D19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8.283588</w:t>
            </w:r>
          </w:p>
        </w:tc>
        <w:tc>
          <w:tcPr>
            <w:tcW w:w="976" w:type="dxa"/>
            <w:tcBorders>
              <w:top w:val="nil"/>
              <w:left w:val="nil"/>
              <w:bottom w:val="nil"/>
              <w:right w:val="nil"/>
            </w:tcBorders>
            <w:shd w:val="clear" w:color="auto" w:fill="auto"/>
            <w:noWrap/>
            <w:vAlign w:val="bottom"/>
            <w:hideMark/>
          </w:tcPr>
          <w:p w14:paraId="3AB94D6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122.4062</w:t>
            </w:r>
          </w:p>
        </w:tc>
      </w:tr>
    </w:tbl>
    <w:p w14:paraId="5A67E570" w14:textId="3D4F2A80" w:rsidR="003F698F" w:rsidRDefault="003F698F" w:rsidP="00E91B77">
      <w:pPr>
        <w:jc w:val="both"/>
        <w:rPr>
          <w:lang w:val="en-US"/>
        </w:rPr>
      </w:pPr>
    </w:p>
    <w:sectPr w:rsidR="003F698F" w:rsidSect="00BE3F5F">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1447" w14:textId="77777777" w:rsidR="00974E05" w:rsidRDefault="00974E05" w:rsidP="004F34E7">
      <w:pPr>
        <w:spacing w:after="0" w:line="240" w:lineRule="auto"/>
      </w:pPr>
      <w:r>
        <w:separator/>
      </w:r>
    </w:p>
  </w:endnote>
  <w:endnote w:type="continuationSeparator" w:id="0">
    <w:p w14:paraId="48AA5F05" w14:textId="77777777" w:rsidR="00974E05" w:rsidRDefault="00974E05"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578C1" w14:textId="77777777" w:rsidR="00974E05" w:rsidRDefault="00974E05" w:rsidP="004F34E7">
      <w:pPr>
        <w:spacing w:after="0" w:line="240" w:lineRule="auto"/>
      </w:pPr>
      <w:r>
        <w:separator/>
      </w:r>
    </w:p>
  </w:footnote>
  <w:footnote w:type="continuationSeparator" w:id="0">
    <w:p w14:paraId="4BC3C0A2" w14:textId="77777777" w:rsidR="00974E05" w:rsidRDefault="00974E05" w:rsidP="004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2551A"/>
    <w:rsid w:val="0006459C"/>
    <w:rsid w:val="00086FC3"/>
    <w:rsid w:val="000B79AD"/>
    <w:rsid w:val="000C1C64"/>
    <w:rsid w:val="000D5579"/>
    <w:rsid w:val="000D7EB0"/>
    <w:rsid w:val="000E40EE"/>
    <w:rsid w:val="00106A88"/>
    <w:rsid w:val="001227ED"/>
    <w:rsid w:val="00124FF1"/>
    <w:rsid w:val="00127FC8"/>
    <w:rsid w:val="001557F4"/>
    <w:rsid w:val="0017775C"/>
    <w:rsid w:val="001944D0"/>
    <w:rsid w:val="00194512"/>
    <w:rsid w:val="001976C4"/>
    <w:rsid w:val="001B13C9"/>
    <w:rsid w:val="001D6BD4"/>
    <w:rsid w:val="001E0E12"/>
    <w:rsid w:val="001E2DBF"/>
    <w:rsid w:val="001E5223"/>
    <w:rsid w:val="001F4A9F"/>
    <w:rsid w:val="001F622A"/>
    <w:rsid w:val="002002A3"/>
    <w:rsid w:val="00254FDF"/>
    <w:rsid w:val="00265DDD"/>
    <w:rsid w:val="00294D86"/>
    <w:rsid w:val="002D5DD0"/>
    <w:rsid w:val="00317DF8"/>
    <w:rsid w:val="0038021D"/>
    <w:rsid w:val="00383070"/>
    <w:rsid w:val="00392A20"/>
    <w:rsid w:val="003A3732"/>
    <w:rsid w:val="003A7458"/>
    <w:rsid w:val="003B3B36"/>
    <w:rsid w:val="003B57A8"/>
    <w:rsid w:val="003D44F6"/>
    <w:rsid w:val="003F698F"/>
    <w:rsid w:val="0040038D"/>
    <w:rsid w:val="00432F99"/>
    <w:rsid w:val="00456E5D"/>
    <w:rsid w:val="00457764"/>
    <w:rsid w:val="0047038A"/>
    <w:rsid w:val="00486459"/>
    <w:rsid w:val="00493BD3"/>
    <w:rsid w:val="004B5E33"/>
    <w:rsid w:val="004F34E7"/>
    <w:rsid w:val="00502E4F"/>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009B"/>
    <w:rsid w:val="00721C64"/>
    <w:rsid w:val="0073038D"/>
    <w:rsid w:val="00735826"/>
    <w:rsid w:val="00743BAD"/>
    <w:rsid w:val="00752251"/>
    <w:rsid w:val="007747A6"/>
    <w:rsid w:val="007837DA"/>
    <w:rsid w:val="007902B3"/>
    <w:rsid w:val="00797F64"/>
    <w:rsid w:val="007A4F87"/>
    <w:rsid w:val="007B4A6A"/>
    <w:rsid w:val="007E6597"/>
    <w:rsid w:val="007F5421"/>
    <w:rsid w:val="00802D90"/>
    <w:rsid w:val="00804DBA"/>
    <w:rsid w:val="00811A51"/>
    <w:rsid w:val="00812B8E"/>
    <w:rsid w:val="00890378"/>
    <w:rsid w:val="008A5423"/>
    <w:rsid w:val="008A6BB5"/>
    <w:rsid w:val="008A7C85"/>
    <w:rsid w:val="0094229B"/>
    <w:rsid w:val="00943282"/>
    <w:rsid w:val="009558C5"/>
    <w:rsid w:val="00974E05"/>
    <w:rsid w:val="009754E0"/>
    <w:rsid w:val="00985C46"/>
    <w:rsid w:val="00992C8C"/>
    <w:rsid w:val="009B0C6A"/>
    <w:rsid w:val="009C4863"/>
    <w:rsid w:val="009C6A46"/>
    <w:rsid w:val="009D525A"/>
    <w:rsid w:val="009E15CC"/>
    <w:rsid w:val="009E784D"/>
    <w:rsid w:val="009E7D6B"/>
    <w:rsid w:val="00A11EB6"/>
    <w:rsid w:val="00A12F70"/>
    <w:rsid w:val="00A2369F"/>
    <w:rsid w:val="00A50E7A"/>
    <w:rsid w:val="00A66FEC"/>
    <w:rsid w:val="00A940FE"/>
    <w:rsid w:val="00AA6CDB"/>
    <w:rsid w:val="00AB0AF1"/>
    <w:rsid w:val="00AC4811"/>
    <w:rsid w:val="00AE11E9"/>
    <w:rsid w:val="00B01B9D"/>
    <w:rsid w:val="00B14FEF"/>
    <w:rsid w:val="00B21E41"/>
    <w:rsid w:val="00B5026A"/>
    <w:rsid w:val="00B51900"/>
    <w:rsid w:val="00B71E99"/>
    <w:rsid w:val="00B90081"/>
    <w:rsid w:val="00BD0834"/>
    <w:rsid w:val="00BE3AFA"/>
    <w:rsid w:val="00BE3F5F"/>
    <w:rsid w:val="00BF601E"/>
    <w:rsid w:val="00C178BE"/>
    <w:rsid w:val="00C21586"/>
    <w:rsid w:val="00C6025E"/>
    <w:rsid w:val="00C71420"/>
    <w:rsid w:val="00C726D4"/>
    <w:rsid w:val="00C8168B"/>
    <w:rsid w:val="00C84F00"/>
    <w:rsid w:val="00C85A5C"/>
    <w:rsid w:val="00C92ED4"/>
    <w:rsid w:val="00CA53D6"/>
    <w:rsid w:val="00CC4000"/>
    <w:rsid w:val="00CF1D9A"/>
    <w:rsid w:val="00D0071C"/>
    <w:rsid w:val="00D17E9C"/>
    <w:rsid w:val="00D21DF5"/>
    <w:rsid w:val="00D3554C"/>
    <w:rsid w:val="00D53DEB"/>
    <w:rsid w:val="00D56D1D"/>
    <w:rsid w:val="00D67464"/>
    <w:rsid w:val="00D734D6"/>
    <w:rsid w:val="00D7626C"/>
    <w:rsid w:val="00D83924"/>
    <w:rsid w:val="00D9163A"/>
    <w:rsid w:val="00DA6CBF"/>
    <w:rsid w:val="00DB00F2"/>
    <w:rsid w:val="00DD41DF"/>
    <w:rsid w:val="00E1521E"/>
    <w:rsid w:val="00E412D6"/>
    <w:rsid w:val="00E5222A"/>
    <w:rsid w:val="00E528FA"/>
    <w:rsid w:val="00E72DE1"/>
    <w:rsid w:val="00E73D9E"/>
    <w:rsid w:val="00E74B2F"/>
    <w:rsid w:val="00E84456"/>
    <w:rsid w:val="00E91B77"/>
    <w:rsid w:val="00EC249D"/>
    <w:rsid w:val="00EE42EA"/>
    <w:rsid w:val="00EE44C2"/>
    <w:rsid w:val="00EF5CF5"/>
    <w:rsid w:val="00F00F43"/>
    <w:rsid w:val="00F01507"/>
    <w:rsid w:val="00F02595"/>
    <w:rsid w:val="00F045AF"/>
    <w:rsid w:val="00F049B2"/>
    <w:rsid w:val="00F07928"/>
    <w:rsid w:val="00F10F54"/>
    <w:rsid w:val="00F20109"/>
    <w:rsid w:val="00F276E0"/>
    <w:rsid w:val="00F6277D"/>
    <w:rsid w:val="00F64858"/>
    <w:rsid w:val="00F65B4C"/>
    <w:rsid w:val="00F80921"/>
    <w:rsid w:val="00F8179F"/>
    <w:rsid w:val="00F97B32"/>
    <w:rsid w:val="00FA5679"/>
    <w:rsid w:val="00FB0636"/>
    <w:rsid w:val="00FB1F88"/>
    <w:rsid w:val="00FD050C"/>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 w:type="character" w:styleId="UnresolvedMention">
    <w:name w:val="Unresolved Mention"/>
    <w:basedOn w:val="DefaultParagraphFont"/>
    <w:uiPriority w:val="99"/>
    <w:semiHidden/>
    <w:unhideWhenUsed/>
    <w:rsid w:val="0002551A"/>
    <w:rPr>
      <w:color w:val="605E5C"/>
      <w:shd w:val="clear" w:color="auto" w:fill="E1DFDD"/>
    </w:rPr>
  </w:style>
  <w:style w:type="character" w:styleId="LineNumber">
    <w:name w:val="line number"/>
    <w:basedOn w:val="DefaultParagraphFont"/>
    <w:uiPriority w:val="99"/>
    <w:semiHidden/>
    <w:unhideWhenUsed/>
    <w:rsid w:val="00BE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160316300">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oi.org/10.1787/9789264130807-e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8179-EC85-4544-A6F4-67F9166E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cp:lastPrinted>2019-12-13T10:49:00Z</cp:lastPrinted>
  <dcterms:created xsi:type="dcterms:W3CDTF">2020-05-14T15:34:00Z</dcterms:created>
  <dcterms:modified xsi:type="dcterms:W3CDTF">2020-05-14T15:34:00Z</dcterms:modified>
</cp:coreProperties>
</file>