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Procedura zwrotu towaru — oświetlenie</w:t>
      </w:r>
    </w:p>
    <w:p>
      <w:r>
        <w:t>Zażółć gęślą jaźń. Klient zgłasza zwrot w ciągu 14 dni; magazyn przyjmuje lampę na półkę ZW-01 &lt;strefa zwrotów&gt;.</w:t>
      </w:r>
    </w:p>
    <w:p>
      <w:pPr>
        <w:pStyle w:val="Heading2"/>
      </w:pPr>
      <w:r>
        <w:t>Statusy</w:t>
      </w:r>
    </w:p>
    <w:tbl>
      <w:tr>
        <w:tc>
          <w:p>
            <w:r>
              <w:t>Kod</w:t>
            </w:r>
          </w:p>
        </w:tc>
        <w:tc>
          <w:p>
            <w:r>
              <w:t>Znaczenie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otwarte bez rezerwacji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zrealizowane</w:t>
            </w:r>
          </w:p>
        </w:tc>
      </w:tr>
    </w:tbl>
    <w:p>
      <w:r>
        <w:t>Pole dok_Status w tabeli dok__Dokument przyjmuje wartość 8.</w:t>
      </w:r>
    </w:p>
    <w:p>
      <w:r>
        <w:t>Koszt: 5 &lt; 10 oraz a*b*c i _podkreślenie_ w tekście.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