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color w:val="595959"/>
          <w:sz w:val="18"/>
          <w:szCs w:val="18"/>
          <w:rtl w:val="0"/>
        </w:rPr>
        <w:t xml:space="preserve">BEEKOFF® · Documento de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40"/>
          <w:szCs w:val="40"/>
          <w:rtl w:val="0"/>
        </w:rPr>
        <w:t xml:space="preserve">PRD &amp; SRS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2"/>
          <w:szCs w:val="22"/>
          <w:rtl w:val="0"/>
        </w:rPr>
        <w:t xml:space="preserve">Product Requirements Document &amp; Software Requirements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b45309"/>
          <w:sz w:val="24"/>
          <w:szCs w:val="24"/>
          <w:rtl w:val="0"/>
        </w:rPr>
        <w:t xml:space="preserve">Calculadora de Freelas — Sistema Operacional de Precificação para Profissionais Criativos</w:t>
      </w:r>
      <w:r w:rsidDel="00000000" w:rsidR="00000000" w:rsidRPr="00000000">
        <w:rPr>
          <w:rtl w:val="0"/>
        </w:rPr>
      </w:r>
    </w:p>
    <w:tbl>
      <w:tblPr>
        <w:tblStyle w:val="Table1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300"/>
        <w:tblGridChange w:id="0">
          <w:tblGrid>
            <w:gridCol w:w="3200"/>
            <w:gridCol w:w="6300"/>
          </w:tblGrid>
        </w:tblGridChange>
      </w:tblGrid>
      <w:tr>
        <w:trPr>
          <w:cantSplit w:val="0"/>
          <w:tblHeader w:val="1"/>
        </w:trPr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Informação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Calculadora de Freelas (nome provisório)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Robert Bragança — BEEKOFF®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Versão do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25 de julho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Documento relacionado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TAP v1.0 · Estudo de Precificação (base de pesquisa)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Bdr>
          <w:bottom w:color="b45309" w:space="4" w:sz="8" w:val="single"/>
        </w:pBd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0"/>
          <w:szCs w:val="30"/>
          <w:rtl w:val="0"/>
        </w:rPr>
        <w:t xml:space="preserve">1. Visão geral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A Calculadora de Freelas é uma ferramenta que ajuda profissionais criativos autônomos — designers, fotógrafos, motion designers, videomakers, web designers e criadores de conteúdo — a precificar seus serviços com segurança técnica e comercial.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O erro mais comum das ferramentas existentes é reduzir a precificação a preço = horas × valor/hora. Isso não explica por que dois profissionais entregando o mesmo tipo de serviço cobram valores completamente diferentes. O preço real é resultado de um ecossistema de variáveis: custo operacional, horas realmente faturáveis (não disponíveis), complexidade, urgência, direitos de uso e valor estratégico percebido pelo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4"/>
          <w:szCs w:val="24"/>
          <w:rtl w:val="0"/>
        </w:rPr>
        <w:t xml:space="preserve">1.1 Posicionamento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O produto não deve ser comunicado como "uma calculadora", e sim como um Sistema Operacional de Precificação para Profissionais Criativos. Em vez de responder apenas "quanto cobrar?", o produto ajuda o profissional a responder: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Estou cobrando abaixo do meu custo real?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Meu negócio é sustentável no volume de projetos atual?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Quanto preciso faturar por mês para atingir a renda desejada?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Quanto custa, de fato, conceder 10% de desconto?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Meu orçamento está alinhado com o mercado da minha categoria e região?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4"/>
          <w:szCs w:val="24"/>
          <w:rtl w:val="0"/>
        </w:rPr>
        <w:t xml:space="preserve">1.2 Personas</w:t>
      </w:r>
      <w:r w:rsidDel="00000000" w:rsidR="00000000" w:rsidRPr="00000000">
        <w:rPr>
          <w:rtl w:val="0"/>
        </w:rPr>
      </w:r>
    </w:p>
    <w:tbl>
      <w:tblPr>
        <w:tblStyle w:val="Table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400"/>
        <w:gridCol w:w="3600"/>
        <w:tblGridChange w:id="0">
          <w:tblGrid>
            <w:gridCol w:w="2200"/>
            <w:gridCol w:w="3400"/>
            <w:gridCol w:w="3600"/>
          </w:tblGrid>
        </w:tblGridChange>
      </w:tblGrid>
      <w:tr>
        <w:trPr>
          <w:cantSplit w:val="0"/>
          <w:tblHeader w:val="1"/>
        </w:trPr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Dor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Freelancer iniciante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1–2 anos de mercado, ainda precifica "no sentimento" ou copiando concorrentes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Não sabe seu próprio custo-hora; tem medo de cobrar caro demais ou de menos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Freelancer estabelecido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5+ anos, já tem carteira de clientes recorrentes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Sabe que está subprecificando em alguns tipos de projeto, mas não tem dados para reajustar com segurança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Freelancer multi-serviço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Atua em mais de uma frente (ex.: foto + motion, ou design + web)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Cada frente tem custos e lógica de precificação diferentes; falta uma ferramenta única que unifique isso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Pequena agência / dupla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2–5 pessoas, já pensa em produto/processo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Precisa padronizar a forma como a equipe precifica, hoje feito de forma manual e inconsistente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1"/>
        <w:pBdr>
          <w:bottom w:color="b45309" w:space="4" w:sz="8" w:val="single"/>
        </w:pBd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0"/>
          <w:szCs w:val="30"/>
          <w:rtl w:val="0"/>
        </w:rPr>
        <w:t xml:space="preserve">2. Metodologia de precificação (núcleo do produto)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Esta seção é a especificação funcional do motor de cálculo — o coração do produto. Toda a experiência do usuário é construída em torno dela.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4"/>
          <w:szCs w:val="24"/>
          <w:rtl w:val="0"/>
        </w:rPr>
        <w:t xml:space="preserve">2.1 Por que uma metodologia modular, e não uma fórmula única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Cada tipo de entrega segue naturalmente um método de precificação diferente no mercado real — um logo costuma ser vendido por escopo fechado, uma sessão de fotos por diária, uma gestão de tráfego por mensalidade, uma consultoria por valor percebido. Por isso, o produto não deve perguntar diretamente "quanto custa um logo?", e sim primeiro identificar qual método de precificação faz sentido para aquele tipo de projeto, e só então aplicar o motor de cálculo correspondente.</w:t>
      </w:r>
      <w:r w:rsidDel="00000000" w:rsidR="00000000" w:rsidRPr="00000000">
        <w:rPr>
          <w:rtl w:val="0"/>
        </w:rPr>
      </w:r>
    </w:p>
    <w:tbl>
      <w:tblPr>
        <w:tblStyle w:val="Table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600"/>
        <w:gridCol w:w="3600"/>
        <w:tblGridChange w:id="0">
          <w:tblGrid>
            <w:gridCol w:w="2000"/>
            <w:gridCol w:w="3600"/>
            <w:gridCol w:w="3600"/>
          </w:tblGrid>
        </w:tblGridChange>
      </w:tblGrid>
      <w:tr>
        <w:trPr>
          <w:cantSplit w:val="0"/>
          <w:tblHeader w:val="1"/>
        </w:trPr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Como funciona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Categorias mais comuns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Valor/hora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Horas estimadas × valor-hora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Ajustes pontuais, consultorias curtas, retrabalho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Diária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Valor da diária × número de dias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Fotografia, filmagem em locação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Escopo fechado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Preço fixo por entrega definida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Identidade visual, sites, landing pages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Baseado em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Preço ancorado no impacto gerado para 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Consultoria estratégica, branding de alto impacto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Pacotes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Planos fechados com entregas recorrentes definidas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Social media, produção de 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Retainer (mensalidade)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Valor fixo mensal por dedicação/recorrência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Gestão de tráfego, manutenção de sites, consultoria contínua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Style w:val="Heading2"/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4"/>
          <w:szCs w:val="24"/>
          <w:rtl w:val="0"/>
        </w:rPr>
        <w:t xml:space="preserve">2.2 Horas disponíveis ≠ horas faturáveis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Este é o conceito técnico mais importante do motor de cálculo, e o que mais diferencia o produto de calculadoras simples. A maioria dos profissionais calcula seu valor-hora dividindo despesas pelo total de horas trabalhadas no mês — mas nem toda hora trabalhada é vendável.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Exemplo de referência para o produto (parametrizável pelo usuário): de 176 horas disponíveis em um mês (22 dias × 8h), é comum haver algo como 20h de tarefas administrativas, 15h de reuniões, 10h de estudo, 15h de marketing/prospecção e 15h de elaboração de propostas — restando algo próximo de 100 a 110 horas realmente faturáveis. Isso significa que o valor-hora real de um profissional costuma ser quase o dobro do que ele imagina ao dividir pelo total de horas trabalhadas.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O produto deve calcular horas faturáveis como um percentual configurável sobre as horas disponíveis (padrão sugerido: 55%–65%), nunca assumir 100% de aproveitamento.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4"/>
          <w:szCs w:val="24"/>
          <w:rtl w:val="0"/>
        </w:rPr>
        <w:t xml:space="preserve">2.3 Fórmula em camadas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Camada 1 — Valor-hora real (o piso, nunca cobrar abaixo disso):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30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262626"/>
          <w:sz w:val="20"/>
          <w:szCs w:val="20"/>
          <w:rtl w:val="0"/>
        </w:rPr>
        <w:t xml:space="preserve">Valor-Hora Real = (Despesas Mensais + Pró-labore Desejado + Reserva Técnica + Margem de Lucro) ÷ Horas Faturáveis Mensais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Camada 2 — Preço base do projeto: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30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262626"/>
          <w:sz w:val="20"/>
          <w:szCs w:val="20"/>
          <w:rtl w:val="0"/>
        </w:rPr>
        <w:t xml:space="preserve">Preço Base = (Tempo Estimado × Valor-Hora Real) + Custos Diretos + Custos Extras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Camada 3 — Ajuste de contexto e mercado: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30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262626"/>
          <w:sz w:val="20"/>
          <w:szCs w:val="20"/>
          <w:rtl w:val="0"/>
        </w:rPr>
        <w:t xml:space="preserve">Preço Final = Preço Base × Complexidade × Urgência × Direitos de Uso × Valor Estratégico, ajustado pela carga tributária do regime do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As 8 etapas que compõem esse cálculo, na ordem em que devem aparecer na experiência do usuário: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1. Quanto custa existir? (custo operacional mensal)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2. Quanto vale sua hora? (valor-hora real sobre horas faturáveis)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3. Quanto tempo o projeto leva? (estimativa de horas)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4. Qual a complexidade? (multiplicador)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5. Qual o risco/urgência? (multiplicador)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6. Qual o valor estratégico para o cliente? (multiplicador, porte/impacto)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7. Quais os custos extras? (terceiros, licenças, equipamento pontual)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8. Margem desejada → Preço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4"/>
          <w:szCs w:val="24"/>
          <w:rtl w:val="0"/>
        </w:rPr>
        <w:t xml:space="preserve">2.4 Especificidades por área</w:t>
      </w:r>
      <w:r w:rsidDel="00000000" w:rsidR="00000000" w:rsidRPr="00000000">
        <w:rPr>
          <w:rtl w:val="0"/>
        </w:rPr>
      </w:r>
    </w:p>
    <w:tbl>
      <w:tblPr>
        <w:tblStyle w:val="Table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000"/>
        <w:gridCol w:w="3200"/>
        <w:tblGridChange w:id="0">
          <w:tblGrid>
            <w:gridCol w:w="2000"/>
            <w:gridCol w:w="4000"/>
            <w:gridCol w:w="3200"/>
          </w:tblGrid>
        </w:tblGridChange>
      </w:tblGrid>
      <w:tr>
        <w:trPr>
          <w:cantSplit w:val="0"/>
          <w:tblHeader w:val="1"/>
        </w:trPr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Custos diretos típicos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Particularidade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Fotografia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Equipamento, deslocamento, edição, backup/armazenamento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Direitos de uso da imagem como multiplicador forte; separar sessão de edição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Design gráfico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Bancos de imagem/fontes, provas de impressão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Direitos de uso e nº de variações pesam mais que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Webdesign /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Hospedagem, domínio, licenças, manutenção pós-entrega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Separar setup (projeto) de manutenção (retainer)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Motion / Vídeo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Renderização, stock de música/SFX, locução/atores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Tempo de renderização e nº de revisões pesam no custo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Criação de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Ferramentas de agendamento, banco de referências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Recorrência favorece modelo de assinatura/pacote, não projeto avulso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pStyle w:val="Heading2"/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4"/>
          <w:szCs w:val="24"/>
          <w:rtl w:val="0"/>
        </w:rPr>
        <w:t xml:space="preserve">2.5 Uso da base ADG/Adegraf como benchmark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As tabelas de referência da ADG Brasil / Adegraf não devem ser usadas como valor oficial ou trava de cálculo. Sua função no produto é exclusivamente comparativa: calibrar faixas de preço por categoria e exibir ao usuário um comparativo do tipo "seu preço calculado foi R$ 2.450; a faixa de referência de mercado para esse tipo de projeto está entre R$ 2.200 e R$ 3.100". Isso aumenta a confiança do profissional sem transformar a tabela em regra fixa.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pBdr>
          <w:bottom w:color="b45309" w:space="4" w:sz="8" w:val="single"/>
        </w:pBd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0"/>
          <w:szCs w:val="30"/>
          <w:rtl w:val="0"/>
        </w:rPr>
        <w:t xml:space="preserve">3. Requisitos funcionais (RF)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Prioridade segundo MoSCoW: Must (obrigatório no MVP), Should (importante, pode entrar logo após), Could (desejável), V2/V3 (fora do MVP).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45309"/>
          <w:sz w:val="22"/>
          <w:szCs w:val="22"/>
          <w:rtl w:val="0"/>
        </w:rPr>
        <w:t xml:space="preserve">3.1 Perfil e onboarding</w:t>
      </w:r>
      <w:r w:rsidDel="00000000" w:rsidR="00000000" w:rsidRPr="00000000">
        <w:rPr>
          <w:rtl w:val="0"/>
        </w:rPr>
      </w:r>
    </w:p>
    <w:tbl>
      <w:tblPr>
        <w:tblStyle w:val="Table5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900"/>
        <w:gridCol w:w="1600"/>
        <w:tblGridChange w:id="0">
          <w:tblGrid>
            <w:gridCol w:w="900"/>
            <w:gridCol w:w="69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Cadastro do profissional: área de atuação, tempo de experiência, regime tributário (PF, MEI, Simples/PJ), localização (cidade/estado, opcional)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Onboarding guiado que já direciona o usuário para o cálculo de custo-hora na primeira sessão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Perfil salvo — despesas fixas não precisam ser recalculadas a cada novo orçamento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pStyle w:val="Heading3"/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45309"/>
          <w:sz w:val="22"/>
          <w:szCs w:val="22"/>
          <w:rtl w:val="0"/>
        </w:rPr>
        <w:t xml:space="preserve">3.2 Custos mensais e valor-hora</w:t>
      </w:r>
      <w:r w:rsidDel="00000000" w:rsidR="00000000" w:rsidRPr="00000000">
        <w:rPr>
          <w:rtl w:val="0"/>
        </w:rPr>
      </w:r>
    </w:p>
    <w:tbl>
      <w:tblPr>
        <w:tblStyle w:val="Table6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900"/>
        <w:gridCol w:w="1600"/>
        <w:tblGridChange w:id="0">
          <w:tblGrid>
            <w:gridCol w:w="900"/>
            <w:gridCol w:w="69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Cadastro de despesas fixas mensais (estrutura, softwares, equipamento amortizado, impostos, contador)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Definição de pró-labore desejado e reserva técnica/margem de lucro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Cálculo de horas faturáveis a partir de horas disponíveis, com percentual de aproveitamento configurável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Cálculo automático do valor-hora real (Camada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Simulação de cenários de valor-hora: conservador, padrão e otimista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pStyle w:val="Heading3"/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45309"/>
          <w:sz w:val="22"/>
          <w:szCs w:val="22"/>
          <w:rtl w:val="0"/>
        </w:rPr>
        <w:t xml:space="preserve">3.3 Configuração e cálculo do projeto</w:t>
      </w:r>
      <w:r w:rsidDel="00000000" w:rsidR="00000000" w:rsidRPr="00000000">
        <w:rPr>
          <w:rtl w:val="0"/>
        </w:rPr>
      </w:r>
    </w:p>
    <w:tbl>
      <w:tblPr>
        <w:tblStyle w:val="Table7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900"/>
        <w:gridCol w:w="1600"/>
        <w:tblGridChange w:id="0">
          <w:tblGrid>
            <w:gridCol w:w="900"/>
            <w:gridCol w:w="69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Seleção de área de atuação e serviço específico, a partir de base de dados estruturada (Adegraf) por 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Seleção do método de precificação recomendado para o serviço escolhido (hora, diária, escopo fechado, valor, pacote, retainer)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Entrada de tempo estimado, nº de revisões e escopo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Aplicação de multiplicadores: complexidade, urgência, porte do cliente, direitos de uso/exclusividade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Entrada de custos diretos e custos extras (terceiros, licenças, deslocamento)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Cálculo do gross-up de impostos conforme regime tributário do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pStyle w:val="Heading3"/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45309"/>
          <w:sz w:val="22"/>
          <w:szCs w:val="22"/>
          <w:rtl w:val="0"/>
        </w:rPr>
        <w:t xml:space="preserve">3.4 Resultado e justificativa do preço</w:t>
      </w:r>
      <w:r w:rsidDel="00000000" w:rsidR="00000000" w:rsidRPr="00000000">
        <w:rPr>
          <w:rtl w:val="0"/>
        </w:rPr>
      </w:r>
    </w:p>
    <w:tbl>
      <w:tblPr>
        <w:tblStyle w:val="Table8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900"/>
        <w:gridCol w:w="1600"/>
        <w:tblGridChange w:id="0">
          <w:tblGrid>
            <w:gridCol w:w="900"/>
            <w:gridCol w:w="69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Exibição do resultado em três faixas: mínimo (piso), recomendado e 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Breakdown percentual da composição do preço (ex.: % tempo, % custo operacional, % risco, % urgência, % margem)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RF-17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Comparativo com faixa de referência de mercado (benchmark Adegraf/ADG) por 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RF-18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Geração de proposta comercial exportável em PDF, com justificativa do preço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RF-19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Valor por etapa / valor por parcela (para propostas com pagamento dividido)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pStyle w:val="Heading3"/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45309"/>
          <w:sz w:val="22"/>
          <w:szCs w:val="22"/>
          <w:rtl w:val="0"/>
        </w:rPr>
        <w:t xml:space="preserve">3.5 Conta, histórico e monetização</w:t>
      </w:r>
      <w:r w:rsidDel="00000000" w:rsidR="00000000" w:rsidRPr="00000000">
        <w:rPr>
          <w:rtl w:val="0"/>
        </w:rPr>
      </w:r>
    </w:p>
    <w:tbl>
      <w:tblPr>
        <w:tblStyle w:val="Table9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900"/>
        <w:gridCol w:w="1600"/>
        <w:tblGridChange w:id="0">
          <w:tblGrid>
            <w:gridCol w:w="900"/>
            <w:gridCol w:w="69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RF-20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Autenticação de usuário (cadastro/login)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RF-21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Histórico de orçamentos gerados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V2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RF-22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Comparativo entre preço calculado e preço efetivamente fechado com 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V2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RF-23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Simulador de negociação (impacto de descontos e cortes de escopo no lucro)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V2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RF-24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Biblioteca de escopos prontos por 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V2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RF-25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Dashboard financeiro e controle de rentabilidade por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V2/V3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RF-26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Gestão de assinatura (plano gratuito x plano pago), cobrança recorrente e portal de billing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V2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RF-27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Multiusuário / contas de agência com custos-hora distintos por membro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V3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RF-28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Integração com emissão de contratos e notas fiscais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V3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pStyle w:val="Heading1"/>
        <w:pBdr>
          <w:bottom w:color="b45309" w:space="4" w:sz="8" w:val="single"/>
        </w:pBd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0"/>
          <w:szCs w:val="30"/>
          <w:rtl w:val="0"/>
        </w:rPr>
        <w:t xml:space="preserve">4. Requisitos não funcionais (RNF)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45309"/>
          <w:sz w:val="22"/>
          <w:szCs w:val="22"/>
          <w:rtl w:val="0"/>
        </w:rPr>
        <w:t xml:space="preserve">4.1 Desempenho e escalabilidade</w:t>
      </w:r>
      <w:r w:rsidDel="00000000" w:rsidR="00000000" w:rsidRPr="00000000">
        <w:rPr>
          <w:rtl w:val="0"/>
        </w:rPr>
      </w:r>
    </w:p>
    <w:tbl>
      <w:tblPr>
        <w:tblStyle w:val="Table10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900"/>
        <w:gridCol w:w="1600"/>
        <w:tblGridChange w:id="0">
          <w:tblGrid>
            <w:gridCol w:w="900"/>
            <w:gridCol w:w="69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Cálculo do motor de precificação deve responder em menos de 300ms para o usuário final (client-side sempre que possível)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Arquitetura deve suportar crescimento de tráfego sem degradação, via cache de dados de referência (tabelas Adegraf) e rate limiting em rotas de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Geração de PDF não pode bloquear a interface (processamento assíncrono/client-side)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pStyle w:val="Heading3"/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45309"/>
          <w:sz w:val="22"/>
          <w:szCs w:val="22"/>
          <w:rtl w:val="0"/>
        </w:rPr>
        <w:t xml:space="preserve">4.2 Disponibilidade e confiabilidade</w:t>
      </w:r>
      <w:r w:rsidDel="00000000" w:rsidR="00000000" w:rsidRPr="00000000">
        <w:rPr>
          <w:rtl w:val="0"/>
        </w:rPr>
      </w:r>
    </w:p>
    <w:tbl>
      <w:tblPr>
        <w:tblStyle w:val="Table11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900"/>
        <w:gridCol w:w="1600"/>
        <w:tblGridChange w:id="0">
          <w:tblGrid>
            <w:gridCol w:w="900"/>
            <w:gridCol w:w="69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Meta de disponibilidade de 99,5% no MVP, evoluindo conforme crescimento de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Backup automático e versionado do 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pStyle w:val="Heading3"/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45309"/>
          <w:sz w:val="22"/>
          <w:szCs w:val="22"/>
          <w:rtl w:val="0"/>
        </w:rPr>
        <w:t xml:space="preserve">4.3 Usabilidade</w:t>
      </w:r>
      <w:r w:rsidDel="00000000" w:rsidR="00000000" w:rsidRPr="00000000">
        <w:rPr>
          <w:rtl w:val="0"/>
        </w:rPr>
      </w:r>
    </w:p>
    <w:tbl>
      <w:tblPr>
        <w:tblStyle w:val="Table12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900"/>
        <w:gridCol w:w="1600"/>
        <w:tblGridChange w:id="0">
          <w:tblGrid>
            <w:gridCol w:w="900"/>
            <w:gridCol w:w="69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RNF-06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Fluxo principal (custo-hora → configuração do projeto → resultado) completável em até 5 minutos na primeira utilização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RNF-07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Interface responsiva (mobile-first para consulta rápida, desktop para montagem de proposta)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RNF-08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Identidade visual autoral, evitando padrões visuais genéricos de IA (tipografia, paleta e iconografia próprias, não defaults de biblioteca)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pStyle w:val="Heading3"/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45309"/>
          <w:sz w:val="22"/>
          <w:szCs w:val="22"/>
          <w:rtl w:val="0"/>
        </w:rPr>
        <w:t xml:space="preserve">4.4 Conformidade e privacidade</w:t>
      </w:r>
      <w:r w:rsidDel="00000000" w:rsidR="00000000" w:rsidRPr="00000000">
        <w:rPr>
          <w:rtl w:val="0"/>
        </w:rPr>
      </w:r>
    </w:p>
    <w:tbl>
      <w:tblPr>
        <w:tblStyle w:val="Table13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900"/>
        <w:gridCol w:w="1600"/>
        <w:tblGridChange w:id="0">
          <w:tblGrid>
            <w:gridCol w:w="900"/>
            <w:gridCol w:w="69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RNF-09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Conformidade integral com a LGPD desde o MVP (ver seção 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RNF-10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Política de privacidade e termos de uso claros, com consentimento explícito no cadastro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pBdr>
          <w:bottom w:color="b45309" w:space="4" w:sz="8" w:val="single"/>
        </w:pBd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0"/>
          <w:szCs w:val="30"/>
          <w:rtl w:val="0"/>
        </w:rPr>
        <w:t xml:space="preserve">5. Modelo de dados (entidades principais)</w:t>
      </w:r>
      <w:r w:rsidDel="00000000" w:rsidR="00000000" w:rsidRPr="00000000">
        <w:rPr>
          <w:rtl w:val="0"/>
        </w:rPr>
      </w:r>
    </w:p>
    <w:tbl>
      <w:tblPr>
        <w:tblStyle w:val="Table1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800"/>
        <w:tblGridChange w:id="0">
          <w:tblGrid>
            <w:gridCol w:w="2400"/>
            <w:gridCol w:w="6800"/>
          </w:tblGrid>
        </w:tblGridChange>
      </w:tblGrid>
      <w:tr>
        <w:trPr>
          <w:cantSplit w:val="0"/>
          <w:tblHeader w:val="1"/>
        </w:trPr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 resumida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Conta de autenticação — e-mail, hash de senha (ou provedor OAuth), status do plano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Dados profissionais: área de atuação, experiência, regime tributário, localização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MonthlyExpenses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Despesas fixas mensais, pró-labore desejado, reserva técnica, % de horas faturáveis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ServiceCategory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Categorias de serviço por área (base estruturada a partir da Adegraf)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BenchmarkRate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Faixas de referência de mercado por categoria/porte/região/ano (dado versionado)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PricingMultiplier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Regras de multiplicador (complexidade, urgência, porte, direitos de uso) por categoria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Quote /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Um orçamento calculado — inputs do projeto, resultado nas 3 faixas, breakdown percentual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Proposal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Documento exportável gerado a partir de um Quote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Subscription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Plano ativo do usuário, status de cobrança (V2)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Nenhuma entidade deve armazenar dados financeiros sensíveis (ex.: dados bancários, documentos fiscais completos) além do estritamente necessário para o cálculo — o produto precifica, não processa pagamentos de terceiros nem guarda documentação fiscal do usuário além do necessário para a própria cobrança da assinatura.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pBdr>
          <w:bottom w:color="b45309" w:space="4" w:sz="8" w:val="single"/>
        </w:pBd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0"/>
          <w:szCs w:val="30"/>
          <w:rtl w:val="0"/>
        </w:rPr>
        <w:t xml:space="preserve">6. Segurança da informação e privacidade (LGPD)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Como o produto coleta dados financeiros e profissionais sensíveis do usuário (despesas, faturamento estimado, regime tributário), a segurança é requisito de primeira classe desde o MVP, não um item de V2.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45309"/>
          <w:sz w:val="22"/>
          <w:szCs w:val="22"/>
          <w:rtl w:val="0"/>
        </w:rPr>
        <w:t xml:space="preserve">6.1 Princípios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Privacy by design: coletar apenas os dados estritamente necessários para o cálculo (minimização de dados).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Menor privilégio: cada serviço/rota de API acessa apenas os dados que precisa para sua função específica.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Transparência: o usuário sabe exatamente quais dados são coletados e para qual finalidade, com consentimento explícito (LGPD, art. 7º e 8º).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45309"/>
          <w:sz w:val="22"/>
          <w:szCs w:val="22"/>
          <w:rtl w:val="0"/>
        </w:rPr>
        <w:t xml:space="preserve">6.2 Camadas técnicas de proteção</w:t>
      </w:r>
      <w:r w:rsidDel="00000000" w:rsidR="00000000" w:rsidRPr="00000000">
        <w:rPr>
          <w:rtl w:val="0"/>
        </w:rPr>
      </w:r>
    </w:p>
    <w:tbl>
      <w:tblPr>
        <w:tblStyle w:val="Table1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000"/>
        <w:tblGridChange w:id="0">
          <w:tblGrid>
            <w:gridCol w:w="2200"/>
            <w:gridCol w:w="7000"/>
          </w:tblGrid>
        </w:tblGridChange>
      </w:tblGrid>
      <w:tr>
        <w:trPr>
          <w:cantSplit w:val="0"/>
          <w:tblHeader w:val="1"/>
        </w:trPr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Medida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Transporte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HTTPS/TLS obrigatório em toda comunicação cliente-servidor; HSTS habilitado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Dados em repouso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Criptografia do banco de dados em repouso; campos sensíveis (ex.: despesas detalhadas) com criptografia adicional a nível de aplicação quando aplicável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Hash de senha com algoritmo moderno (ex.: bcrypt/argon2) ou delegação total a provedor OAuth confiável; suporte a autenticação de dois fatores (2FA) opcional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Autorização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Controle de acesso por sessão/token, isolamento de dados por usuário (nenhum usuário acessa dado de outro) validado no backend, nunca apenas no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API/Backend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Rate limiting por IP/usuário, validação e sanitização de todos os inputs, proteção contra injeção (SQL/NoSQL) via ORM parametrizado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Segredos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Chaves de API, credenciais de banco e segredos de assinatura nunca em código-fonte; gestão via variáveis de ambiente/serviço de secrets do provedor de nuvem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Logs e 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Logs de acesso e alteração em dados sensíveis, sem armazenar dados sensíveis em texto claro nos próprios 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Terceiros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Processadores de pagamento (Stripe/Mercado Pago) tratam dados de cartão diretamente — o produto nunca armazena dados de cartão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Resposta a incidentes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Plano documentado de resposta a incidente de segurança, incluindo notificação ao usuário e à ANPD conforme exigido pela LGPD em caso de vazamento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pStyle w:val="Heading3"/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45309"/>
          <w:sz w:val="22"/>
          <w:szCs w:val="22"/>
          <w:rtl w:val="0"/>
        </w:rPr>
        <w:t xml:space="preserve">6.3 Direitos do titular (LGPD)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Exportação dos próprios dados a pedido do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Exclusão de conta com apagamento efetivo dos dados pessoais (exceto o que a lei exigir reter, ex.: dados fiscais de cobrança).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Revogação de consentimento a qualquer momento, com efeito sobre coleta futura.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pBdr>
          <w:bottom w:color="b45309" w:space="4" w:sz="8" w:val="single"/>
        </w:pBd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0"/>
          <w:szCs w:val="30"/>
          <w:rtl w:val="0"/>
        </w:rPr>
        <w:t xml:space="preserve">7. Modelo de monetização — especificação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Detalhamento funcional da estratégia macro definida no TAP.</w:t>
      </w:r>
      <w:r w:rsidDel="00000000" w:rsidR="00000000" w:rsidRPr="00000000">
        <w:rPr>
          <w:rtl w:val="0"/>
        </w:rPr>
      </w:r>
    </w:p>
    <w:tbl>
      <w:tblPr>
        <w:tblStyle w:val="Table16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2800"/>
        <w:gridCol w:w="3000"/>
        <w:gridCol w:w="3400"/>
        <w:tblGridChange w:id="0">
          <w:tblGrid>
            <w:gridCol w:w="1000"/>
            <w:gridCol w:w="2800"/>
            <w:gridCol w:w="3000"/>
            <w:gridCol w:w="3400"/>
          </w:tblGrid>
        </w:tblGridChange>
      </w:tblGrid>
      <w:tr>
        <w:trPr>
          <w:cantSplit w:val="0"/>
          <w:tblHeader w:val="1"/>
        </w:trPr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 que é gratuito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 que é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Filosofia de preço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Todo o motor de cálculo (Camadas 1, 2 e 3), resultado em 3 faixas, exportação de proposta em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Aquisição de base e validação — sem fricção de pagamento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Núcleo de cálculo permanece gratuito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Histórico, dashboard financeiro, simulador de negociação, biblioteca de escopos, benchmark avançado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Assinatura de baixo valor, dimensionada para cobrir custo de infraestrutura + operação + margem saudável — não para maximizar receita sobre o público-alvo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Núcleo de cálculo permanece gratuito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Camada V2 + multiusuário, integrações (contratos/notas fiscais)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Reajustes de preço vinculados a crescimento de base e tráfego real, para sustentar capacidade operacional sem congestionamento, com comunicação transparente ao usuário sobre o motivo do reajuste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Recomendação de implementação técnica: o cálculo de custo de infraestrutura por usuário ativo deve ser monitorado desde o V1 (mesmo sem cobrança), para que o preço da assinatura em V2 seja definido com dado real de custo, não estimativa.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pBdr>
          <w:bottom w:color="b45309" w:space="4" w:sz="8" w:val="single"/>
        </w:pBd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0"/>
          <w:szCs w:val="30"/>
          <w:rtl w:val="0"/>
        </w:rPr>
        <w:t xml:space="preserve">8. Arquitetura técnica e stack</w:t>
      </w:r>
      <w:r w:rsidDel="00000000" w:rsidR="00000000" w:rsidRPr="00000000">
        <w:rPr>
          <w:rtl w:val="0"/>
        </w:rPr>
      </w:r>
    </w:p>
    <w:tbl>
      <w:tblPr>
        <w:tblStyle w:val="Table17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3600"/>
        <w:gridCol w:w="3900"/>
        <w:tblGridChange w:id="0">
          <w:tblGrid>
            <w:gridCol w:w="1700"/>
            <w:gridCol w:w="3600"/>
            <w:gridCol w:w="3900"/>
          </w:tblGrid>
        </w:tblGridChange>
      </w:tblGrid>
      <w:tr>
        <w:trPr>
          <w:cantSplit w:val="0"/>
          <w:tblHeader w:val="1"/>
        </w:trPr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Racional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Next.js (App Router) + React + 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SSR ajuda em SEO se a calculadora também servir como conteúdo/aquisição orgânica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Estilo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Tailwind CSS + shadcn/ui como base estrutural, com tokens de design (tipografia, cor, espaçamento) totalmente autorais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Evita a "cara de IA" de componentes não customizados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Formulários e 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React Hook Form + Zod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Validação de schema compartilhada entre frontend e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Data fetching / 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TanStack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Cache de dados de referência (Adegraf) e sincronização de estado servidor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Next.js Route Handlers no início, evoluindo para serviço dedicado se necessário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Evita complexidade de infraestrutura desnecessária no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PostgreSQL (Neon ou Supabase) + Prisma 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Tipagem forte de schema, migrations versionadas, queries parametrizadas por padrão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Auth.js ou Better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Suporte a OAuth + e-mail/senha com boas práticas de segurança prontas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Armazenamento de arquivos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Supabase Storage ou Cloudflare 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Armazenamento de PDFs gerados e eventuais uploads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Pagamentos (V2)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Stripe (internacional) e/ou Mercado Pago (Brasil)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Nunca armazenar dados de cartão diretamente no produto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PostHog ou Plausible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Métricas de uso respeitando privacidade; Plausible se o foco for minimizar coleta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Hospedagem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Vercel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Deploy simples e nativo para Next.js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pStyle w:val="Heading1"/>
        <w:pBdr>
          <w:bottom w:color="b45309" w:space="4" w:sz="8" w:val="single"/>
        </w:pBd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0"/>
          <w:szCs w:val="30"/>
          <w:rtl w:val="0"/>
        </w:rPr>
        <w:t xml:space="preserve">9. Roadmap consolidado</w:t>
      </w:r>
      <w:r w:rsidDel="00000000" w:rsidR="00000000" w:rsidRPr="00000000">
        <w:rPr>
          <w:rtl w:val="0"/>
        </w:rPr>
      </w:r>
    </w:p>
    <w:tbl>
      <w:tblPr>
        <w:tblStyle w:val="Table18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600"/>
        <w:gridCol w:w="4000"/>
        <w:tblGridChange w:id="0">
          <w:tblGrid>
            <w:gridCol w:w="1600"/>
            <w:gridCol w:w="3600"/>
            <w:gridCol w:w="4000"/>
          </w:tblGrid>
        </w:tblGridChange>
      </w:tblGrid>
      <w:tr>
        <w:trPr>
          <w:cantSplit w:val="0"/>
          <w:tblHeader w:val="1"/>
        </w:trPr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Requisitos-chave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MVP /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Motor de cálculo confiável e gratuito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RF-01 a RF-20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Gestão e monetização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RF-21 a RF-26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Escala e integrações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RF-27, RF-28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pStyle w:val="Heading1"/>
        <w:pBdr>
          <w:bottom w:color="b45309" w:space="4" w:sz="8" w:val="single"/>
        </w:pBd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0"/>
          <w:szCs w:val="30"/>
          <w:rtl w:val="0"/>
        </w:rPr>
        <w:t xml:space="preserve">10. Métricas de sucesso (KPIs)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Nº de orçamentos calculados por usuário ativo (indicador de utilidade recorrente).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Taxa de conclusão do fluxo principal (onboarding → resultado) sem abandono.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Taxa de conversão gratuito → pago na fase V2.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NPS ou pesquisa qualitativa sobre confiança no preço sugerido.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Custo de infraestrutura por usuário ativo (para calibrar preço da assinatura com dado real).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pBdr>
          <w:bottom w:color="b45309" w:space="4" w:sz="8" w:val="single"/>
        </w:pBd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0"/>
          <w:szCs w:val="30"/>
          <w:rtl w:val="0"/>
        </w:rPr>
        <w:t xml:space="preserve">11. Critérios de aceite do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Um usuário consegue, sem ajuda externa, cadastrar seu perfil, calcular seu valor-hora real e gerar um orçamento completo em até 5 minutos.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O resultado sempre exibe as 3 faixas (mínimo, recomendado, premium) com breakdown percentual da composição do preço.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O sistema nunca permite visualizar ou exportar um preço abaixo do piso (Camada 1) sem alerta explícito ao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Nenhum dado de um usuário é acessível por outro usuário, validado por testes de autorização no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Toda comunicação cliente-servidor ocorre via HTTPS, e nenhum segredo/chave está exposto no código-fonte do frontend.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pBdr>
          <w:bottom w:color="b45309" w:space="4" w:sz="8" w:val="single"/>
        </w:pBd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0"/>
          <w:szCs w:val="30"/>
          <w:rtl w:val="0"/>
        </w:rPr>
        <w:t xml:space="preserve">12. Glossário</w:t>
      </w:r>
      <w:r w:rsidDel="00000000" w:rsidR="00000000" w:rsidRPr="00000000">
        <w:rPr>
          <w:rtl w:val="0"/>
        </w:rPr>
      </w:r>
    </w:p>
    <w:tbl>
      <w:tblPr>
        <w:tblStyle w:val="Table19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000"/>
        <w:tblGridChange w:id="0">
          <w:tblGrid>
            <w:gridCol w:w="2200"/>
            <w:gridCol w:w="7000"/>
          </w:tblGrid>
        </w:tblGridChange>
      </w:tblGrid>
      <w:tr>
        <w:trPr>
          <w:cantSplit w:val="0"/>
          <w:tblHeader w:val="1"/>
        </w:trPr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Termo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Horas faturáveis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Parcela das horas disponíveis efetivamente vendável ao cliente, descontado tempo administrativo, comercial e de estudo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Piso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Valor mínimo calculado (Camada 1) abaixo do qual o profissional opera no prejuízo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Benchmark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Faixa de referência de mercado (Adegraf/ADG) usada apenas como comparação, não como regra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Retainer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Modelo de cobrança recorrente mensal por dedicação/serviço contínuo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Gross-up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19"/>
                <w:szCs w:val="19"/>
                <w:rtl w:val="0"/>
              </w:rPr>
              <w:t xml:space="preserve">Ajuste do preço para que o valor do imposto seja absorvido pelo preço final, não descontado do lucro do profissional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20" w:hanging="260"/>
      </w:pPr>
      <w:rPr/>
    </w:lvl>
    <w:lvl w:ilvl="1">
      <w:start w:val="1"/>
      <w:numFmt w:val="bullet"/>
      <w:lvlText w:val="◦"/>
      <w:lvlJc w:val="left"/>
      <w:pPr>
        <w:ind w:left="84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