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595959"/>
          <w:sz w:val="18"/>
          <w:szCs w:val="18"/>
          <w:rtl w:val="0"/>
        </w:rPr>
        <w:t xml:space="preserve">BEEKOFF® · Documento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40"/>
          <w:szCs w:val="40"/>
          <w:rtl w:val="0"/>
        </w:rPr>
        <w:t xml:space="preserve">Termo de Abertura de Projeto (TAP)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b45309"/>
          <w:sz w:val="24"/>
          <w:szCs w:val="24"/>
          <w:rtl w:val="0"/>
        </w:rPr>
        <w:t xml:space="preserve">Calculadora de Freelas — Sistema Operacional de Precificação para Profissionais Criativos</w:t>
      </w: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300"/>
        <w:tblGridChange w:id="0">
          <w:tblGrid>
            <w:gridCol w:w="320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Calculadora de Freelas (nome provisório)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Responsável / 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Robert Bragança — BEEKOFF®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Versão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Data de abertura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25 de julho de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Documentos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Estudo de Precificação (base de pesquisa) · PRD/SRS v1.0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1.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O mercado freelancer criativo (design, fotografia, motion, vídeo, criação de conteúdo e web) carece de uma ferramenta de precificação que reflita a complexidade real do trabalho. As calculadoras existentes partem quase sempre da lógica simplificada preço = horas × valor/hora, o que não explica por que dois profissionais entregando o mesmo tipo de serviço cobram valores completamente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Essa simplificação gera dois problemas centrais no mercado: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Subprecificação: profissionais não contabilizam custos invisíveis (estrutura, tempo administrativo, impostos) e trabalham no prejuízo sem perceber.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Insegurança na negociação: sem um número defensável, o profissional cede a pressões de preço do cliente por falta de fundamento 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Não existe hoje, em português e adaptada à realidade tributária e associativa brasileira (MEI, Simples Nacional, tabelas ADG/Adegraf), uma ferramenta que combine cálculo técnico rigoroso, benchmark de mercado e apoio direto à negociação comercial.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2.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4"/>
          <w:szCs w:val="24"/>
          <w:rtl w:val="0"/>
        </w:rPr>
        <w:t xml:space="preserve">2.1 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Entregar uma ferramenta que dê segurança técnica e comercial para profissionais criativos freelancers precificarem, defenderem e evoluírem seus preços de forma sustentável.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4"/>
          <w:szCs w:val="24"/>
          <w:rtl w:val="0"/>
        </w:rPr>
        <w:t xml:space="preserve">2.2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Calcular o custo-hora real do profissional considerando horas faturáveis reais, não horas disponíveis.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Aplicar uma metodologia modular em camadas (custo operacional, tempo, complexidade, risco, urgência, direitos de uso, valor estratégico) que se adapta a qualquer área criativa.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Comparar o preço calculado com faixas de referência de mercado (tabelas ADG/Adegraf) como benchmark, nunca como regra fixa.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Gerar uma proposta comercial exportável com justificativa transparente da composição do preço.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Evoluir, em versões futuras, para um sistema operacional de precificação e gestão financeira do freelancer criativo.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3.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4"/>
          <w:szCs w:val="24"/>
          <w:rtl w:val="0"/>
        </w:rPr>
        <w:t xml:space="preserve">3.1 Incluso no MVP (V1 — gratuito)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Perfil do profissional (área de atuação, experiência, regime tributário, localização).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Cadastro de custos mensais e cálculo automático do custo-hora real (horas faturáveis, não disponíveis).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Motor de cálculo em 3 camadas com multiplicadores de complexidade, urgência, porte do cliente e direitos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Base de dados de referência estruturada a partir das tabelas ADG/Adegraf, usada como benchmark comparativo.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Resultado em três faixas: mínimo (piso), recomendado e premium, com breakdown percentual da composição do preço.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Exportação de proposta/orçamento em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5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4"/>
          <w:szCs w:val="24"/>
          <w:rtl w:val="0"/>
        </w:rPr>
        <w:t xml:space="preserve">3.2 Fora do escopo do MVP (planejado para V2/V3)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Simulador de negociação (impacto de descontos e cortes de escopo).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Biblioteca de escopos prontos por categoria.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Dashboard financeiro e controle de rentabilidade por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Histórico de orçamentos e comparativo entre preço calculado e preço efetivamente fechado.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Multiusuário / contas de agência com times e custos-hora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emissão de contratos e notas fiscais.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Cobrança via assinatura (billing).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4. Partes interessadas (stakeholders)</w:t>
      </w:r>
      <w:r w:rsidDel="00000000" w:rsidR="00000000" w:rsidRPr="00000000">
        <w:rPr>
          <w:rtl w:val="0"/>
        </w:rPr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300"/>
        <w:tblGridChange w:id="0">
          <w:tblGrid>
            <w:gridCol w:w="3200"/>
            <w:gridCol w:w="63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Patrocinador /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Robert Bragança (BEEKOFF®) — direção de produto, marca e priorização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Usuários finais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Designers, fotógrafos, motion designers, videomakers, web designers e criadores de conteúdo freelancer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Parceiro técnico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Desenvolvedor colaborador do projeto finkoffee, para eventual integração futura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Fonte de dados de 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ADG Brasil / Adegraf — tabelas usadas como benchmark, respeitando os termos de uso das tabelas originais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5. Premissas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O público inicial é majoritariamente brasileiro, atuando como Pessoa Física, MEI ou Simples 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O acesso ao produto começa 100% gratuito, sem necessidade de cartão de crédito.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As tabelas de referência (Adegraf/ADG) serão atualizadas manualmente por versão/ano e tratadas como dado versionado, não estático no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O usuário fornece dados financeiros pessoais/profissionais sensíveis (despesas, faturamento estimado), o que exige tratamento de dados como prioridade desde o primeiro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6. 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Orçamento operacional inicial enxuto (produto bootstrapped) — a arquitetura deve minimizar custo de infraestrutura desde o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Conformidade obrigatória com a LGPD (Lei Geral de Proteção de Dados) desde o dia 1, por lidar com dados financeiros e pessoais.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O modelo de monetização não pode onerar o público-alvo (freelancers e profissionais autônomos, muitas vezes em início de carreira).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7. Modelo de monetização (visão macro)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A estratégia de monetização é deliberadamente progressiva e não extrativista — o objetivo é sustentar a operação, não maximizar receita sobre um público que o próprio produto existe para proteger financeiramente.</w:t>
      </w:r>
      <w:r w:rsidDel="00000000" w:rsidR="00000000" w:rsidRPr="00000000">
        <w:rPr>
          <w:rtl w:val="0"/>
        </w:rPr>
      </w:r>
    </w:p>
    <w:tbl>
      <w:tblPr>
        <w:tblStyle w:val="Table3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400"/>
        <w:gridCol w:w="4500"/>
        <w:tblGridChange w:id="0">
          <w:tblGrid>
            <w:gridCol w:w="1600"/>
            <w:gridCol w:w="3400"/>
            <w:gridCol w:w="45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V1 —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100% gratuito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Validação de produto, aquisição de base, construção de confiança e dados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Freemium — funcionalidades avançadas (benchmark regional, biblioteca de escopos, simulador de negociação, propostas automáticas, dashboard financeiro) atrás de assinatura de baixo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Preço calibrado para cobrir custo de infraestrutura e operação + margem operacional saudável, não para maximizar ticket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Reajustes periódicos de preço, orientados por crescimento de base e tráfego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Garantir capacidade operacional (evitar degradação/congestionamento) sem transferir o custo de escala de forma desproporcional ao usuário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O núcleo de cálculo (motor de precificação, camadas 1 e 2, resultado em 3 faixas) permanece gratuito indefinidamente — é o que sustenta o posicionamento do produto e a confiança da base. A cobrança recai sobre funcionalidades de gestão e escala (histórico, dashboard, propostas automatizadas, benchmark avançado).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8. Riscos preliminares</w:t>
      </w:r>
      <w:r w:rsidDel="00000000" w:rsidR="00000000" w:rsidRPr="00000000">
        <w:rPr>
          <w:rtl w:val="0"/>
        </w:rPr>
      </w:r>
    </w:p>
    <w:tbl>
      <w:tblPr>
        <w:tblStyle w:val="Table4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1500"/>
        <w:gridCol w:w="5100"/>
        <w:tblGridChange w:id="0">
          <w:tblGrid>
            <w:gridCol w:w="2900"/>
            <w:gridCol w:w="1500"/>
            <w:gridCol w:w="51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Dados de referência (Adegraf) desatualizados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Versionamento por ano/região e revisão periódica programada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Baixa adesão por desconfiança no 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Transparência total na composição do preço (breakdown percentual visível)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Custo de infraestrutura crescer mais rápido que a receita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Arquitetura enxuta desde o MVP, monitoramento de uso e rate limiting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Vazamento de dados financeiros/pessoais sensíveis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Camadas de segurança e privacidade detalhadas no PRD/SRS (criptografia, LGPD, menor privilégio)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Uso indevido das tabelas Adegraf como 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Tratar como benchmark comparativo, com atribuição de fonte, não como reprodução comercial das tabelas originais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9. Marcos macro (cronograma indicativo)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Cronograma sem datas fixas — a sequência de marcos é a referência de priorização; os prazos ficam a critério do responsável pelo projeto.</w:t>
      </w:r>
      <w:r w:rsidDel="00000000" w:rsidR="00000000" w:rsidRPr="00000000">
        <w:rPr>
          <w:rtl w:val="0"/>
        </w:rPr>
      </w:r>
    </w:p>
    <w:tbl>
      <w:tblPr>
        <w:tblStyle w:val="Table5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900"/>
        <w:tblGridChange w:id="0">
          <w:tblGrid>
            <w:gridCol w:w="1600"/>
            <w:gridCol w:w="7900"/>
          </w:tblGrid>
        </w:tblGridChange>
      </w:tblGrid>
      <w:tr>
        <w:trPr>
          <w:cantSplit w:val="0"/>
          <w:tblHeader w:val="1"/>
        </w:trPr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a4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Base de dados estruturada (tabelas Adegraf normalizadas por categoria/porte/região)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Motor de cálculo — Camadas 1 e 2 (custo-hora real e preço base)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MVP funcional completo — Camada 3 (multiplicadores) + resultado em 3 faixas + exportação de proposta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Lançamento público gratuito (V1)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efe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Funcionalidades V2 + implementação do modelo de 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M6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62626"/>
                <w:sz w:val="20"/>
                <w:szCs w:val="20"/>
                <w:rtl w:val="0"/>
              </w:rPr>
              <w:t xml:space="preserve">V3 — sistema operacional de precificação e gestão financeira completo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10. Critérios de sucesso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MVP publicado, funcional e sem incidentes críticos de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Base de usuários ativos crescente nos primeiros 90 dias após lançamento.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Taxa de conversão gratuito → pago sustentável na fase V2, sem reduzir a base gratuita do núcleo de cálculo.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4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2626"/>
          <w:sz w:val="22"/>
          <w:szCs w:val="22"/>
          <w:u w:val="none"/>
          <w:shd w:fill="auto" w:val="clear"/>
          <w:vertAlign w:val="baseline"/>
          <w:rtl w:val="0"/>
        </w:rPr>
        <w:t xml:space="preserve">Zero incidentes de exposição ou vazamento de dados de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pBdr>
          <w:bottom w:color="b45309" w:space="4" w:sz="8" w:val="single"/>
        </w:pBdr>
        <w:spacing w:after="20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0"/>
          <w:szCs w:val="30"/>
          <w:rtl w:val="0"/>
        </w:rPr>
        <w:t xml:space="preserve">11. Aprovação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color w:val="262626"/>
          <w:sz w:val="22"/>
          <w:szCs w:val="22"/>
          <w:rtl w:val="0"/>
        </w:rPr>
        <w:t xml:space="preserve">Este documento formaliza a abertura do projeto Calculadora de Freelas e autoriza o início das próximas fases de planejamento e execução, detalhadas no documento PRD/SRS complementar.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4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Responsável: 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20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Data: ____ / ____ / ________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20" w:hanging="260"/>
      </w:pPr>
      <w:rPr/>
    </w:lvl>
    <w:lvl w:ilvl="1">
      <w:start w:val="1"/>
      <w:numFmt w:val="bullet"/>
      <w:lvlText w:val="◦"/>
      <w:lvlJc w:val="left"/>
      <w:pPr>
        <w:ind w:left="84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