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DD16" w14:textId="7BFF829F" w:rsidR="007E5BD0" w:rsidRPr="00AD4C78" w:rsidRDefault="007E5BD0" w:rsidP="007E5BD0">
      <w:pPr>
        <w:rPr>
          <w:rFonts w:cs="Times New Roman"/>
        </w:rPr>
      </w:pPr>
      <w:bookmarkStart w:id="0" w:name="_Hlk180242988"/>
      <w:bookmarkEnd w:id="0"/>
      <w:r w:rsidRPr="00AD4C78">
        <w:rPr>
          <w:rFonts w:cs="Times New Roman"/>
        </w:rPr>
        <w:t>Robert Esposito</w:t>
      </w:r>
      <w:r w:rsidRPr="00AD4C78">
        <w:rPr>
          <w:rFonts w:cs="Times New Roman"/>
        </w:rPr>
        <w:br/>
        <w:t>Phonology I</w:t>
      </w:r>
    </w:p>
    <w:p w14:paraId="7A0F7892" w14:textId="77777777" w:rsidR="007E5BD0" w:rsidRDefault="007E5BD0" w:rsidP="007E5BD0">
      <w:pPr>
        <w:pStyle w:val="Title"/>
      </w:pPr>
      <w:r>
        <w:t>Quechua Phonology</w:t>
      </w:r>
    </w:p>
    <w:p w14:paraId="3E916250" w14:textId="77777777" w:rsidR="007E5BD0" w:rsidRDefault="007E5BD0" w:rsidP="007E5BD0">
      <w:pPr>
        <w:pStyle w:val="Heading1"/>
      </w:pPr>
      <w:r>
        <w:t>Introduction</w:t>
      </w:r>
    </w:p>
    <w:p w14:paraId="558A85E3" w14:textId="298BE4F9" w:rsidR="00600AB9" w:rsidRPr="00AD4C78" w:rsidRDefault="007E5BD0" w:rsidP="00600AB9">
      <w:pPr>
        <w:rPr>
          <w:rFonts w:cs="Times New Roman"/>
        </w:rPr>
      </w:pPr>
      <w:r w:rsidRPr="00AD4C78">
        <w:rPr>
          <w:rFonts w:cs="Times New Roman"/>
        </w:rPr>
        <w:tab/>
      </w:r>
      <w:r w:rsidR="00600AB9" w:rsidRPr="00AD4C78">
        <w:rPr>
          <w:rFonts w:cs="Times New Roman"/>
        </w:rPr>
        <w:t xml:space="preserve">Quechua describes a dialect continuum that was once spoken across the Incan Empire in South America, and in the </w:t>
      </w:r>
      <w:proofErr w:type="gramStart"/>
      <w:r w:rsidR="00600AB9" w:rsidRPr="00AD4C78">
        <w:rPr>
          <w:rFonts w:cs="Times New Roman"/>
        </w:rPr>
        <w:t>present day</w:t>
      </w:r>
      <w:proofErr w:type="gramEnd"/>
      <w:r w:rsidR="00600AB9" w:rsidRPr="00AD4C78">
        <w:rPr>
          <w:rFonts w:cs="Times New Roman"/>
        </w:rPr>
        <w:t xml:space="preserve"> ranges geographically from southern Ecuador to northern Argentina. Due to colonialization by the Spanish, Quechua has had extensive contact with Spanish, resulting in extralinguistic and linguistic changes. Extralinguistically, </w:t>
      </w:r>
      <w:r w:rsidR="00BB0EC0">
        <w:rPr>
          <w:rFonts w:cs="Times New Roman"/>
        </w:rPr>
        <w:t>Quechua monolingualism has fallen dramatically, whereas Quechua-Spanish bilingualism has risen</w:t>
      </w:r>
      <w:r w:rsidR="00600AB9" w:rsidRPr="00AD4C78">
        <w:rPr>
          <w:rFonts w:cs="Times New Roman"/>
        </w:rPr>
        <w:t>. Linguistically, Spanish loanwords</w:t>
      </w:r>
      <w:r w:rsidR="00BB0EC0">
        <w:rPr>
          <w:rFonts w:cs="Times New Roman"/>
        </w:rPr>
        <w:t xml:space="preserve"> have been adopted across word categories</w:t>
      </w:r>
      <w:r w:rsidR="00600AB9" w:rsidRPr="00AD4C78">
        <w:rPr>
          <w:rFonts w:cs="Times New Roman"/>
        </w:rPr>
        <w:t xml:space="preserve">, such as </w:t>
      </w:r>
      <w:r w:rsidR="00600AB9" w:rsidRPr="00AD4C78">
        <w:rPr>
          <w:rFonts w:cs="Times New Roman"/>
          <w:i/>
          <w:iCs/>
        </w:rPr>
        <w:t xml:space="preserve">fiesta </w:t>
      </w:r>
      <w:r w:rsidR="00600AB9" w:rsidRPr="00AD4C78">
        <w:rPr>
          <w:rFonts w:cs="Times New Roman"/>
        </w:rPr>
        <w:t xml:space="preserve">(“party, feast”, </w:t>
      </w:r>
      <w:proofErr w:type="spellStart"/>
      <w:r w:rsidR="00600AB9" w:rsidRPr="00AD4C78">
        <w:rPr>
          <w:rFonts w:cs="Times New Roman"/>
        </w:rPr>
        <w:t>Sp</w:t>
      </w:r>
      <w:proofErr w:type="spellEnd"/>
      <w:r w:rsidR="00600AB9" w:rsidRPr="00AD4C78">
        <w:rPr>
          <w:rFonts w:cs="Times New Roman"/>
        </w:rPr>
        <w:t xml:space="preserve">: fiesta) or </w:t>
      </w:r>
      <w:proofErr w:type="spellStart"/>
      <w:r w:rsidR="00600AB9" w:rsidRPr="00AD4C78">
        <w:rPr>
          <w:rFonts w:cs="Times New Roman"/>
          <w:i/>
          <w:iCs/>
        </w:rPr>
        <w:t>faltay</w:t>
      </w:r>
      <w:proofErr w:type="spellEnd"/>
      <w:r w:rsidR="00600AB9" w:rsidRPr="00AD4C78">
        <w:rPr>
          <w:rFonts w:cs="Times New Roman"/>
        </w:rPr>
        <w:t xml:space="preserve"> (“to lack”, </w:t>
      </w:r>
      <w:proofErr w:type="spellStart"/>
      <w:r w:rsidR="00600AB9" w:rsidRPr="00AD4C78">
        <w:rPr>
          <w:rFonts w:cs="Times New Roman"/>
        </w:rPr>
        <w:t>Sp</w:t>
      </w:r>
      <w:proofErr w:type="spellEnd"/>
      <w:r w:rsidR="00600AB9" w:rsidRPr="00AD4C78">
        <w:rPr>
          <w:rFonts w:cs="Times New Roman"/>
        </w:rPr>
        <w:t xml:space="preserve">: </w:t>
      </w:r>
      <w:proofErr w:type="spellStart"/>
      <w:r w:rsidR="00600AB9" w:rsidRPr="00AD4C78">
        <w:rPr>
          <w:rFonts w:cs="Times New Roman"/>
        </w:rPr>
        <w:t>faltar</w:t>
      </w:r>
      <w:proofErr w:type="spellEnd"/>
      <w:r w:rsidR="00600AB9" w:rsidRPr="00AD4C78">
        <w:rPr>
          <w:rFonts w:cs="Times New Roman"/>
        </w:rPr>
        <w:t>). Non-native sounds have also been introduced to Quechua, typically restricted to loan words, such as the labiodental fricative /f/ or the mid vowels /e/ and /o/</w:t>
      </w:r>
      <w:r w:rsidR="0069727C">
        <w:rPr>
          <w:rFonts w:cs="Times New Roman"/>
        </w:rPr>
        <w:t xml:space="preserve"> (Torero</w:t>
      </w:r>
      <w:r w:rsidR="00991562">
        <w:rPr>
          <w:rFonts w:cs="Times New Roman"/>
        </w:rPr>
        <w:t>,</w:t>
      </w:r>
      <w:r w:rsidR="0069727C">
        <w:rPr>
          <w:rFonts w:cs="Times New Roman"/>
        </w:rPr>
        <w:t xml:space="preserve"> 1983)</w:t>
      </w:r>
      <w:r w:rsidR="00600AB9" w:rsidRPr="00AD4C78">
        <w:rPr>
          <w:rFonts w:cs="Times New Roman"/>
        </w:rPr>
        <w:t xml:space="preserve">. </w:t>
      </w:r>
    </w:p>
    <w:p w14:paraId="1AFA5497" w14:textId="38775E0A" w:rsidR="00F6429D" w:rsidRPr="00AD4C78" w:rsidRDefault="00600AB9" w:rsidP="00600AB9">
      <w:pPr>
        <w:rPr>
          <w:rFonts w:cs="Times New Roman"/>
        </w:rPr>
      </w:pPr>
      <w:r w:rsidRPr="00AD4C78">
        <w:rPr>
          <w:rFonts w:cs="Times New Roman"/>
        </w:rPr>
        <w:tab/>
      </w:r>
      <w:r w:rsidR="00EB34B3">
        <w:rPr>
          <w:rFonts w:cs="Times New Roman"/>
        </w:rPr>
        <w:t>Quechua</w:t>
      </w:r>
      <w:r w:rsidRPr="00AD4C78">
        <w:rPr>
          <w:rFonts w:cs="Times New Roman"/>
        </w:rPr>
        <w:t xml:space="preserve"> is typically divided into two major dialect groups, Quechua I and Quechua II, both of which have further subdivisions. This works focuses on South Bolivian Quechua (henceforth, SBQ), a Quechua II dialect.</w:t>
      </w:r>
      <w:r w:rsidR="00AD4C78">
        <w:rPr>
          <w:rFonts w:cs="Times New Roman"/>
        </w:rPr>
        <w:t xml:space="preserve"> This paper will investigate vowel lowering in SBQ, which occurs when a high vowel is adjacent to /q/. </w:t>
      </w:r>
    </w:p>
    <w:p w14:paraId="4279B378" w14:textId="49E9BDBC" w:rsidR="00600AB9" w:rsidRDefault="00600AB9" w:rsidP="00600AB9">
      <w:pPr>
        <w:pStyle w:val="Heading1"/>
      </w:pPr>
      <w:r>
        <w:t>Phoneme Inventory</w:t>
      </w:r>
    </w:p>
    <w:p w14:paraId="3BFCC12C" w14:textId="68197F77" w:rsidR="00AD4C78" w:rsidRPr="00AD4C78" w:rsidRDefault="00AD4C78" w:rsidP="00AD4C78">
      <w:pPr>
        <w:pStyle w:val="Heading2"/>
      </w:pPr>
      <w:r>
        <w:t xml:space="preserve">Consonants </w:t>
      </w:r>
    </w:p>
    <w:p w14:paraId="6E4CDD43" w14:textId="37537EAC" w:rsidR="00600AB9" w:rsidRDefault="00600AB9" w:rsidP="00600AB9">
      <w:r>
        <w:tab/>
        <w:t xml:space="preserve"> SBQ presents the typical inventory of phonemes for a Quechua language (Table 1), retaining the three-way series of simple, aspirated, and glottalized</w:t>
      </w:r>
      <w:r w:rsidR="00285B18">
        <w:t xml:space="preserve"> (AKA ejective)</w:t>
      </w:r>
      <w:r>
        <w:t xml:space="preserve"> stops</w:t>
      </w:r>
      <w:r w:rsidR="00AD4C78">
        <w:t xml:space="preserve">. </w:t>
      </w:r>
    </w:p>
    <w:p w14:paraId="71D61D0C" w14:textId="45D99BBF" w:rsidR="00AD4C78" w:rsidRDefault="00AD4C78" w:rsidP="00AD4C78">
      <w:pPr>
        <w:pStyle w:val="Caption"/>
        <w:keepNext/>
      </w:pPr>
      <w:r>
        <w:t xml:space="preserve">Table </w:t>
      </w:r>
      <w:r>
        <w:fldChar w:fldCharType="begin"/>
      </w:r>
      <w:r>
        <w:instrText xml:space="preserve"> SEQ Table \* ARABIC </w:instrText>
      </w:r>
      <w:r>
        <w:fldChar w:fldCharType="separate"/>
      </w:r>
      <w:r w:rsidR="005C3BB5">
        <w:rPr>
          <w:noProof/>
        </w:rPr>
        <w:t>1</w:t>
      </w:r>
      <w:r>
        <w:fldChar w:fldCharType="end"/>
      </w:r>
      <w:r>
        <w:t xml:space="preserve">. </w:t>
      </w:r>
      <w:r>
        <w:rPr>
          <w:i w:val="0"/>
          <w:iCs w:val="0"/>
        </w:rPr>
        <w:t>South Bolivian Quechua consonant inventory (</w:t>
      </w:r>
      <w:r w:rsidR="00991562">
        <w:rPr>
          <w:i w:val="0"/>
          <w:iCs w:val="0"/>
        </w:rPr>
        <w:t>Bills et al., 1969</w:t>
      </w:r>
      <w:r>
        <w:rPr>
          <w:i w:val="0"/>
          <w:iCs w:val="0"/>
        </w:rPr>
        <w:t>).</w:t>
      </w:r>
    </w:p>
    <w:tbl>
      <w:tblPr>
        <w:tblW w:w="8033" w:type="dxa"/>
        <w:tblLook w:val="04A0" w:firstRow="1" w:lastRow="0" w:firstColumn="1" w:lastColumn="0" w:noHBand="0" w:noVBand="1"/>
      </w:tblPr>
      <w:tblGrid>
        <w:gridCol w:w="1494"/>
        <w:gridCol w:w="1201"/>
        <w:gridCol w:w="965"/>
        <w:gridCol w:w="1028"/>
        <w:gridCol w:w="918"/>
        <w:gridCol w:w="715"/>
        <w:gridCol w:w="849"/>
        <w:gridCol w:w="863"/>
      </w:tblGrid>
      <w:tr w:rsidR="00AD4C78" w:rsidRPr="00AD4C78" w14:paraId="5DF14E78" w14:textId="77777777" w:rsidTr="00AD4C78">
        <w:trPr>
          <w:trHeight w:val="300"/>
        </w:trPr>
        <w:tc>
          <w:tcPr>
            <w:tcW w:w="1494" w:type="dxa"/>
            <w:tcBorders>
              <w:top w:val="single" w:sz="4" w:space="0" w:color="auto"/>
              <w:left w:val="single" w:sz="4" w:space="0" w:color="auto"/>
              <w:bottom w:val="nil"/>
              <w:right w:val="nil"/>
            </w:tcBorders>
            <w:shd w:val="clear" w:color="auto" w:fill="auto"/>
            <w:noWrap/>
            <w:vAlign w:val="bottom"/>
            <w:hideMark/>
          </w:tcPr>
          <w:p w14:paraId="4E63A47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2E3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single" w:sz="4" w:space="0" w:color="auto"/>
              <w:left w:val="nil"/>
              <w:bottom w:val="single" w:sz="4" w:space="0" w:color="auto"/>
              <w:right w:val="nil"/>
            </w:tcBorders>
            <w:shd w:val="clear" w:color="auto" w:fill="auto"/>
            <w:noWrap/>
            <w:vAlign w:val="center"/>
            <w:hideMark/>
          </w:tcPr>
          <w:p w14:paraId="1EBB056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bilabial</w:t>
            </w:r>
          </w:p>
        </w:tc>
        <w:tc>
          <w:tcPr>
            <w:tcW w:w="1028" w:type="dxa"/>
            <w:tcBorders>
              <w:top w:val="single" w:sz="4" w:space="0" w:color="auto"/>
              <w:left w:val="nil"/>
              <w:bottom w:val="single" w:sz="4" w:space="0" w:color="auto"/>
              <w:right w:val="nil"/>
            </w:tcBorders>
            <w:shd w:val="clear" w:color="auto" w:fill="auto"/>
            <w:noWrap/>
            <w:vAlign w:val="center"/>
            <w:hideMark/>
          </w:tcPr>
          <w:p w14:paraId="07CA7CE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alveolar</w:t>
            </w:r>
          </w:p>
        </w:tc>
        <w:tc>
          <w:tcPr>
            <w:tcW w:w="918" w:type="dxa"/>
            <w:tcBorders>
              <w:top w:val="single" w:sz="4" w:space="0" w:color="auto"/>
              <w:left w:val="nil"/>
              <w:bottom w:val="single" w:sz="4" w:space="0" w:color="auto"/>
              <w:right w:val="nil"/>
            </w:tcBorders>
            <w:shd w:val="clear" w:color="auto" w:fill="auto"/>
            <w:noWrap/>
            <w:vAlign w:val="center"/>
            <w:hideMark/>
          </w:tcPr>
          <w:p w14:paraId="7E26B73B"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palatal</w:t>
            </w:r>
          </w:p>
        </w:tc>
        <w:tc>
          <w:tcPr>
            <w:tcW w:w="715" w:type="dxa"/>
            <w:tcBorders>
              <w:top w:val="single" w:sz="4" w:space="0" w:color="auto"/>
              <w:left w:val="nil"/>
              <w:bottom w:val="single" w:sz="4" w:space="0" w:color="auto"/>
              <w:right w:val="nil"/>
            </w:tcBorders>
            <w:shd w:val="clear" w:color="auto" w:fill="auto"/>
            <w:noWrap/>
            <w:vAlign w:val="center"/>
            <w:hideMark/>
          </w:tcPr>
          <w:p w14:paraId="2E50424E"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velar</w:t>
            </w:r>
          </w:p>
        </w:tc>
        <w:tc>
          <w:tcPr>
            <w:tcW w:w="849" w:type="dxa"/>
            <w:tcBorders>
              <w:top w:val="single" w:sz="4" w:space="0" w:color="auto"/>
              <w:left w:val="nil"/>
              <w:bottom w:val="single" w:sz="4" w:space="0" w:color="auto"/>
              <w:right w:val="nil"/>
            </w:tcBorders>
            <w:shd w:val="clear" w:color="auto" w:fill="auto"/>
            <w:noWrap/>
            <w:vAlign w:val="center"/>
            <w:hideMark/>
          </w:tcPr>
          <w:p w14:paraId="580C652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uvular</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6E91798F"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glottal</w:t>
            </w:r>
          </w:p>
        </w:tc>
      </w:tr>
      <w:tr w:rsidR="00AD4C78" w:rsidRPr="00AD4C78" w14:paraId="2178A995" w14:textId="77777777" w:rsidTr="00AD4C78">
        <w:trPr>
          <w:trHeight w:val="300"/>
        </w:trPr>
        <w:tc>
          <w:tcPr>
            <w:tcW w:w="1494" w:type="dxa"/>
            <w:tcBorders>
              <w:top w:val="single" w:sz="4" w:space="0" w:color="auto"/>
              <w:left w:val="single" w:sz="4" w:space="0" w:color="auto"/>
              <w:bottom w:val="nil"/>
              <w:right w:val="single" w:sz="4" w:space="0" w:color="auto"/>
            </w:tcBorders>
            <w:shd w:val="clear" w:color="auto" w:fill="auto"/>
            <w:noWrap/>
            <w:vAlign w:val="center"/>
            <w:hideMark/>
          </w:tcPr>
          <w:p w14:paraId="0D5C449D"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nasal</w:t>
            </w:r>
          </w:p>
        </w:tc>
        <w:tc>
          <w:tcPr>
            <w:tcW w:w="1201" w:type="dxa"/>
            <w:tcBorders>
              <w:top w:val="nil"/>
              <w:left w:val="nil"/>
              <w:bottom w:val="nil"/>
              <w:right w:val="single" w:sz="4" w:space="0" w:color="auto"/>
            </w:tcBorders>
            <w:shd w:val="clear" w:color="auto" w:fill="auto"/>
            <w:noWrap/>
            <w:vAlign w:val="bottom"/>
            <w:hideMark/>
          </w:tcPr>
          <w:p w14:paraId="27C0E78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E7F954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m</w:t>
            </w:r>
          </w:p>
        </w:tc>
        <w:tc>
          <w:tcPr>
            <w:tcW w:w="1028" w:type="dxa"/>
            <w:tcBorders>
              <w:top w:val="nil"/>
              <w:left w:val="nil"/>
              <w:bottom w:val="nil"/>
              <w:right w:val="nil"/>
            </w:tcBorders>
            <w:shd w:val="clear" w:color="auto" w:fill="auto"/>
            <w:noWrap/>
            <w:vAlign w:val="bottom"/>
            <w:hideMark/>
          </w:tcPr>
          <w:p w14:paraId="6F8F10E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n</w:t>
            </w:r>
          </w:p>
        </w:tc>
        <w:tc>
          <w:tcPr>
            <w:tcW w:w="918" w:type="dxa"/>
            <w:tcBorders>
              <w:top w:val="nil"/>
              <w:left w:val="nil"/>
              <w:bottom w:val="nil"/>
              <w:right w:val="nil"/>
            </w:tcBorders>
            <w:shd w:val="clear" w:color="auto" w:fill="auto"/>
            <w:noWrap/>
            <w:vAlign w:val="bottom"/>
            <w:hideMark/>
          </w:tcPr>
          <w:p w14:paraId="5E88194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ɲ</w:t>
            </w:r>
          </w:p>
        </w:tc>
        <w:tc>
          <w:tcPr>
            <w:tcW w:w="715" w:type="dxa"/>
            <w:tcBorders>
              <w:top w:val="nil"/>
              <w:left w:val="nil"/>
              <w:bottom w:val="nil"/>
              <w:right w:val="nil"/>
            </w:tcBorders>
            <w:shd w:val="clear" w:color="auto" w:fill="auto"/>
            <w:noWrap/>
            <w:vAlign w:val="bottom"/>
            <w:hideMark/>
          </w:tcPr>
          <w:p w14:paraId="263F7F6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D0789DA"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55405E9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7770380"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2D0E88DB" w14:textId="0327CB6E" w:rsidR="00AD4C78" w:rsidRPr="00AD4C78" w:rsidRDefault="005465A6" w:rsidP="00AD4C78">
            <w:pPr>
              <w:spacing w:after="0" w:line="240" w:lineRule="auto"/>
              <w:jc w:val="center"/>
              <w:rPr>
                <w:rFonts w:eastAsia="Times New Roman" w:cs="Calibri"/>
                <w:b/>
                <w:bCs/>
                <w:color w:val="000000"/>
                <w:kern w:val="0"/>
                <w14:ligatures w14:val="none"/>
              </w:rPr>
            </w:pPr>
            <w:r>
              <w:rPr>
                <w:rFonts w:eastAsia="Times New Roman" w:cs="Calibri"/>
                <w:b/>
                <w:bCs/>
                <w:color w:val="000000"/>
                <w:kern w:val="0"/>
                <w14:ligatures w14:val="none"/>
              </w:rPr>
              <w:t>stop</w:t>
            </w:r>
          </w:p>
        </w:tc>
        <w:tc>
          <w:tcPr>
            <w:tcW w:w="1201" w:type="dxa"/>
            <w:tcBorders>
              <w:top w:val="single" w:sz="4" w:space="0" w:color="auto"/>
              <w:left w:val="nil"/>
              <w:bottom w:val="nil"/>
              <w:right w:val="single" w:sz="4" w:space="0" w:color="auto"/>
            </w:tcBorders>
            <w:shd w:val="clear" w:color="auto" w:fill="auto"/>
            <w:noWrap/>
            <w:vAlign w:val="bottom"/>
            <w:hideMark/>
          </w:tcPr>
          <w:p w14:paraId="21A4F73A"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50AD325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p>
        </w:tc>
        <w:tc>
          <w:tcPr>
            <w:tcW w:w="1028" w:type="dxa"/>
            <w:tcBorders>
              <w:top w:val="nil"/>
              <w:left w:val="nil"/>
              <w:bottom w:val="nil"/>
              <w:right w:val="nil"/>
            </w:tcBorders>
            <w:shd w:val="clear" w:color="auto" w:fill="auto"/>
            <w:noWrap/>
            <w:vAlign w:val="bottom"/>
            <w:hideMark/>
          </w:tcPr>
          <w:p w14:paraId="1F718F1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p>
        </w:tc>
        <w:tc>
          <w:tcPr>
            <w:tcW w:w="918" w:type="dxa"/>
            <w:tcBorders>
              <w:top w:val="nil"/>
              <w:left w:val="nil"/>
              <w:bottom w:val="nil"/>
              <w:right w:val="nil"/>
            </w:tcBorders>
            <w:shd w:val="clear" w:color="auto" w:fill="auto"/>
            <w:noWrap/>
            <w:vAlign w:val="bottom"/>
            <w:hideMark/>
          </w:tcPr>
          <w:p w14:paraId="628A805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66ADC3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p>
        </w:tc>
        <w:tc>
          <w:tcPr>
            <w:tcW w:w="849" w:type="dxa"/>
            <w:tcBorders>
              <w:top w:val="nil"/>
              <w:left w:val="nil"/>
              <w:bottom w:val="nil"/>
              <w:right w:val="nil"/>
            </w:tcBorders>
            <w:shd w:val="clear" w:color="auto" w:fill="auto"/>
            <w:noWrap/>
            <w:vAlign w:val="bottom"/>
            <w:hideMark/>
          </w:tcPr>
          <w:p w14:paraId="7C8F8D9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p>
        </w:tc>
        <w:tc>
          <w:tcPr>
            <w:tcW w:w="863" w:type="dxa"/>
            <w:tcBorders>
              <w:top w:val="nil"/>
              <w:left w:val="nil"/>
              <w:bottom w:val="nil"/>
              <w:right w:val="single" w:sz="4" w:space="0" w:color="auto"/>
            </w:tcBorders>
            <w:shd w:val="clear" w:color="auto" w:fill="auto"/>
            <w:noWrap/>
            <w:vAlign w:val="bottom"/>
            <w:hideMark/>
          </w:tcPr>
          <w:p w14:paraId="2A38934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053FF31B"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BCE373F"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012A1507"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4675564E"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ʰ</w:t>
            </w:r>
            <w:proofErr w:type="spellEnd"/>
          </w:p>
        </w:tc>
        <w:tc>
          <w:tcPr>
            <w:tcW w:w="1028" w:type="dxa"/>
            <w:tcBorders>
              <w:top w:val="nil"/>
              <w:left w:val="nil"/>
              <w:bottom w:val="nil"/>
              <w:right w:val="nil"/>
            </w:tcBorders>
            <w:shd w:val="clear" w:color="auto" w:fill="auto"/>
            <w:noWrap/>
            <w:vAlign w:val="bottom"/>
            <w:hideMark/>
          </w:tcPr>
          <w:p w14:paraId="1E7CC0FC"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918" w:type="dxa"/>
            <w:tcBorders>
              <w:top w:val="nil"/>
              <w:left w:val="nil"/>
              <w:bottom w:val="nil"/>
              <w:right w:val="nil"/>
            </w:tcBorders>
            <w:shd w:val="clear" w:color="auto" w:fill="auto"/>
            <w:noWrap/>
            <w:vAlign w:val="bottom"/>
            <w:hideMark/>
          </w:tcPr>
          <w:p w14:paraId="33044FE6"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77A07EA"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ʰ</w:t>
            </w:r>
            <w:proofErr w:type="spellEnd"/>
          </w:p>
        </w:tc>
        <w:tc>
          <w:tcPr>
            <w:tcW w:w="849" w:type="dxa"/>
            <w:tcBorders>
              <w:top w:val="nil"/>
              <w:left w:val="nil"/>
              <w:bottom w:val="nil"/>
              <w:right w:val="nil"/>
            </w:tcBorders>
            <w:shd w:val="clear" w:color="auto" w:fill="auto"/>
            <w:noWrap/>
            <w:vAlign w:val="bottom"/>
            <w:hideMark/>
          </w:tcPr>
          <w:p w14:paraId="2F8E8249"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ʰ</w:t>
            </w:r>
            <w:proofErr w:type="spellEnd"/>
          </w:p>
        </w:tc>
        <w:tc>
          <w:tcPr>
            <w:tcW w:w="863" w:type="dxa"/>
            <w:tcBorders>
              <w:top w:val="nil"/>
              <w:left w:val="nil"/>
              <w:bottom w:val="nil"/>
              <w:right w:val="single" w:sz="4" w:space="0" w:color="auto"/>
            </w:tcBorders>
            <w:shd w:val="clear" w:color="auto" w:fill="auto"/>
            <w:noWrap/>
            <w:vAlign w:val="bottom"/>
            <w:hideMark/>
          </w:tcPr>
          <w:p w14:paraId="0929020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252BF8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15E1280"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10F87B1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2797CD5F"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ʼ</w:t>
            </w:r>
            <w:proofErr w:type="spellEnd"/>
            <w:r w:rsidRPr="00AD4C78">
              <w:rPr>
                <w:rFonts w:eastAsia="Times New Roman" w:cs="Calibri"/>
                <w:color w:val="000000"/>
                <w:kern w:val="0"/>
                <w14:ligatures w14:val="none"/>
              </w:rPr>
              <w:t xml:space="preserve"> </w:t>
            </w:r>
          </w:p>
        </w:tc>
        <w:tc>
          <w:tcPr>
            <w:tcW w:w="1028" w:type="dxa"/>
            <w:tcBorders>
              <w:top w:val="nil"/>
              <w:left w:val="nil"/>
              <w:bottom w:val="nil"/>
              <w:right w:val="nil"/>
            </w:tcBorders>
            <w:shd w:val="clear" w:color="auto" w:fill="auto"/>
            <w:noWrap/>
            <w:vAlign w:val="bottom"/>
            <w:hideMark/>
          </w:tcPr>
          <w:p w14:paraId="05AE7F95"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ʼ</w:t>
            </w:r>
            <w:proofErr w:type="spellEnd"/>
          </w:p>
        </w:tc>
        <w:tc>
          <w:tcPr>
            <w:tcW w:w="918" w:type="dxa"/>
            <w:tcBorders>
              <w:top w:val="nil"/>
              <w:left w:val="nil"/>
              <w:bottom w:val="nil"/>
              <w:right w:val="nil"/>
            </w:tcBorders>
            <w:shd w:val="clear" w:color="auto" w:fill="auto"/>
            <w:noWrap/>
            <w:vAlign w:val="bottom"/>
            <w:hideMark/>
          </w:tcPr>
          <w:p w14:paraId="12612C98"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4F87A8E"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ʼ</w:t>
            </w:r>
            <w:proofErr w:type="spellEnd"/>
          </w:p>
        </w:tc>
        <w:tc>
          <w:tcPr>
            <w:tcW w:w="849" w:type="dxa"/>
            <w:tcBorders>
              <w:top w:val="nil"/>
              <w:left w:val="nil"/>
              <w:bottom w:val="nil"/>
              <w:right w:val="nil"/>
            </w:tcBorders>
            <w:shd w:val="clear" w:color="auto" w:fill="auto"/>
            <w:noWrap/>
            <w:vAlign w:val="bottom"/>
            <w:hideMark/>
          </w:tcPr>
          <w:p w14:paraId="3B8265AD"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ʼ</w:t>
            </w:r>
            <w:proofErr w:type="spellEnd"/>
          </w:p>
        </w:tc>
        <w:tc>
          <w:tcPr>
            <w:tcW w:w="863" w:type="dxa"/>
            <w:tcBorders>
              <w:top w:val="nil"/>
              <w:left w:val="nil"/>
              <w:bottom w:val="nil"/>
              <w:right w:val="single" w:sz="4" w:space="0" w:color="auto"/>
            </w:tcBorders>
            <w:shd w:val="clear" w:color="auto" w:fill="auto"/>
            <w:noWrap/>
            <w:vAlign w:val="bottom"/>
            <w:hideMark/>
          </w:tcPr>
          <w:p w14:paraId="1483760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19605C6"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0B8B9776"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affricate</w:t>
            </w:r>
          </w:p>
        </w:tc>
        <w:tc>
          <w:tcPr>
            <w:tcW w:w="1201" w:type="dxa"/>
            <w:tcBorders>
              <w:top w:val="nil"/>
              <w:left w:val="nil"/>
              <w:bottom w:val="nil"/>
              <w:right w:val="single" w:sz="4" w:space="0" w:color="auto"/>
            </w:tcBorders>
            <w:shd w:val="clear" w:color="auto" w:fill="auto"/>
            <w:noWrap/>
            <w:vAlign w:val="bottom"/>
            <w:hideMark/>
          </w:tcPr>
          <w:p w14:paraId="053E3A6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3F540FAF"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6EA8D3C"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3F38F669"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proofErr w:type="spellEnd"/>
          </w:p>
        </w:tc>
        <w:tc>
          <w:tcPr>
            <w:tcW w:w="715" w:type="dxa"/>
            <w:tcBorders>
              <w:top w:val="nil"/>
              <w:left w:val="nil"/>
              <w:bottom w:val="nil"/>
              <w:right w:val="nil"/>
            </w:tcBorders>
            <w:shd w:val="clear" w:color="auto" w:fill="auto"/>
            <w:noWrap/>
            <w:vAlign w:val="bottom"/>
            <w:hideMark/>
          </w:tcPr>
          <w:p w14:paraId="0751FC2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F432E1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7F4D3FD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C75E1FD"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368567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54CA15C1"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67B176FC"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E2E94A4"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7C090B0D"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715" w:type="dxa"/>
            <w:tcBorders>
              <w:top w:val="nil"/>
              <w:left w:val="nil"/>
              <w:bottom w:val="nil"/>
              <w:right w:val="nil"/>
            </w:tcBorders>
            <w:shd w:val="clear" w:color="auto" w:fill="auto"/>
            <w:noWrap/>
            <w:vAlign w:val="bottom"/>
            <w:hideMark/>
          </w:tcPr>
          <w:p w14:paraId="01F9E9C3"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B899103"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178D229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373445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716B718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single" w:sz="4" w:space="0" w:color="auto"/>
              <w:right w:val="single" w:sz="4" w:space="0" w:color="auto"/>
            </w:tcBorders>
            <w:shd w:val="clear" w:color="auto" w:fill="auto"/>
            <w:noWrap/>
            <w:vAlign w:val="bottom"/>
            <w:hideMark/>
          </w:tcPr>
          <w:p w14:paraId="41EF91A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1EB46BE6"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0A9C0610"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EA14D6F" w14:textId="77777777" w:rsidR="00AD4C78" w:rsidRPr="00AD4C78" w:rsidRDefault="00AD4C78" w:rsidP="00AD4C78">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ʼ</w:t>
            </w:r>
            <w:proofErr w:type="spellEnd"/>
          </w:p>
        </w:tc>
        <w:tc>
          <w:tcPr>
            <w:tcW w:w="715" w:type="dxa"/>
            <w:tcBorders>
              <w:top w:val="nil"/>
              <w:left w:val="nil"/>
              <w:bottom w:val="nil"/>
              <w:right w:val="nil"/>
            </w:tcBorders>
            <w:shd w:val="clear" w:color="auto" w:fill="auto"/>
            <w:noWrap/>
            <w:vAlign w:val="bottom"/>
            <w:hideMark/>
          </w:tcPr>
          <w:p w14:paraId="2D2468F4"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8DB1302"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77520A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78C426DF"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2BAD8"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fricative</w:t>
            </w:r>
          </w:p>
        </w:tc>
        <w:tc>
          <w:tcPr>
            <w:tcW w:w="1201" w:type="dxa"/>
            <w:tcBorders>
              <w:top w:val="nil"/>
              <w:left w:val="nil"/>
              <w:bottom w:val="nil"/>
              <w:right w:val="single" w:sz="4" w:space="0" w:color="auto"/>
            </w:tcBorders>
            <w:shd w:val="clear" w:color="auto" w:fill="auto"/>
            <w:noWrap/>
            <w:vAlign w:val="bottom"/>
            <w:hideMark/>
          </w:tcPr>
          <w:p w14:paraId="2196AB24"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C30402C"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521AA5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s</w:t>
            </w:r>
          </w:p>
        </w:tc>
        <w:tc>
          <w:tcPr>
            <w:tcW w:w="918" w:type="dxa"/>
            <w:tcBorders>
              <w:top w:val="nil"/>
              <w:left w:val="nil"/>
              <w:bottom w:val="nil"/>
              <w:right w:val="nil"/>
            </w:tcBorders>
            <w:shd w:val="clear" w:color="auto" w:fill="auto"/>
            <w:noWrap/>
            <w:vAlign w:val="bottom"/>
            <w:hideMark/>
          </w:tcPr>
          <w:p w14:paraId="634792C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BD748B1"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1D0C8B11"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53FB9B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h</w:t>
            </w:r>
          </w:p>
        </w:tc>
      </w:tr>
      <w:tr w:rsidR="00AD4C78" w:rsidRPr="00AD4C78" w14:paraId="49BBBCDA"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43C3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flap</w:t>
            </w:r>
          </w:p>
        </w:tc>
        <w:tc>
          <w:tcPr>
            <w:tcW w:w="1201" w:type="dxa"/>
            <w:tcBorders>
              <w:top w:val="nil"/>
              <w:left w:val="nil"/>
              <w:bottom w:val="nil"/>
              <w:right w:val="single" w:sz="4" w:space="0" w:color="auto"/>
            </w:tcBorders>
            <w:shd w:val="clear" w:color="auto" w:fill="auto"/>
            <w:noWrap/>
            <w:vAlign w:val="bottom"/>
            <w:hideMark/>
          </w:tcPr>
          <w:p w14:paraId="5B56BF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9FF7F8E"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49CD43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ɾ</w:t>
            </w:r>
          </w:p>
        </w:tc>
        <w:tc>
          <w:tcPr>
            <w:tcW w:w="918" w:type="dxa"/>
            <w:tcBorders>
              <w:top w:val="nil"/>
              <w:left w:val="nil"/>
              <w:bottom w:val="nil"/>
              <w:right w:val="nil"/>
            </w:tcBorders>
            <w:shd w:val="clear" w:color="auto" w:fill="auto"/>
            <w:noWrap/>
            <w:vAlign w:val="bottom"/>
            <w:hideMark/>
          </w:tcPr>
          <w:p w14:paraId="62AA1C90"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3169C8D"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058097B5"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1489CF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F67776C"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4248C55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lateral</w:t>
            </w:r>
          </w:p>
        </w:tc>
        <w:tc>
          <w:tcPr>
            <w:tcW w:w="1201" w:type="dxa"/>
            <w:tcBorders>
              <w:top w:val="nil"/>
              <w:left w:val="nil"/>
              <w:bottom w:val="nil"/>
              <w:right w:val="single" w:sz="4" w:space="0" w:color="auto"/>
            </w:tcBorders>
            <w:shd w:val="clear" w:color="auto" w:fill="auto"/>
            <w:noWrap/>
            <w:vAlign w:val="bottom"/>
            <w:hideMark/>
          </w:tcPr>
          <w:p w14:paraId="7CC7AC1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322CB00"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8D2793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l</w:t>
            </w:r>
          </w:p>
        </w:tc>
        <w:tc>
          <w:tcPr>
            <w:tcW w:w="918" w:type="dxa"/>
            <w:tcBorders>
              <w:top w:val="nil"/>
              <w:left w:val="nil"/>
              <w:bottom w:val="nil"/>
              <w:right w:val="nil"/>
            </w:tcBorders>
            <w:shd w:val="clear" w:color="auto" w:fill="auto"/>
            <w:noWrap/>
            <w:vAlign w:val="bottom"/>
            <w:hideMark/>
          </w:tcPr>
          <w:p w14:paraId="7D81385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ʎ</w:t>
            </w:r>
          </w:p>
        </w:tc>
        <w:tc>
          <w:tcPr>
            <w:tcW w:w="715" w:type="dxa"/>
            <w:tcBorders>
              <w:top w:val="nil"/>
              <w:left w:val="nil"/>
              <w:bottom w:val="nil"/>
              <w:right w:val="nil"/>
            </w:tcBorders>
            <w:shd w:val="clear" w:color="auto" w:fill="auto"/>
            <w:noWrap/>
            <w:vAlign w:val="bottom"/>
            <w:hideMark/>
          </w:tcPr>
          <w:p w14:paraId="615BBAD2"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171AFA4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10171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453599AC" w14:textId="77777777" w:rsidTr="00AD4C78">
        <w:trPr>
          <w:trHeight w:val="3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2F5D344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approximant</w:t>
            </w:r>
          </w:p>
        </w:tc>
        <w:tc>
          <w:tcPr>
            <w:tcW w:w="1201" w:type="dxa"/>
            <w:tcBorders>
              <w:top w:val="nil"/>
              <w:left w:val="nil"/>
              <w:bottom w:val="single" w:sz="4" w:space="0" w:color="auto"/>
              <w:right w:val="single" w:sz="4" w:space="0" w:color="auto"/>
            </w:tcBorders>
            <w:shd w:val="clear" w:color="auto" w:fill="auto"/>
            <w:noWrap/>
            <w:vAlign w:val="bottom"/>
            <w:hideMark/>
          </w:tcPr>
          <w:p w14:paraId="25AAE55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single" w:sz="4" w:space="0" w:color="auto"/>
              <w:right w:val="nil"/>
            </w:tcBorders>
            <w:shd w:val="clear" w:color="auto" w:fill="auto"/>
            <w:noWrap/>
            <w:vAlign w:val="bottom"/>
            <w:hideMark/>
          </w:tcPr>
          <w:p w14:paraId="282DFC0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w</w:t>
            </w:r>
          </w:p>
        </w:tc>
        <w:tc>
          <w:tcPr>
            <w:tcW w:w="1028" w:type="dxa"/>
            <w:tcBorders>
              <w:top w:val="nil"/>
              <w:left w:val="nil"/>
              <w:bottom w:val="single" w:sz="4" w:space="0" w:color="auto"/>
              <w:right w:val="nil"/>
            </w:tcBorders>
            <w:shd w:val="clear" w:color="auto" w:fill="auto"/>
            <w:noWrap/>
            <w:vAlign w:val="bottom"/>
            <w:hideMark/>
          </w:tcPr>
          <w:p w14:paraId="0729CB6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18" w:type="dxa"/>
            <w:tcBorders>
              <w:top w:val="nil"/>
              <w:left w:val="nil"/>
              <w:bottom w:val="single" w:sz="4" w:space="0" w:color="auto"/>
              <w:right w:val="nil"/>
            </w:tcBorders>
            <w:shd w:val="clear" w:color="auto" w:fill="auto"/>
            <w:noWrap/>
            <w:vAlign w:val="bottom"/>
            <w:hideMark/>
          </w:tcPr>
          <w:p w14:paraId="696D1B7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j</w:t>
            </w:r>
          </w:p>
        </w:tc>
        <w:tc>
          <w:tcPr>
            <w:tcW w:w="715" w:type="dxa"/>
            <w:tcBorders>
              <w:top w:val="nil"/>
              <w:left w:val="nil"/>
              <w:bottom w:val="single" w:sz="4" w:space="0" w:color="auto"/>
              <w:right w:val="nil"/>
            </w:tcBorders>
            <w:shd w:val="clear" w:color="auto" w:fill="auto"/>
            <w:noWrap/>
            <w:vAlign w:val="bottom"/>
            <w:hideMark/>
          </w:tcPr>
          <w:p w14:paraId="19C3EC7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49" w:type="dxa"/>
            <w:tcBorders>
              <w:top w:val="nil"/>
              <w:left w:val="nil"/>
              <w:bottom w:val="single" w:sz="4" w:space="0" w:color="auto"/>
              <w:right w:val="nil"/>
            </w:tcBorders>
            <w:shd w:val="clear" w:color="auto" w:fill="auto"/>
            <w:noWrap/>
            <w:vAlign w:val="bottom"/>
            <w:hideMark/>
          </w:tcPr>
          <w:p w14:paraId="0C53DBB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63" w:type="dxa"/>
            <w:tcBorders>
              <w:top w:val="nil"/>
              <w:left w:val="nil"/>
              <w:bottom w:val="single" w:sz="4" w:space="0" w:color="auto"/>
              <w:right w:val="single" w:sz="4" w:space="0" w:color="auto"/>
            </w:tcBorders>
            <w:shd w:val="clear" w:color="auto" w:fill="auto"/>
            <w:noWrap/>
            <w:vAlign w:val="bottom"/>
            <w:hideMark/>
          </w:tcPr>
          <w:p w14:paraId="081FC0D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bl>
    <w:p w14:paraId="1E6E2B6A" w14:textId="63789762" w:rsidR="00AD4C78" w:rsidRDefault="004016C5" w:rsidP="00AD4C78">
      <w:pPr>
        <w:pStyle w:val="Heading2"/>
      </w:pPr>
      <w:r>
        <w:lastRenderedPageBreak/>
        <w:t>Vowels</w:t>
      </w:r>
    </w:p>
    <w:p w14:paraId="5202EA79" w14:textId="4838B8F1" w:rsidR="005465A6" w:rsidRDefault="00AD4C78">
      <w:r>
        <w:tab/>
      </w:r>
      <w:r w:rsidR="005465A6">
        <w:t>There is an active and historic debate about whether Quechua should be represented orthographically with a three-vowel or five-vowel system. While institutions like the Peruvian Academy of the Quechua Language established a five-vowel system in 1987 (Coronel-Molina, 1997), whereas other institutions and linguists prefer the three-vowel system. The three-vowel system (/</w:t>
      </w:r>
      <w:proofErr w:type="spellStart"/>
      <w:r w:rsidR="005465A6">
        <w:t>i</w:t>
      </w:r>
      <w:proofErr w:type="spellEnd"/>
      <w:r w:rsidR="005465A6">
        <w:t xml:space="preserve"> a u/) is motivated by the fact that the mid vowels /o/ and /e/ only </w:t>
      </w:r>
      <w:r w:rsidR="00BB0EC0">
        <w:t xml:space="preserve">surface </w:t>
      </w:r>
      <w:r w:rsidR="005465A6">
        <w:t xml:space="preserve">in Spanish loanwords and as allophones when adjacent to the </w:t>
      </w:r>
      <w:r w:rsidR="00BB0EC0">
        <w:t>uvular</w:t>
      </w:r>
      <w:r w:rsidR="005465A6">
        <w:t xml:space="preserve"> stop. Although this essay will take for granted that Quechua has a three-vowel system, it will make use of a SBQ dictionary (Lott</w:t>
      </w:r>
      <w:r w:rsidR="00991562">
        <w:t>,</w:t>
      </w:r>
      <w:r w:rsidR="005465A6">
        <w:t xml:space="preserve"> 1978) that </w:t>
      </w:r>
      <w:r w:rsidR="005465A6">
        <w:rPr>
          <w:i/>
          <w:iCs/>
        </w:rPr>
        <w:t xml:space="preserve">does </w:t>
      </w:r>
      <w:r w:rsidR="005465A6">
        <w:t>use a five-vowel system.</w:t>
      </w:r>
      <w:r w:rsidR="000F5D62">
        <w:t xml:space="preserve"> Henceforth, all instances of [e] and [o] are assumed to be underlying /</w:t>
      </w:r>
      <w:proofErr w:type="spellStart"/>
      <w:r w:rsidR="000F5D62">
        <w:t>i</w:t>
      </w:r>
      <w:proofErr w:type="spellEnd"/>
      <w:r w:rsidR="000F5D62">
        <w:t>/ and /u/ respectively, unless otherwise stated.</w:t>
      </w:r>
    </w:p>
    <w:p w14:paraId="593E5F70" w14:textId="4B7484B1" w:rsidR="004016C5" w:rsidRDefault="004016C5" w:rsidP="004016C5">
      <w:pPr>
        <w:pStyle w:val="Heading2"/>
      </w:pPr>
      <w:r>
        <w:t>Mid Vowels</w:t>
      </w:r>
    </w:p>
    <w:p w14:paraId="5BF1B3F7" w14:textId="4D48532E" w:rsidR="004016C5" w:rsidRDefault="005465A6">
      <w:r>
        <w:tab/>
      </w:r>
      <w:r w:rsidR="004016C5">
        <w:t xml:space="preserve">Lott’s </w:t>
      </w:r>
      <w:r>
        <w:t>dictionary</w:t>
      </w:r>
      <w:r w:rsidR="00BB0EC0">
        <w:t xml:space="preserve"> (1978)</w:t>
      </w:r>
      <w:r>
        <w:t xml:space="preserve">, although using a five-vowel system, </w:t>
      </w:r>
      <w:proofErr w:type="gramStart"/>
      <w:r>
        <w:t>actually makes</w:t>
      </w:r>
      <w:proofErr w:type="gramEnd"/>
      <w:r>
        <w:t xml:space="preserve"> a good case for a three-vowel system by thoroughly demonstrating the conditioning factor of the mid vowels. </w:t>
      </w:r>
      <w:r w:rsidR="00080D30">
        <w:t xml:space="preserve">In fact, of the 359 words in which &lt;e&gt; or &lt;o&gt; occur in the dictionary, </w:t>
      </w:r>
      <w:r w:rsidR="0069727C">
        <w:t xml:space="preserve">approximately </w:t>
      </w:r>
      <w:r w:rsidR="00856BAC">
        <w:t>83</w:t>
      </w:r>
      <w:r w:rsidR="00080D30">
        <w:t>% of the cases can be explained by its adjacency to &lt;q&gt; or it being a loanword</w:t>
      </w:r>
      <w:r w:rsidR="004016C5">
        <w:t xml:space="preserve"> from Spanish.</w:t>
      </w:r>
    </w:p>
    <w:p w14:paraId="30AAB98D" w14:textId="57DD06F7" w:rsidR="006041DB" w:rsidRDefault="00080D30" w:rsidP="006041DB">
      <w:pPr>
        <w:ind w:firstLine="720"/>
      </w:pPr>
      <w:r>
        <w:t xml:space="preserve">The </w:t>
      </w:r>
      <w:r w:rsidR="00325008">
        <w:t xml:space="preserve">remaining instances of &lt;e&gt; and &lt;o&gt; occur adjacent to syllable-final &lt;j&gt; (e.g. </w:t>
      </w:r>
      <w:proofErr w:type="spellStart"/>
      <w:r w:rsidR="00325008" w:rsidRPr="00325008">
        <w:rPr>
          <w:i/>
          <w:iCs/>
        </w:rPr>
        <w:t>sojta</w:t>
      </w:r>
      <w:proofErr w:type="spellEnd"/>
      <w:r w:rsidR="00325008">
        <w:t xml:space="preserve"> “six”, </w:t>
      </w:r>
      <w:proofErr w:type="spellStart"/>
      <w:r w:rsidR="00325008" w:rsidRPr="00325008">
        <w:rPr>
          <w:i/>
          <w:iCs/>
        </w:rPr>
        <w:t>Diosman</w:t>
      </w:r>
      <w:proofErr w:type="spellEnd"/>
      <w:r w:rsidR="00325008" w:rsidRPr="00325008">
        <w:rPr>
          <w:i/>
          <w:iCs/>
        </w:rPr>
        <w:t xml:space="preserve"> </w:t>
      </w:r>
      <w:proofErr w:type="spellStart"/>
      <w:r w:rsidR="00325008" w:rsidRPr="00325008">
        <w:rPr>
          <w:i/>
          <w:iCs/>
        </w:rPr>
        <w:t>kutirej</w:t>
      </w:r>
      <w:proofErr w:type="spellEnd"/>
      <w:r w:rsidR="00325008">
        <w:t xml:space="preserve"> “convert”)</w:t>
      </w:r>
      <w:r w:rsidR="0060634A">
        <w:t xml:space="preserve">. The phonetic status of &lt;j&gt; here is unclear.  Molina-Vital (2020), a speaker of Southern Quechua, transcribes and pronounces </w:t>
      </w:r>
      <w:proofErr w:type="spellStart"/>
      <w:r w:rsidR="0060634A">
        <w:rPr>
          <w:i/>
          <w:iCs/>
        </w:rPr>
        <w:t>suqta</w:t>
      </w:r>
      <w:proofErr w:type="spellEnd"/>
      <w:r w:rsidR="0060634A">
        <w:t xml:space="preserve"> [</w:t>
      </w:r>
      <w:proofErr w:type="spellStart"/>
      <w:r w:rsidR="0060634A">
        <w:t>so</w:t>
      </w:r>
      <w:r w:rsidR="0060634A" w:rsidRPr="00E61339">
        <w:t>χ</w:t>
      </w:r>
      <w:r w:rsidR="0060634A">
        <w:t>ta</w:t>
      </w:r>
      <w:proofErr w:type="spellEnd"/>
      <w:r w:rsidR="0060634A">
        <w:t xml:space="preserve">] “six”, indicating that the underlying phoneme here is /q/. What Lott transcribes as </w:t>
      </w:r>
      <w:proofErr w:type="spellStart"/>
      <w:r w:rsidR="0060634A">
        <w:rPr>
          <w:i/>
          <w:iCs/>
        </w:rPr>
        <w:t>wajtan</w:t>
      </w:r>
      <w:proofErr w:type="spellEnd"/>
      <w:r w:rsidR="0060634A">
        <w:t xml:space="preserve"> “rib” is recorded in other dictionaries as </w:t>
      </w:r>
      <w:proofErr w:type="spellStart"/>
      <w:r w:rsidR="0060634A">
        <w:rPr>
          <w:i/>
          <w:iCs/>
        </w:rPr>
        <w:t>waqta</w:t>
      </w:r>
      <w:proofErr w:type="spellEnd"/>
      <w:r w:rsidR="0060634A">
        <w:rPr>
          <w:i/>
          <w:iCs/>
        </w:rPr>
        <w:t>.</w:t>
      </w:r>
      <w:r w:rsidR="0060634A">
        <w:t xml:space="preserve"> However, there is not a clear correspondence between &lt;j&gt; in this dictionary and &lt;q&gt; /q/. For example, </w:t>
      </w:r>
      <w:proofErr w:type="spellStart"/>
      <w:r w:rsidR="006041DB" w:rsidRPr="006041DB">
        <w:rPr>
          <w:i/>
          <w:iCs/>
        </w:rPr>
        <w:t>ujyay</w:t>
      </w:r>
      <w:proofErr w:type="spellEnd"/>
      <w:r w:rsidR="006041DB">
        <w:t xml:space="preserve"> “to drink” has correspondences with </w:t>
      </w:r>
      <w:proofErr w:type="spellStart"/>
      <w:r w:rsidR="006041DB">
        <w:rPr>
          <w:i/>
          <w:iCs/>
        </w:rPr>
        <w:t>u</w:t>
      </w:r>
      <w:r w:rsidR="006041DB" w:rsidRPr="006041DB">
        <w:rPr>
          <w:i/>
          <w:iCs/>
        </w:rPr>
        <w:t>p</w:t>
      </w:r>
      <w:r w:rsidR="006041DB">
        <w:rPr>
          <w:i/>
          <w:iCs/>
        </w:rPr>
        <w:t>yay</w:t>
      </w:r>
      <w:proofErr w:type="spellEnd"/>
      <w:r w:rsidR="006041DB">
        <w:rPr>
          <w:i/>
          <w:iCs/>
        </w:rPr>
        <w:t xml:space="preserve"> </w:t>
      </w:r>
      <w:r w:rsidR="006041DB">
        <w:t xml:space="preserve">in other dialects. The Spanish loanword </w:t>
      </w:r>
      <w:proofErr w:type="spellStart"/>
      <w:r w:rsidR="006041DB">
        <w:rPr>
          <w:i/>
          <w:iCs/>
        </w:rPr>
        <w:t>carajo</w:t>
      </w:r>
      <w:proofErr w:type="spellEnd"/>
      <w:r w:rsidR="006041DB">
        <w:t xml:space="preserve"> “damn it”</w:t>
      </w:r>
      <w:r w:rsidR="0069727C">
        <w:t xml:space="preserve"> corresponds to Spanish /x/, which most likely is realized as [h] in SBQ</w:t>
      </w:r>
      <w:r w:rsidR="006041DB">
        <w:t xml:space="preserve">. </w:t>
      </w:r>
      <w:proofErr w:type="spellStart"/>
      <w:r w:rsidR="006041DB">
        <w:rPr>
          <w:i/>
          <w:iCs/>
        </w:rPr>
        <w:t>Uj</w:t>
      </w:r>
      <w:proofErr w:type="spellEnd"/>
      <w:r w:rsidR="006041DB">
        <w:t xml:space="preserve"> “one” corresponds to [(h)</w:t>
      </w:r>
      <w:proofErr w:type="spellStart"/>
      <w:r w:rsidR="006041DB">
        <w:t>uk</w:t>
      </w:r>
      <w:proofErr w:type="spellEnd"/>
      <w:r w:rsidR="006041DB">
        <w:t>] in other dialects.</w:t>
      </w:r>
    </w:p>
    <w:p w14:paraId="0BBFA1FB" w14:textId="52447F1C" w:rsidR="00CE7BD5" w:rsidRDefault="006041DB" w:rsidP="006041DB">
      <w:pPr>
        <w:ind w:firstLine="720"/>
      </w:pPr>
      <w:r>
        <w:t xml:space="preserve">However, it seems that when &lt;j&gt; occurs with &lt;e&gt; or &lt;o&gt;, there are clear correspondences with /q/ in other varieties. For example, </w:t>
      </w:r>
      <w:proofErr w:type="spellStart"/>
      <w:r>
        <w:rPr>
          <w:i/>
          <w:iCs/>
        </w:rPr>
        <w:t>mosoj</w:t>
      </w:r>
      <w:proofErr w:type="spellEnd"/>
      <w:r>
        <w:t xml:space="preserve"> “new” is </w:t>
      </w:r>
      <w:proofErr w:type="spellStart"/>
      <w:r>
        <w:rPr>
          <w:i/>
          <w:iCs/>
        </w:rPr>
        <w:t>musuq</w:t>
      </w:r>
      <w:proofErr w:type="spellEnd"/>
      <w:r>
        <w:t xml:space="preserve"> in other dictionaries; </w:t>
      </w:r>
      <w:proofErr w:type="spellStart"/>
      <w:r w:rsidR="00FB1E30">
        <w:rPr>
          <w:i/>
          <w:iCs/>
        </w:rPr>
        <w:t>yachayniyoj</w:t>
      </w:r>
      <w:proofErr w:type="spellEnd"/>
      <w:r w:rsidR="00FB1E30">
        <w:t xml:space="preserve"> “teacher” is </w:t>
      </w:r>
      <w:proofErr w:type="spellStart"/>
      <w:r w:rsidR="00FB1E30">
        <w:rPr>
          <w:i/>
          <w:iCs/>
        </w:rPr>
        <w:t>yachachiq</w:t>
      </w:r>
      <w:proofErr w:type="spellEnd"/>
      <w:r w:rsidR="00FB1E30">
        <w:t xml:space="preserve"> in other dictionaries. Most notably, </w:t>
      </w:r>
      <w:proofErr w:type="spellStart"/>
      <w:r w:rsidR="00FB1E30">
        <w:rPr>
          <w:i/>
          <w:iCs/>
        </w:rPr>
        <w:t>wijsayoj</w:t>
      </w:r>
      <w:proofErr w:type="spellEnd"/>
      <w:r w:rsidR="00FB1E30">
        <w:t xml:space="preserve"> “pregnant” is </w:t>
      </w:r>
      <w:proofErr w:type="spellStart"/>
      <w:r w:rsidR="00FB1E30">
        <w:rPr>
          <w:i/>
          <w:iCs/>
        </w:rPr>
        <w:t>wiksayuq</w:t>
      </w:r>
      <w:proofErr w:type="spellEnd"/>
      <w:r w:rsidR="00FB1E30">
        <w:t xml:space="preserve"> in other dictionaries. This gives strong motivation that &lt;j&gt; is not a single phoneme, as the orthography might suggest. That is, if </w:t>
      </w:r>
      <w:r w:rsidR="00ED7330">
        <w:t>it</w:t>
      </w:r>
      <w:r w:rsidR="00FB1E30">
        <w:t xml:space="preserve"> were representing the same phoneme, we would expect *</w:t>
      </w:r>
      <w:proofErr w:type="spellStart"/>
      <w:r w:rsidR="00FB1E30">
        <w:rPr>
          <w:i/>
          <w:iCs/>
        </w:rPr>
        <w:t>wejsayoj</w:t>
      </w:r>
      <w:proofErr w:type="spellEnd"/>
      <w:r w:rsidR="00FB1E30">
        <w:t>.</w:t>
      </w:r>
    </w:p>
    <w:p w14:paraId="68487062" w14:textId="77777777" w:rsidR="00CE7BD5" w:rsidRDefault="00CE7BD5" w:rsidP="00CE7BD5">
      <w:pPr>
        <w:ind w:firstLine="720"/>
      </w:pPr>
      <w:r>
        <w:t>The present evidence suggests that &lt;j&gt; can represent the surface forms [h] and [</w:t>
      </w:r>
      <w:r w:rsidRPr="00E61339">
        <w:t>χ</w:t>
      </w:r>
      <w:r>
        <w:t>]. Where other dialects have /q/, the surface form [</w:t>
      </w:r>
      <w:r w:rsidRPr="00E61339">
        <w:t>χ</w:t>
      </w:r>
      <w:r>
        <w:t xml:space="preserve">] most likely surfaces; otherwise, [h] surfaces. Furthermore, there is evidence that the underlying phoneme is /q/ in such cases that vowel lowering occurs. </w:t>
      </w:r>
      <w:proofErr w:type="gramStart"/>
      <w:r>
        <w:t>With this in mind, I</w:t>
      </w:r>
      <w:proofErr w:type="gramEnd"/>
      <w:r>
        <w:t xml:space="preserve"> will investigate vowel lowering only in proximity to &lt;q&gt; /q/ (and its aspirated/glottalized counterparts) and &lt;j&gt; only when it clearly has correspondences to /q/ in other dialects.</w:t>
      </w:r>
    </w:p>
    <w:p w14:paraId="31761F74" w14:textId="3A8C1C7E" w:rsidR="0069727C" w:rsidRDefault="00CE7BD5" w:rsidP="00CE7BD5">
      <w:pPr>
        <w:pStyle w:val="Heading1"/>
      </w:pPr>
      <w:r>
        <w:lastRenderedPageBreak/>
        <w:t>Vowel Lowerin</w:t>
      </w:r>
      <w:r w:rsidR="0069727C">
        <w:t>g</w:t>
      </w:r>
      <w:r w:rsidR="003338AC">
        <w:t xml:space="preserve"> in South Bolivian Quechua</w:t>
      </w:r>
    </w:p>
    <w:p w14:paraId="72D40907" w14:textId="6CC2CEFC" w:rsidR="005465A6" w:rsidRPr="00E61339" w:rsidRDefault="0069727C" w:rsidP="0069727C">
      <w:pPr>
        <w:pStyle w:val="Heading2"/>
      </w:pPr>
      <w:r>
        <w:t>Environments</w:t>
      </w:r>
      <w:r w:rsidR="00E61339">
        <w:tab/>
        <w:t xml:space="preserve"> </w:t>
      </w:r>
    </w:p>
    <w:p w14:paraId="599BDEE1" w14:textId="7E01CE2B" w:rsidR="00AD4C78" w:rsidRDefault="00CE7BD5">
      <w:r>
        <w:tab/>
        <w:t>As discussed, high vowels lower to mid vowels when adjacent to /q/</w:t>
      </w:r>
      <w:r w:rsidR="005C3BB5">
        <w:t>. However, /q/ can also lower vowels across some consonants</w:t>
      </w:r>
      <w:r w:rsidR="00856BAC">
        <w:t xml:space="preserve"> regressively</w:t>
      </w:r>
      <w:r w:rsidR="005C3BB5">
        <w:t>. In this dictionary, /q/ can lower /</w:t>
      </w:r>
      <w:proofErr w:type="spellStart"/>
      <w:r w:rsidR="005C3BB5">
        <w:t>i</w:t>
      </w:r>
      <w:proofErr w:type="spellEnd"/>
      <w:r w:rsidR="005C3BB5">
        <w:t>/ to [e] when there is an intervening /</w:t>
      </w:r>
      <w:r w:rsidR="0069727C">
        <w:t>n/, /r/, or /l/</w:t>
      </w:r>
      <w:r w:rsidR="005C3BB5">
        <w:t>; it can lower /u/ to [o] when there is an intervening /n/</w:t>
      </w:r>
      <w:r w:rsidR="00856BAC">
        <w:t xml:space="preserve"> (which is realized as the homorganic sequence [</w:t>
      </w:r>
      <w:proofErr w:type="spellStart"/>
      <w:r w:rsidR="00856BAC" w:rsidRPr="00856BAC">
        <w:rPr>
          <w:rFonts w:ascii="Arial" w:hAnsi="Arial" w:cs="Arial"/>
        </w:rPr>
        <w:t>ɴ</w:t>
      </w:r>
      <w:r w:rsidR="00856BAC">
        <w:t>q</w:t>
      </w:r>
      <w:proofErr w:type="spellEnd"/>
      <w:r w:rsidR="00856BAC">
        <w:t>])</w:t>
      </w:r>
      <w:r w:rsidR="005C3BB5">
        <w:t>, /r/, or /s/ (Table 2).</w:t>
      </w:r>
      <w:r w:rsidR="00856BAC">
        <w:t xml:space="preserve"> There are no instances in this dictionary where /q/ can lower a vowel progressively across a consonant, and </w:t>
      </w:r>
      <w:proofErr w:type="spellStart"/>
      <w:r w:rsidR="00856BAC">
        <w:t>Steriade</w:t>
      </w:r>
      <w:proofErr w:type="spellEnd"/>
      <w:r w:rsidR="00856BAC">
        <w:t xml:space="preserve"> (1995) claims that this process cannot happen.</w:t>
      </w:r>
    </w:p>
    <w:p w14:paraId="1A38BBE5" w14:textId="29D2D27F" w:rsidR="005C3BB5" w:rsidRDefault="005C3BB5" w:rsidP="005C3BB5">
      <w:pPr>
        <w:pStyle w:val="Caption"/>
        <w:keepNext/>
      </w:pPr>
      <w:r>
        <w:t xml:space="preserve">Table </w:t>
      </w:r>
      <w:r>
        <w:fldChar w:fldCharType="begin"/>
      </w:r>
      <w:r>
        <w:instrText xml:space="preserve"> SEQ Table \* ARABIC </w:instrText>
      </w:r>
      <w:r>
        <w:fldChar w:fldCharType="separate"/>
      </w:r>
      <w:r>
        <w:rPr>
          <w:noProof/>
        </w:rPr>
        <w:t>2</w:t>
      </w:r>
      <w:r>
        <w:fldChar w:fldCharType="end"/>
      </w:r>
      <w:r>
        <w:t>.</w:t>
      </w:r>
      <w:r>
        <w:rPr>
          <w:i w:val="0"/>
          <w:iCs w:val="0"/>
        </w:rPr>
        <w:t xml:space="preserve"> Vowel lowering across a phoneme.</w:t>
      </w:r>
    </w:p>
    <w:tbl>
      <w:tblPr>
        <w:tblW w:w="5920" w:type="dxa"/>
        <w:tblLook w:val="04A0" w:firstRow="1" w:lastRow="0" w:firstColumn="1" w:lastColumn="0" w:noHBand="0" w:noVBand="1"/>
      </w:tblPr>
      <w:tblGrid>
        <w:gridCol w:w="771"/>
        <w:gridCol w:w="2160"/>
        <w:gridCol w:w="1038"/>
        <w:gridCol w:w="2180"/>
      </w:tblGrid>
      <w:tr w:rsidR="00A925EF" w:rsidRPr="00A925EF" w14:paraId="2250318A" w14:textId="77777777" w:rsidTr="00A925EF">
        <w:trPr>
          <w:trHeight w:val="300"/>
        </w:trPr>
        <w:tc>
          <w:tcPr>
            <w:tcW w:w="640" w:type="dxa"/>
            <w:tcBorders>
              <w:top w:val="single" w:sz="4" w:space="0" w:color="auto"/>
              <w:left w:val="single" w:sz="4" w:space="0" w:color="auto"/>
              <w:bottom w:val="single" w:sz="4" w:space="0" w:color="auto"/>
              <w:right w:val="nil"/>
            </w:tcBorders>
            <w:shd w:val="clear" w:color="auto" w:fill="auto"/>
            <w:noWrap/>
            <w:vAlign w:val="bottom"/>
            <w:hideMark/>
          </w:tcPr>
          <w:p w14:paraId="478865C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Vowel</w:t>
            </w:r>
          </w:p>
        </w:tc>
        <w:tc>
          <w:tcPr>
            <w:tcW w:w="2160" w:type="dxa"/>
            <w:tcBorders>
              <w:top w:val="single" w:sz="4" w:space="0" w:color="auto"/>
              <w:left w:val="nil"/>
              <w:bottom w:val="single" w:sz="4" w:space="0" w:color="auto"/>
              <w:right w:val="nil"/>
            </w:tcBorders>
            <w:shd w:val="clear" w:color="auto" w:fill="auto"/>
            <w:noWrap/>
            <w:vAlign w:val="bottom"/>
            <w:hideMark/>
          </w:tcPr>
          <w:p w14:paraId="56B46079"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Intervening phoneme</w:t>
            </w:r>
          </w:p>
        </w:tc>
        <w:tc>
          <w:tcPr>
            <w:tcW w:w="940" w:type="dxa"/>
            <w:tcBorders>
              <w:top w:val="single" w:sz="4" w:space="0" w:color="auto"/>
              <w:left w:val="nil"/>
              <w:bottom w:val="single" w:sz="4" w:space="0" w:color="auto"/>
              <w:right w:val="nil"/>
            </w:tcBorders>
            <w:shd w:val="clear" w:color="auto" w:fill="auto"/>
            <w:noWrap/>
            <w:vAlign w:val="bottom"/>
            <w:hideMark/>
          </w:tcPr>
          <w:p w14:paraId="60E5E71C"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Quechua</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EDFFF4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English gloss</w:t>
            </w:r>
          </w:p>
        </w:tc>
      </w:tr>
      <w:tr w:rsidR="00A925EF" w:rsidRPr="00A925EF" w14:paraId="706AFC4F" w14:textId="77777777" w:rsidTr="00A925EF">
        <w:trPr>
          <w:trHeight w:val="300"/>
        </w:trPr>
        <w:tc>
          <w:tcPr>
            <w:tcW w:w="640" w:type="dxa"/>
            <w:vMerge w:val="restart"/>
            <w:tcBorders>
              <w:top w:val="nil"/>
              <w:left w:val="single" w:sz="4" w:space="0" w:color="auto"/>
              <w:bottom w:val="nil"/>
              <w:right w:val="nil"/>
            </w:tcBorders>
            <w:shd w:val="clear" w:color="auto" w:fill="auto"/>
            <w:noWrap/>
            <w:vAlign w:val="center"/>
            <w:hideMark/>
          </w:tcPr>
          <w:p w14:paraId="79893533"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w:t>
            </w:r>
          </w:p>
        </w:tc>
        <w:tc>
          <w:tcPr>
            <w:tcW w:w="2160" w:type="dxa"/>
            <w:tcBorders>
              <w:top w:val="nil"/>
              <w:left w:val="nil"/>
              <w:bottom w:val="nil"/>
              <w:right w:val="nil"/>
            </w:tcBorders>
            <w:shd w:val="clear" w:color="auto" w:fill="auto"/>
            <w:noWrap/>
            <w:vAlign w:val="center"/>
            <w:hideMark/>
          </w:tcPr>
          <w:p w14:paraId="1FCADCF7"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nil"/>
              <w:left w:val="nil"/>
              <w:bottom w:val="nil"/>
              <w:right w:val="nil"/>
            </w:tcBorders>
            <w:shd w:val="clear" w:color="auto" w:fill="auto"/>
            <w:noWrap/>
            <w:vAlign w:val="bottom"/>
            <w:hideMark/>
          </w:tcPr>
          <w:p w14:paraId="448BB7E3"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enqhay</w:t>
            </w:r>
            <w:proofErr w:type="spellEnd"/>
          </w:p>
        </w:tc>
        <w:tc>
          <w:tcPr>
            <w:tcW w:w="2180" w:type="dxa"/>
            <w:tcBorders>
              <w:top w:val="nil"/>
              <w:left w:val="nil"/>
              <w:bottom w:val="nil"/>
              <w:right w:val="single" w:sz="4" w:space="0" w:color="auto"/>
            </w:tcBorders>
            <w:shd w:val="clear" w:color="auto" w:fill="auto"/>
            <w:noWrap/>
            <w:vAlign w:val="bottom"/>
            <w:hideMark/>
          </w:tcPr>
          <w:p w14:paraId="3F1A563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add wood to the fire</w:t>
            </w:r>
          </w:p>
        </w:tc>
      </w:tr>
      <w:tr w:rsidR="00A925EF" w:rsidRPr="00A925EF" w14:paraId="15285A88" w14:textId="77777777" w:rsidTr="00A925EF">
        <w:trPr>
          <w:trHeight w:val="300"/>
        </w:trPr>
        <w:tc>
          <w:tcPr>
            <w:tcW w:w="640" w:type="dxa"/>
            <w:vMerge/>
            <w:tcBorders>
              <w:top w:val="nil"/>
              <w:left w:val="single" w:sz="4" w:space="0" w:color="auto"/>
              <w:bottom w:val="nil"/>
              <w:right w:val="nil"/>
            </w:tcBorders>
            <w:vAlign w:val="center"/>
            <w:hideMark/>
          </w:tcPr>
          <w:p w14:paraId="535E4B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638711CF"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4FC31B3F"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erqhe</w:t>
            </w:r>
            <w:proofErr w:type="spellEnd"/>
          </w:p>
        </w:tc>
        <w:tc>
          <w:tcPr>
            <w:tcW w:w="2180" w:type="dxa"/>
            <w:tcBorders>
              <w:top w:val="nil"/>
              <w:left w:val="nil"/>
              <w:bottom w:val="nil"/>
              <w:right w:val="single" w:sz="4" w:space="0" w:color="auto"/>
            </w:tcBorders>
            <w:shd w:val="clear" w:color="auto" w:fill="auto"/>
            <w:noWrap/>
            <w:vAlign w:val="bottom"/>
            <w:hideMark/>
          </w:tcPr>
          <w:p w14:paraId="0AF9330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crybaby</w:t>
            </w:r>
          </w:p>
        </w:tc>
      </w:tr>
      <w:tr w:rsidR="00A925EF" w:rsidRPr="00A925EF" w14:paraId="3A183F7D" w14:textId="77777777" w:rsidTr="00A925EF">
        <w:trPr>
          <w:trHeight w:val="300"/>
        </w:trPr>
        <w:tc>
          <w:tcPr>
            <w:tcW w:w="640" w:type="dxa"/>
            <w:vMerge/>
            <w:tcBorders>
              <w:top w:val="nil"/>
              <w:left w:val="single" w:sz="4" w:space="0" w:color="auto"/>
              <w:bottom w:val="nil"/>
              <w:right w:val="nil"/>
            </w:tcBorders>
            <w:vAlign w:val="center"/>
            <w:hideMark/>
          </w:tcPr>
          <w:p w14:paraId="4825E0F5"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7033F0C4"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l</w:t>
            </w:r>
          </w:p>
        </w:tc>
        <w:tc>
          <w:tcPr>
            <w:tcW w:w="940" w:type="dxa"/>
            <w:tcBorders>
              <w:top w:val="nil"/>
              <w:left w:val="nil"/>
              <w:bottom w:val="nil"/>
              <w:right w:val="nil"/>
            </w:tcBorders>
            <w:shd w:val="clear" w:color="auto" w:fill="auto"/>
            <w:noWrap/>
            <w:vAlign w:val="bottom"/>
            <w:hideMark/>
          </w:tcPr>
          <w:p w14:paraId="13A88046"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qelqey</w:t>
            </w:r>
            <w:proofErr w:type="spellEnd"/>
          </w:p>
        </w:tc>
        <w:tc>
          <w:tcPr>
            <w:tcW w:w="2180" w:type="dxa"/>
            <w:tcBorders>
              <w:top w:val="nil"/>
              <w:left w:val="nil"/>
              <w:bottom w:val="nil"/>
              <w:right w:val="single" w:sz="4" w:space="0" w:color="auto"/>
            </w:tcBorders>
            <w:shd w:val="clear" w:color="auto" w:fill="auto"/>
            <w:noWrap/>
            <w:vAlign w:val="bottom"/>
            <w:hideMark/>
          </w:tcPr>
          <w:p w14:paraId="424DB4A7"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write</w:t>
            </w:r>
          </w:p>
        </w:tc>
      </w:tr>
      <w:tr w:rsidR="00A925EF" w:rsidRPr="00A925EF" w14:paraId="17BB56A1" w14:textId="77777777" w:rsidTr="00A925EF">
        <w:trPr>
          <w:trHeight w:val="300"/>
        </w:trPr>
        <w:tc>
          <w:tcPr>
            <w:tcW w:w="64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4F486990"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o</w:t>
            </w:r>
          </w:p>
        </w:tc>
        <w:tc>
          <w:tcPr>
            <w:tcW w:w="2160" w:type="dxa"/>
            <w:tcBorders>
              <w:top w:val="single" w:sz="4" w:space="0" w:color="auto"/>
              <w:left w:val="nil"/>
              <w:bottom w:val="nil"/>
              <w:right w:val="nil"/>
            </w:tcBorders>
            <w:shd w:val="clear" w:color="auto" w:fill="auto"/>
            <w:noWrap/>
            <w:vAlign w:val="center"/>
            <w:hideMark/>
          </w:tcPr>
          <w:p w14:paraId="28069A46"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single" w:sz="4" w:space="0" w:color="auto"/>
              <w:left w:val="nil"/>
              <w:bottom w:val="nil"/>
              <w:right w:val="nil"/>
            </w:tcBorders>
            <w:shd w:val="clear" w:color="auto" w:fill="auto"/>
            <w:noWrap/>
            <w:vAlign w:val="bottom"/>
            <w:hideMark/>
          </w:tcPr>
          <w:p w14:paraId="2059248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ch'onqay</w:t>
            </w:r>
            <w:proofErr w:type="spellEnd"/>
          </w:p>
        </w:tc>
        <w:tc>
          <w:tcPr>
            <w:tcW w:w="2180" w:type="dxa"/>
            <w:tcBorders>
              <w:top w:val="single" w:sz="4" w:space="0" w:color="auto"/>
              <w:left w:val="nil"/>
              <w:bottom w:val="nil"/>
              <w:right w:val="single" w:sz="4" w:space="0" w:color="auto"/>
            </w:tcBorders>
            <w:shd w:val="clear" w:color="auto" w:fill="auto"/>
            <w:noWrap/>
            <w:vAlign w:val="bottom"/>
            <w:hideMark/>
          </w:tcPr>
          <w:p w14:paraId="16DC2D1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suck</w:t>
            </w:r>
          </w:p>
        </w:tc>
      </w:tr>
      <w:tr w:rsidR="00A925EF" w:rsidRPr="00A925EF" w14:paraId="125E7EC0"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08F70E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08F7A83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1FFD65B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morq'o</w:t>
            </w:r>
            <w:proofErr w:type="spellEnd"/>
          </w:p>
        </w:tc>
        <w:tc>
          <w:tcPr>
            <w:tcW w:w="2180" w:type="dxa"/>
            <w:tcBorders>
              <w:top w:val="nil"/>
              <w:left w:val="nil"/>
              <w:bottom w:val="nil"/>
              <w:right w:val="single" w:sz="4" w:space="0" w:color="auto"/>
            </w:tcBorders>
            <w:shd w:val="clear" w:color="auto" w:fill="auto"/>
            <w:noWrap/>
            <w:vAlign w:val="bottom"/>
            <w:hideMark/>
          </w:tcPr>
          <w:p w14:paraId="5734744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ball, round object</w:t>
            </w:r>
          </w:p>
        </w:tc>
      </w:tr>
      <w:tr w:rsidR="00A925EF" w:rsidRPr="00A925EF" w14:paraId="31A6D0E4"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4E3137E2"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single" w:sz="4" w:space="0" w:color="auto"/>
              <w:right w:val="nil"/>
            </w:tcBorders>
            <w:shd w:val="clear" w:color="auto" w:fill="auto"/>
            <w:noWrap/>
            <w:vAlign w:val="center"/>
            <w:hideMark/>
          </w:tcPr>
          <w:p w14:paraId="5139B26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s</w:t>
            </w:r>
          </w:p>
        </w:tc>
        <w:tc>
          <w:tcPr>
            <w:tcW w:w="940" w:type="dxa"/>
            <w:tcBorders>
              <w:top w:val="nil"/>
              <w:left w:val="nil"/>
              <w:bottom w:val="single" w:sz="4" w:space="0" w:color="auto"/>
              <w:right w:val="nil"/>
            </w:tcBorders>
            <w:shd w:val="clear" w:color="auto" w:fill="auto"/>
            <w:noWrap/>
            <w:vAlign w:val="bottom"/>
            <w:hideMark/>
          </w:tcPr>
          <w:p w14:paraId="2D7E7A21"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roofErr w:type="spellStart"/>
            <w:r w:rsidRPr="00A925EF">
              <w:rPr>
                <w:rFonts w:ascii="Aptos Narrow" w:eastAsia="Times New Roman" w:hAnsi="Aptos Narrow" w:cs="Times New Roman"/>
                <w:color w:val="000000"/>
                <w:kern w:val="0"/>
                <w14:ligatures w14:val="none"/>
              </w:rPr>
              <w:t>mosqoy</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682013D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dream, to dream</w:t>
            </w:r>
          </w:p>
        </w:tc>
      </w:tr>
    </w:tbl>
    <w:p w14:paraId="44621904" w14:textId="77777777" w:rsidR="006D5A68" w:rsidRDefault="006D5A68"/>
    <w:p w14:paraId="5014FDBE" w14:textId="304442D1" w:rsidR="003D4927" w:rsidRDefault="005C3BB5">
      <w:r>
        <w:tab/>
      </w:r>
      <w:r w:rsidR="00DE1CB8">
        <w:t xml:space="preserve">This situation is </w:t>
      </w:r>
      <w:proofErr w:type="gramStart"/>
      <w:r w:rsidR="00DE1CB8">
        <w:t>similar to</w:t>
      </w:r>
      <w:proofErr w:type="gramEnd"/>
      <w:r w:rsidR="00DE1CB8">
        <w:t xml:space="preserve"> what </w:t>
      </w:r>
      <w:proofErr w:type="spellStart"/>
      <w:r w:rsidR="00DE1CB8">
        <w:t>Adeelar</w:t>
      </w:r>
      <w:proofErr w:type="spellEnd"/>
      <w:r w:rsidR="00DE1CB8">
        <w:t xml:space="preserve"> (1977) records for another Quechua variety, </w:t>
      </w:r>
      <w:proofErr w:type="spellStart"/>
      <w:r w:rsidR="00DE1CB8">
        <w:t>Tarma</w:t>
      </w:r>
      <w:proofErr w:type="spellEnd"/>
      <w:r w:rsidR="00DE1CB8">
        <w:t xml:space="preserve"> Quechua. However, he claims that vowel lowering can occur across /l/ for back vowels, but not front vowels (the opposite of what is found here)</w:t>
      </w:r>
      <w:r w:rsidR="00856BAC">
        <w:t xml:space="preserve">. </w:t>
      </w:r>
      <w:r w:rsidR="003338AC">
        <w:t xml:space="preserve">Furthermore, </w:t>
      </w:r>
      <w:proofErr w:type="spellStart"/>
      <w:r w:rsidR="003338AC">
        <w:t>Steriade</w:t>
      </w:r>
      <w:proofErr w:type="spellEnd"/>
      <w:r w:rsidR="003338AC">
        <w:t xml:space="preserve"> (1995) claims that in Cochabamba Quechua, a SBQ variety, /s/ blocks vowel lowering (/</w:t>
      </w:r>
      <w:proofErr w:type="spellStart"/>
      <w:r w:rsidR="003338AC">
        <w:t>riku-sqa</w:t>
      </w:r>
      <w:proofErr w:type="spellEnd"/>
      <w:r w:rsidR="003338AC">
        <w:t xml:space="preserve">/ </w:t>
      </w:r>
      <w:r w:rsidR="003338AC">
        <w:sym w:font="Wingdings" w:char="F0E0"/>
      </w:r>
      <w:r w:rsidR="003338AC">
        <w:t xml:space="preserve"> [</w:t>
      </w:r>
      <w:proofErr w:type="spellStart"/>
      <w:r w:rsidR="003338AC">
        <w:t>rikusqa</w:t>
      </w:r>
      <w:proofErr w:type="spellEnd"/>
      <w:r w:rsidR="003338AC">
        <w:t>], “he/she had seen it”), which contradicts the data here. It is possible that the</w:t>
      </w:r>
      <w:r w:rsidR="00C03B5D">
        <w:t xml:space="preserve"> one word</w:t>
      </w:r>
      <w:r w:rsidR="003338AC">
        <w:t xml:space="preserve"> encountered in the dictionary, </w:t>
      </w:r>
      <w:proofErr w:type="spellStart"/>
      <w:r w:rsidR="003338AC">
        <w:rPr>
          <w:i/>
          <w:iCs/>
        </w:rPr>
        <w:t>mosqoy</w:t>
      </w:r>
      <w:proofErr w:type="spellEnd"/>
      <w:r w:rsidR="003338AC">
        <w:rPr>
          <w:i/>
          <w:iCs/>
        </w:rPr>
        <w:t xml:space="preserve"> </w:t>
      </w:r>
      <w:r w:rsidR="003338AC">
        <w:t xml:space="preserve">“dream, to dream” </w:t>
      </w:r>
      <w:r w:rsidR="00C03B5D">
        <w:t xml:space="preserve">is a </w:t>
      </w:r>
      <w:r w:rsidR="003338AC">
        <w:t>loanword, but this seems unlikely.</w:t>
      </w:r>
      <w:r w:rsidR="000F5D62">
        <w:t xml:space="preserve"> </w:t>
      </w:r>
    </w:p>
    <w:p w14:paraId="5D20EC50" w14:textId="4AD583B2" w:rsidR="006D5A68" w:rsidRPr="000F5D62" w:rsidRDefault="003D4927" w:rsidP="003D4927">
      <w:pPr>
        <w:ind w:firstLine="720"/>
      </w:pPr>
      <w:r>
        <w:t>T</w:t>
      </w:r>
      <w:r w:rsidR="000F5D62">
        <w:t>here is exactly one entry for the sequence /</w:t>
      </w:r>
      <w:proofErr w:type="spellStart"/>
      <w:r w:rsidR="000F5D62">
        <w:t>ulq</w:t>
      </w:r>
      <w:proofErr w:type="spellEnd"/>
      <w:r w:rsidR="000F5D62">
        <w:t xml:space="preserve">/ </w:t>
      </w:r>
      <w:proofErr w:type="spellStart"/>
      <w:r w:rsidR="000F5D62">
        <w:rPr>
          <w:i/>
          <w:iCs/>
        </w:rPr>
        <w:t>p’ulqo</w:t>
      </w:r>
      <w:proofErr w:type="spellEnd"/>
      <w:r w:rsidR="000F5D62">
        <w:t xml:space="preserve"> “baby boots made from yarn”</w:t>
      </w:r>
      <w:r>
        <w:t>, which exhibits blocking of vowel lowering for /u/. The sequence /</w:t>
      </w:r>
      <w:proofErr w:type="spellStart"/>
      <w:r>
        <w:t>wq</w:t>
      </w:r>
      <w:proofErr w:type="spellEnd"/>
      <w:r>
        <w:t xml:space="preserve">/ </w:t>
      </w:r>
      <w:r w:rsidRPr="006B4120">
        <w:rPr>
          <w:i/>
          <w:iCs/>
        </w:rPr>
        <w:t>does</w:t>
      </w:r>
      <w:r>
        <w:t xml:space="preserve"> appear, and thus legal, but not with /</w:t>
      </w:r>
      <w:proofErr w:type="spellStart"/>
      <w:r>
        <w:t>i</w:t>
      </w:r>
      <w:proofErr w:type="spellEnd"/>
      <w:r>
        <w:t xml:space="preserve">/ and /u/. </w:t>
      </w:r>
      <w:proofErr w:type="spellStart"/>
      <w:r>
        <w:t>Adeelar</w:t>
      </w:r>
      <w:proofErr w:type="spellEnd"/>
      <w:r>
        <w:t xml:space="preserve"> </w:t>
      </w:r>
      <w:r w:rsidR="003338AC">
        <w:t xml:space="preserve">(1977) </w:t>
      </w:r>
      <w:r>
        <w:t xml:space="preserve">notes that stop+/q/ sequences are </w:t>
      </w:r>
      <w:proofErr w:type="spellStart"/>
      <w:r>
        <w:t>phonotactically</w:t>
      </w:r>
      <w:proofErr w:type="spellEnd"/>
      <w:r>
        <w:t xml:space="preserve"> allowed in other dialects of Quechua,</w:t>
      </w:r>
      <w:r w:rsidR="003338AC">
        <w:t xml:space="preserve"> but such sequences are not found in this dictionary.</w:t>
      </w:r>
    </w:p>
    <w:p w14:paraId="0A4ED110" w14:textId="5C8D418C" w:rsidR="006D5A68" w:rsidRDefault="006D5A68">
      <w:r>
        <w:tab/>
        <w:t>In summary, /q/ can lower</w:t>
      </w:r>
      <w:r w:rsidR="002A04D0">
        <w:t xml:space="preserve"> a high vowel</w:t>
      </w:r>
      <w:r>
        <w:t xml:space="preserve"> in SBQ,</w:t>
      </w:r>
      <w:r w:rsidR="002A04D0">
        <w:t xml:space="preserve"> according to Lott (1978), when it occurs after a</w:t>
      </w:r>
      <w:r w:rsidR="00D96225">
        <w:t xml:space="preserve"> segment that is [-vocoid] and not a stop</w:t>
      </w:r>
      <w:r w:rsidR="003338AC">
        <w:t xml:space="preserve">, with some distinctions made between the front and back high vowel. However, due to overwhelming evidence from other studies (e.g. </w:t>
      </w:r>
      <w:proofErr w:type="spellStart"/>
      <w:r w:rsidR="003338AC">
        <w:t>Adeelar</w:t>
      </w:r>
      <w:proofErr w:type="spellEnd"/>
      <w:r w:rsidR="003338AC">
        <w:t xml:space="preserve">, 1997 and </w:t>
      </w:r>
      <w:proofErr w:type="spellStart"/>
      <w:r w:rsidR="003338AC">
        <w:t>Steriade</w:t>
      </w:r>
      <w:proofErr w:type="spellEnd"/>
      <w:r w:rsidR="003338AC">
        <w:t>, 1995), the two vowels will be treated the same in this analysis, and differences between them found in this dictionary (e.g. the occurrence [</w:t>
      </w:r>
      <w:proofErr w:type="spellStart"/>
      <w:r w:rsidR="003338AC">
        <w:t>osq</w:t>
      </w:r>
      <w:proofErr w:type="spellEnd"/>
      <w:r w:rsidR="003338AC">
        <w:t>], but not [esq])</w:t>
      </w:r>
      <w:r w:rsidR="00781416">
        <w:t xml:space="preserve"> </w:t>
      </w:r>
      <w:r w:rsidR="003338AC">
        <w:t>will be assumed to be a data availability issue</w:t>
      </w:r>
      <w:r w:rsidR="00DF49D8">
        <w:t>.</w:t>
      </w:r>
    </w:p>
    <w:p w14:paraId="6F964BA6" w14:textId="0F12DA8A" w:rsidR="006322F3" w:rsidRDefault="00F207AB" w:rsidP="00942C5A">
      <w:pPr>
        <w:pStyle w:val="Heading2"/>
      </w:pPr>
      <w:r>
        <w:t xml:space="preserve">Spreading of </w:t>
      </w:r>
      <w:r w:rsidR="00BB0EC0">
        <w:t>PHARYNGEAL</w:t>
      </w:r>
    </w:p>
    <w:p w14:paraId="13DB3356" w14:textId="4199470D" w:rsidR="00D62A2C" w:rsidRDefault="00942C5A" w:rsidP="003338AC">
      <w:r>
        <w:tab/>
      </w:r>
      <w:r w:rsidR="00DF49D8">
        <w:t xml:space="preserve">Within Clements &amp; Hume’s feature tree (1995), it is difficult to represent vowel lowering triggered by a consonant. The feature [-high] could be said to spread from /q/ to the vowel’s DORSAL node. However, height features are typically grouped under the APERTURE node, and there </w:t>
      </w:r>
      <w:r w:rsidR="00DF49D8">
        <w:lastRenderedPageBreak/>
        <w:t>is no transparent or motivated way for a feature [-high], which is held under the DORSAL node</w:t>
      </w:r>
      <w:r w:rsidR="006B4120">
        <w:t xml:space="preserve"> of the consonant</w:t>
      </w:r>
      <w:r w:rsidR="00DF49D8">
        <w:t>, to spread to the APERTURE node</w:t>
      </w:r>
      <w:r w:rsidR="006B4120">
        <w:t xml:space="preserve"> of the vowel</w:t>
      </w:r>
      <w:r w:rsidR="00DF49D8">
        <w:t>.</w:t>
      </w:r>
    </w:p>
    <w:p w14:paraId="12364B17" w14:textId="787FFEE1" w:rsidR="00DF49D8" w:rsidRDefault="00DF49D8" w:rsidP="003338AC">
      <w:r>
        <w:tab/>
        <w:t>McCarthy’s feature tree (1988) provides a more transparent and succinct representation of vowel lowering in this case. According to Rose (1996), taking McCarthy’s tree as a base, /q/ has both ORAL and PHARYNGEAL nodes dominated by PLACE. The ORAL nodes dominate DORSAL, whereas the PHARYNGEAL node dominates the terminal feature node [RTR] (Figure 1).</w:t>
      </w:r>
      <w:r w:rsidR="003D25F0">
        <w:t xml:space="preserve"> </w:t>
      </w:r>
      <w:r w:rsidR="007C2AAE">
        <w:rPr>
          <w:rFonts w:eastAsia="Times New Roman" w:cs="Arial"/>
          <w:color w:val="000000"/>
          <w:kern w:val="0"/>
          <w14:ligatures w14:val="none"/>
        </w:rPr>
        <w:t xml:space="preserve">Within her analysis, vowel </w:t>
      </w:r>
      <w:proofErr w:type="gramStart"/>
      <w:r w:rsidR="007C2AAE">
        <w:rPr>
          <w:rFonts w:eastAsia="Times New Roman" w:cs="Arial"/>
          <w:color w:val="000000"/>
          <w:kern w:val="0"/>
          <w14:ligatures w14:val="none"/>
        </w:rPr>
        <w:t>lowering</w:t>
      </w:r>
      <w:proofErr w:type="gramEnd"/>
      <w:r w:rsidR="007C2AAE">
        <w:rPr>
          <w:rFonts w:eastAsia="Times New Roman" w:cs="Arial"/>
          <w:color w:val="000000"/>
          <w:kern w:val="0"/>
          <w14:ligatures w14:val="none"/>
        </w:rPr>
        <w:t xml:space="preserve"> and vowel retraction is explained by the independent spreading of PHARYNGEAL and [RTR], respectively.</w:t>
      </w:r>
    </w:p>
    <w:p w14:paraId="4AC9A229" w14:textId="77777777" w:rsidR="003D25F0" w:rsidRDefault="003D25F0" w:rsidP="003D25F0">
      <w:pPr>
        <w:keepNext/>
      </w:pPr>
      <w:r w:rsidRPr="003D25F0">
        <w:rPr>
          <w:rFonts w:eastAsia="Times New Roman" w:cs="Arial"/>
          <w:noProof/>
          <w:color w:val="000000"/>
          <w:kern w:val="0"/>
          <w14:ligatures w14:val="none"/>
        </w:rPr>
        <w:drawing>
          <wp:inline distT="0" distB="0" distL="0" distR="0" wp14:anchorId="67863CDC" wp14:editId="6F2FABE1">
            <wp:extent cx="1267002" cy="1009791"/>
            <wp:effectExtent l="0" t="0" r="9525" b="0"/>
            <wp:docPr id="6134966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669" name="Picture 1" descr="A diagram of a structure&#10;&#10;Description automatically generated"/>
                    <pic:cNvPicPr/>
                  </pic:nvPicPr>
                  <pic:blipFill>
                    <a:blip r:embed="rId5"/>
                    <a:stretch>
                      <a:fillRect/>
                    </a:stretch>
                  </pic:blipFill>
                  <pic:spPr>
                    <a:xfrm>
                      <a:off x="0" y="0"/>
                      <a:ext cx="1267002" cy="1009791"/>
                    </a:xfrm>
                    <a:prstGeom prst="rect">
                      <a:avLst/>
                    </a:prstGeom>
                  </pic:spPr>
                </pic:pic>
              </a:graphicData>
            </a:graphic>
          </wp:inline>
        </w:drawing>
      </w:r>
    </w:p>
    <w:p w14:paraId="16975A44" w14:textId="6F566C50" w:rsidR="003D25F0" w:rsidRDefault="003D25F0" w:rsidP="003D25F0">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sidR="006B4120">
        <w:rPr>
          <w:noProof/>
        </w:rPr>
        <w:t>1</w:t>
      </w:r>
      <w:r>
        <w:fldChar w:fldCharType="end"/>
      </w:r>
      <w:r>
        <w:t xml:space="preserve">. </w:t>
      </w:r>
      <w:r>
        <w:rPr>
          <w:i w:val="0"/>
          <w:iCs w:val="0"/>
        </w:rPr>
        <w:t>Feature geometry of /q/ (Rose, 1995).</w:t>
      </w:r>
    </w:p>
    <w:p w14:paraId="0A452EE7" w14:textId="7A296A70" w:rsidR="000406F6" w:rsidRDefault="003D25F0" w:rsidP="003D25F0">
      <w:pPr>
        <w:rPr>
          <w:rFonts w:eastAsia="Times New Roman" w:cs="Arial"/>
          <w:color w:val="000000"/>
          <w:kern w:val="0"/>
          <w14:ligatures w14:val="none"/>
        </w:rPr>
      </w:pPr>
      <w:r>
        <w:rPr>
          <w:rFonts w:eastAsia="Times New Roman" w:cs="Arial"/>
          <w:color w:val="000000"/>
          <w:kern w:val="0"/>
          <w14:ligatures w14:val="none"/>
        </w:rPr>
        <w:tab/>
      </w:r>
      <w:r w:rsidR="007C2AAE">
        <w:rPr>
          <w:rFonts w:eastAsia="Times New Roman" w:cs="Arial"/>
          <w:color w:val="000000"/>
          <w:kern w:val="0"/>
          <w14:ligatures w14:val="none"/>
        </w:rPr>
        <w:t>This provides a succinct way to explain vowel lowering in Quechua</w:t>
      </w:r>
      <w:r w:rsidR="000406F6">
        <w:rPr>
          <w:rFonts w:eastAsia="Times New Roman" w:cs="Arial"/>
          <w:color w:val="000000"/>
          <w:kern w:val="0"/>
          <w14:ligatures w14:val="none"/>
        </w:rPr>
        <w:t xml:space="preserve"> (Figure 2)</w:t>
      </w:r>
      <w:r w:rsidR="007C2AAE">
        <w:rPr>
          <w:rFonts w:eastAsia="Times New Roman" w:cs="Arial"/>
          <w:color w:val="000000"/>
          <w:kern w:val="0"/>
          <w14:ligatures w14:val="none"/>
        </w:rPr>
        <w:t xml:space="preserve">, and the flexibility of spreading the PHARYNGEAL node and the [RTR] node independently or jointly allows for generalizations to be made across Quechua dialects. That is, in SBQ, only vowel lowering is noted. However, </w:t>
      </w:r>
      <w:proofErr w:type="spellStart"/>
      <w:r w:rsidR="007C2AAE">
        <w:rPr>
          <w:rFonts w:eastAsia="Times New Roman" w:cs="Arial"/>
          <w:color w:val="000000"/>
          <w:kern w:val="0"/>
          <w14:ligatures w14:val="none"/>
        </w:rPr>
        <w:t>Adeelar</w:t>
      </w:r>
      <w:proofErr w:type="spellEnd"/>
      <w:r w:rsidR="007C2AAE">
        <w:rPr>
          <w:rFonts w:eastAsia="Times New Roman" w:cs="Arial"/>
          <w:color w:val="000000"/>
          <w:kern w:val="0"/>
          <w14:ligatures w14:val="none"/>
        </w:rPr>
        <w:t xml:space="preserve"> (1977) records that in </w:t>
      </w:r>
      <w:proofErr w:type="spellStart"/>
      <w:r w:rsidR="007C2AAE">
        <w:rPr>
          <w:rFonts w:eastAsia="Times New Roman" w:cs="Arial"/>
          <w:color w:val="000000"/>
          <w:kern w:val="0"/>
          <w14:ligatures w14:val="none"/>
        </w:rPr>
        <w:t>Tarma</w:t>
      </w:r>
      <w:proofErr w:type="spellEnd"/>
      <w:r w:rsidR="007C2AAE">
        <w:rPr>
          <w:rFonts w:eastAsia="Times New Roman" w:cs="Arial"/>
          <w:color w:val="000000"/>
          <w:kern w:val="0"/>
          <w14:ligatures w14:val="none"/>
        </w:rPr>
        <w:t xml:space="preserve"> Quechua, the high vowels can be lowered and/or retracted. Since these two phenomena are clearly related, occurring in the same environments, it makes sense for the spreading features to be related in the tree. </w:t>
      </w:r>
    </w:p>
    <w:p w14:paraId="1EFBB698" w14:textId="2CDB9776" w:rsidR="000406F6" w:rsidRDefault="006B4120" w:rsidP="000406F6">
      <w:pPr>
        <w:keepNext/>
      </w:pPr>
      <w:r>
        <w:rPr>
          <w:noProof/>
        </w:rPr>
        <w:drawing>
          <wp:inline distT="0" distB="0" distL="0" distR="0" wp14:anchorId="093F9003" wp14:editId="142DA33A">
            <wp:extent cx="2238375" cy="1307566"/>
            <wp:effectExtent l="0" t="0" r="0" b="6985"/>
            <wp:docPr id="2132815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7385" cy="1312829"/>
                    </a:xfrm>
                    <a:prstGeom prst="rect">
                      <a:avLst/>
                    </a:prstGeom>
                    <a:noFill/>
                    <a:ln>
                      <a:noFill/>
                    </a:ln>
                  </pic:spPr>
                </pic:pic>
              </a:graphicData>
            </a:graphic>
          </wp:inline>
        </w:drawing>
      </w:r>
    </w:p>
    <w:p w14:paraId="750D6C2B" w14:textId="5AE9538F" w:rsidR="000406F6" w:rsidRDefault="000406F6" w:rsidP="000406F6">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sidR="006B4120">
        <w:rPr>
          <w:noProof/>
        </w:rPr>
        <w:t>2</w:t>
      </w:r>
      <w:r>
        <w:fldChar w:fldCharType="end"/>
      </w:r>
      <w:r>
        <w:t xml:space="preserve">. </w:t>
      </w:r>
      <w:r>
        <w:rPr>
          <w:i w:val="0"/>
          <w:iCs w:val="0"/>
        </w:rPr>
        <w:t>Spreading of PHARYNGEAL to account for vowel lowering in SBQ.</w:t>
      </w:r>
    </w:p>
    <w:p w14:paraId="0833208B" w14:textId="1EFB86C3" w:rsidR="000406F6" w:rsidRDefault="000406F6" w:rsidP="000406F6">
      <w:pPr>
        <w:ind w:firstLine="720"/>
        <w:rPr>
          <w:rFonts w:eastAsia="Times New Roman" w:cs="Arial"/>
          <w:color w:val="000000"/>
          <w:kern w:val="0"/>
          <w14:ligatures w14:val="none"/>
        </w:rPr>
      </w:pPr>
      <w:r>
        <w:rPr>
          <w:rFonts w:eastAsia="Times New Roman" w:cs="Arial"/>
          <w:color w:val="000000"/>
          <w:kern w:val="0"/>
          <w14:ligatures w14:val="none"/>
        </w:rPr>
        <w:t xml:space="preserve">Clements &amp; Hume (1995) would not have an easy way to represent these related phenomena. As written previously, the feature [-high] spreading from /q/ to the vowel could account for vowel lowering, but vowel retraction would be harder to explain. They do not use the feature [ATR] or [RTR] in their tree, and the feature [+back] does not make sense to account for vowel retraction since it would be difficult to justify describe [e] as [+back]. </w:t>
      </w:r>
    </w:p>
    <w:p w14:paraId="6E1F128F" w14:textId="399C4DF9" w:rsidR="000406F6" w:rsidRDefault="00C03B5D" w:rsidP="000406F6">
      <w:pPr>
        <w:pStyle w:val="Heading2"/>
      </w:pPr>
      <w:r>
        <w:t>Spreading Across Consonants</w:t>
      </w:r>
    </w:p>
    <w:p w14:paraId="5CAF4917" w14:textId="77777777" w:rsidR="00C03B5D" w:rsidRDefault="000406F6" w:rsidP="000406F6">
      <w:r>
        <w:tab/>
      </w:r>
      <w:r w:rsidR="00C03B5D">
        <w:t>The spreading of PHARYNGEAL across consonants will now be treated. As explained previously, it will be assumed that vowel spreading can occur across the consonants /n r l s/. Although it is tempting to see the natural class [coronal] in this set, it seems unlikely that [coronal] itself would be relevant here, especially because it is missing /t/.</w:t>
      </w:r>
    </w:p>
    <w:p w14:paraId="1CC30156" w14:textId="77777777" w:rsidR="00847CF2" w:rsidRDefault="00C03B5D" w:rsidP="00847CF2">
      <w:r>
        <w:lastRenderedPageBreak/>
        <w:tab/>
        <w:t>A more convincing explanation comes from</w:t>
      </w:r>
      <w:r w:rsidR="00847CF2">
        <w:t xml:space="preserve"> an appeal</w:t>
      </w:r>
      <w:r>
        <w:t xml:space="preserve"> to </w:t>
      </w:r>
      <w:proofErr w:type="spellStart"/>
      <w:r>
        <w:t>underspecification</w:t>
      </w:r>
      <w:proofErr w:type="spellEnd"/>
      <w:r>
        <w:t>.</w:t>
      </w:r>
      <w:r w:rsidR="00847CF2">
        <w:t xml:space="preserve"> I propose that coronal segments are placeless in Quechua and that PHARYNGEAL can only spread over a placeless segment. This leaves me with the task of justifying that the remaining non-coronal segments are specified for PLACE in the underlying representation. Avery &amp; Rice (1989) claim that only contrasts are recorded in the underlying representation. For example, in Catalan, PLACE is only specified for the bilabial, palatal, and velar nasals, whereas the alveolar nasal is placeless. The same situation can be seen here. /s/ seems the most difficult to justify as placeless, but I claim that PLACE is not actually a distinctive feature for it underlyingly, as it can contrast with sonorants, using [-sonorant] and the stop </w:t>
      </w:r>
      <w:proofErr w:type="spellStart"/>
      <w:r w:rsidR="00847CF2">
        <w:t>obstruents</w:t>
      </w:r>
      <w:proofErr w:type="spellEnd"/>
      <w:r w:rsidR="00847CF2">
        <w:t xml:space="preserve"> by using [+continuant]. Therefore, /s/ in Quechua is placeless and later filled in with the default CORONAL.</w:t>
      </w:r>
    </w:p>
    <w:p w14:paraId="1C23EF2B" w14:textId="77777777" w:rsidR="006B4120" w:rsidRDefault="006B4120" w:rsidP="006B4120">
      <w:pPr>
        <w:keepNext/>
      </w:pPr>
      <w:r>
        <w:rPr>
          <w:noProof/>
        </w:rPr>
        <w:drawing>
          <wp:inline distT="0" distB="0" distL="0" distR="0" wp14:anchorId="230F87E2" wp14:editId="7149824D">
            <wp:extent cx="5943600" cy="2228850"/>
            <wp:effectExtent l="0" t="0" r="0" b="0"/>
            <wp:docPr id="111305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6D3125F" w14:textId="7E20D870" w:rsidR="006B4120" w:rsidRDefault="006B4120" w:rsidP="006B412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iCs w:val="0"/>
        </w:rPr>
        <w:t>/q/ lowers a [+high] V over an underlyingly placeless consonant /r/.</w:t>
      </w:r>
    </w:p>
    <w:p w14:paraId="6216F76C" w14:textId="1AEDAA00" w:rsidR="00991562" w:rsidRDefault="00847CF2" w:rsidP="00847CF2">
      <w:r>
        <w:tab/>
        <w:t xml:space="preserve">The remaining issue is the treatment of /t/. According to </w:t>
      </w:r>
      <w:proofErr w:type="spellStart"/>
      <w:r>
        <w:t>Adeelar</w:t>
      </w:r>
      <w:proofErr w:type="spellEnd"/>
      <w:r>
        <w:t xml:space="preserve"> (1977), the sequence /</w:t>
      </w:r>
      <w:proofErr w:type="spellStart"/>
      <w:r>
        <w:t>tq</w:t>
      </w:r>
      <w:proofErr w:type="spellEnd"/>
      <w:r>
        <w:t xml:space="preserve">/ is allowed in </w:t>
      </w:r>
      <w:proofErr w:type="spellStart"/>
      <w:r>
        <w:t>Tarma</w:t>
      </w:r>
      <w:proofErr w:type="spellEnd"/>
      <w:r>
        <w:t xml:space="preserve"> Quechua, but that sequence does not appear in the dictionary under analysis for SBQ. Under the current analysis, /t/ would also be treated as placeless. Just as is the case with the Catalan nasals, /t/’s PLACE node would be filled in with [CORONAL] by a default rule, whereas /p/ and /k/ would be specified for PLACE. Thus, it is predicted that /t/ would be transparent to the vowel lowering effects of /q/ in a sequence /</w:t>
      </w:r>
      <w:proofErr w:type="spellStart"/>
      <w:r>
        <w:t>itq</w:t>
      </w:r>
      <w:proofErr w:type="spellEnd"/>
      <w:r>
        <w:t>/ or /</w:t>
      </w:r>
      <w:proofErr w:type="spellStart"/>
      <w:r>
        <w:t>utq</w:t>
      </w:r>
      <w:proofErr w:type="spellEnd"/>
      <w:r>
        <w:t>/.</w:t>
      </w:r>
      <w:r w:rsidR="00991562">
        <w:t xml:space="preserve"> </w:t>
      </w:r>
      <w:proofErr w:type="gramStart"/>
      <w:r w:rsidR="00991562">
        <w:t>In order to</w:t>
      </w:r>
      <w:proofErr w:type="gramEnd"/>
      <w:r w:rsidR="00991562">
        <w:t xml:space="preserve"> determine the legitimacy of this prediction, more data, especially sentence-level data, would be needed.</w:t>
      </w:r>
    </w:p>
    <w:p w14:paraId="2188CCAB" w14:textId="77777777" w:rsidR="00991562" w:rsidRDefault="00991562" w:rsidP="00991562">
      <w:pPr>
        <w:pStyle w:val="Heading1"/>
      </w:pPr>
      <w:r>
        <w:t>Conclusion</w:t>
      </w:r>
    </w:p>
    <w:p w14:paraId="1EECEB1E" w14:textId="3A027F2E" w:rsidR="006322F3" w:rsidRPr="00847CF2" w:rsidRDefault="00991562" w:rsidP="00847CF2">
      <w:r>
        <w:tab/>
        <w:t>Through the feature geometry presented by Rose (1996), I have justified the spreading of PHARYNGEAL as the source of /q/ lowering high vowels in South Bolivian Quechua. The node can spread over placeless segments /n r l s/, and it is predicted that it will also spread over /t/. Further data is needed to determine discrepancies between the current dataset (Lott, 1978) and others (</w:t>
      </w:r>
      <w:proofErr w:type="spellStart"/>
      <w:r>
        <w:t>Adeelar</w:t>
      </w:r>
      <w:proofErr w:type="spellEnd"/>
      <w:r>
        <w:t xml:space="preserve">, 1977; </w:t>
      </w:r>
      <w:proofErr w:type="spellStart"/>
      <w:r>
        <w:t>Steriade</w:t>
      </w:r>
      <w:proofErr w:type="spellEnd"/>
      <w:r>
        <w:t>, 1995), such as the possible segments that are transparent to vowel lowering and asymmetries between the distribution of those segments and /</w:t>
      </w:r>
      <w:proofErr w:type="spellStart"/>
      <w:r>
        <w:t>i</w:t>
      </w:r>
      <w:proofErr w:type="spellEnd"/>
      <w:r>
        <w:t xml:space="preserve">/ or /u/. </w:t>
      </w:r>
      <w:r w:rsidR="006322F3" w:rsidRPr="00D62A2C">
        <w:br w:type="page"/>
      </w:r>
    </w:p>
    <w:p w14:paraId="5FE59B63" w14:textId="73E12247" w:rsidR="00600AB9" w:rsidRPr="00991562" w:rsidRDefault="00600AB9" w:rsidP="00600AB9">
      <w:pPr>
        <w:rPr>
          <w:rStyle w:val="IntenseReference"/>
        </w:rPr>
      </w:pPr>
      <w:r w:rsidRPr="00991562">
        <w:rPr>
          <w:rStyle w:val="IntenseReference"/>
        </w:rPr>
        <w:lastRenderedPageBreak/>
        <w:t>References</w:t>
      </w:r>
    </w:p>
    <w:p w14:paraId="2D9222BC" w14:textId="77777777" w:rsidR="00991562" w:rsidRPr="00991562" w:rsidRDefault="00991562" w:rsidP="00991562">
      <w:r w:rsidRPr="00991562">
        <w:t xml:space="preserve">Adelaar, W. F. (1977). </w:t>
      </w:r>
      <w:proofErr w:type="spellStart"/>
      <w:r w:rsidRPr="00991562">
        <w:rPr>
          <w:i/>
          <w:iCs/>
        </w:rPr>
        <w:t>Tarma</w:t>
      </w:r>
      <w:proofErr w:type="spellEnd"/>
      <w:r w:rsidRPr="00991562">
        <w:rPr>
          <w:i/>
          <w:iCs/>
        </w:rPr>
        <w:t xml:space="preserve"> Quechua: Grammar, Texts, Dictionary</w:t>
      </w:r>
      <w:r w:rsidRPr="00991562">
        <w:t>. The Peter de Ridder Press.</w:t>
      </w:r>
    </w:p>
    <w:p w14:paraId="5A4B502D" w14:textId="77777777" w:rsidR="00991562" w:rsidRDefault="00991562" w:rsidP="00991562">
      <w:r w:rsidRPr="00991562">
        <w:t xml:space="preserve">Avery, P., &amp; Rice, K. (1989). Segment structure and coronal </w:t>
      </w:r>
      <w:proofErr w:type="spellStart"/>
      <w:r w:rsidRPr="00991562">
        <w:t>underspecification</w:t>
      </w:r>
      <w:proofErr w:type="spellEnd"/>
      <w:r w:rsidRPr="00991562">
        <w:t xml:space="preserve">. </w:t>
      </w:r>
      <w:r w:rsidRPr="00991562">
        <w:rPr>
          <w:i/>
          <w:iCs/>
        </w:rPr>
        <w:t>Phonology, 6</w:t>
      </w:r>
      <w:r w:rsidRPr="00991562">
        <w:t>(2), 179–200. Cambridge University Press.</w:t>
      </w:r>
    </w:p>
    <w:p w14:paraId="1037C8E2" w14:textId="09047D8D" w:rsidR="00991562" w:rsidRDefault="00991562" w:rsidP="00991562">
      <w:r w:rsidRPr="00991562">
        <w:t xml:space="preserve">Bills, G. D., Vallejo, B. C., &amp; Troike, R. C. (1969). </w:t>
      </w:r>
      <w:r w:rsidRPr="00991562">
        <w:rPr>
          <w:i/>
          <w:iCs/>
        </w:rPr>
        <w:t>An introduction to spoken Bolivian Quechua</w:t>
      </w:r>
      <w:r w:rsidRPr="00991562">
        <w:t>. Special publication of the Institute of Latin American Studies, the University of Texas at Austin. Published for the Institute of Latin American Studies by the University of Texas Press.</w:t>
      </w:r>
    </w:p>
    <w:p w14:paraId="164FABF0" w14:textId="4D0692BA" w:rsidR="00991562" w:rsidRPr="00991562" w:rsidRDefault="00991562" w:rsidP="00991562">
      <w:r w:rsidRPr="00991562">
        <w:t xml:space="preserve">Clements, G. N. (1995). The internal organization of speech sounds. In </w:t>
      </w:r>
      <w:r w:rsidRPr="00991562">
        <w:rPr>
          <w:i/>
          <w:iCs/>
        </w:rPr>
        <w:t>The Handbook of Phonological Theory</w:t>
      </w:r>
      <w:r w:rsidRPr="00991562">
        <w:t>. Blackwell Publishers.</w:t>
      </w:r>
    </w:p>
    <w:p w14:paraId="0983C4A6" w14:textId="77777777" w:rsidR="00991562" w:rsidRPr="00991562" w:rsidRDefault="00991562" w:rsidP="00991562">
      <w:r w:rsidRPr="00991562">
        <w:t xml:space="preserve">Coronel-Molina, S. M. (1997). Corpus planning for the Southern Peruvian Quechua language. </w:t>
      </w:r>
      <w:r w:rsidRPr="00991562">
        <w:rPr>
          <w:i/>
          <w:iCs/>
        </w:rPr>
        <w:t>Working Papers in Educational Linguistics, 12</w:t>
      </w:r>
      <w:r w:rsidRPr="00991562">
        <w:t>(2), 1–27. ERIC.</w:t>
      </w:r>
    </w:p>
    <w:p w14:paraId="1F1BB919" w14:textId="19A26858" w:rsidR="00991562" w:rsidRPr="00991562" w:rsidRDefault="00991562" w:rsidP="00991562">
      <w:r w:rsidRPr="00991562">
        <w:t>Lott, P. S. (</w:t>
      </w:r>
      <w:r>
        <w:t>1978</w:t>
      </w:r>
      <w:r w:rsidRPr="00991562">
        <w:t xml:space="preserve">). </w:t>
      </w:r>
      <w:r w:rsidRPr="00991562">
        <w:rPr>
          <w:i/>
          <w:iCs/>
        </w:rPr>
        <w:t>Bolivian Quechua - English Dictionary</w:t>
      </w:r>
      <w:r w:rsidRPr="00991562">
        <w:t>.</w:t>
      </w:r>
    </w:p>
    <w:p w14:paraId="0598AEAE" w14:textId="77777777" w:rsidR="00991562" w:rsidRPr="00991562" w:rsidRDefault="00991562" w:rsidP="00991562">
      <w:r w:rsidRPr="00991562">
        <w:t xml:space="preserve">Molina-Vital, C. (2020, October 4). </w:t>
      </w:r>
      <w:r w:rsidRPr="00991562">
        <w:rPr>
          <w:i/>
          <w:iCs/>
        </w:rPr>
        <w:t>Numbers in Southern Quechua</w:t>
      </w:r>
      <w:r w:rsidRPr="00991562">
        <w:t xml:space="preserve"> [Video]. YouTube. </w:t>
      </w:r>
      <w:hyperlink r:id="rId8" w:tgtFrame="_new" w:history="1">
        <w:r w:rsidRPr="00991562">
          <w:rPr>
            <w:rStyle w:val="Hyperlink"/>
          </w:rPr>
          <w:t>https://www.youtube.com/watch?app=desktop&amp;v=qJmjDzVrKYw&amp;ab_channel=CarlosMolina-Vital</w:t>
        </w:r>
      </w:hyperlink>
    </w:p>
    <w:p w14:paraId="4D71FE56" w14:textId="77777777" w:rsidR="00991562" w:rsidRPr="00991562" w:rsidRDefault="00991562" w:rsidP="00991562">
      <w:r w:rsidRPr="00991562">
        <w:t xml:space="preserve">Rose, S. (1996). Variable laryngeals and vowel lowering. </w:t>
      </w:r>
      <w:r w:rsidRPr="00991562">
        <w:rPr>
          <w:i/>
          <w:iCs/>
        </w:rPr>
        <w:t>Phonology, 13</w:t>
      </w:r>
      <w:r w:rsidRPr="00991562">
        <w:t>(1), 73–117. Cambridge University Press.</w:t>
      </w:r>
    </w:p>
    <w:p w14:paraId="2936FAC4" w14:textId="77777777" w:rsidR="00991562" w:rsidRPr="00991562" w:rsidRDefault="00991562" w:rsidP="00991562">
      <w:pPr>
        <w:rPr>
          <w:lang w:val="es-ES"/>
        </w:rPr>
      </w:pPr>
      <w:proofErr w:type="spellStart"/>
      <w:r w:rsidRPr="00991562">
        <w:t>Steriade</w:t>
      </w:r>
      <w:proofErr w:type="spellEnd"/>
      <w:r w:rsidRPr="00991562">
        <w:t xml:space="preserve">, D. (1995). </w:t>
      </w:r>
      <w:proofErr w:type="spellStart"/>
      <w:r w:rsidRPr="00991562">
        <w:t>Underspecification</w:t>
      </w:r>
      <w:proofErr w:type="spellEnd"/>
      <w:r w:rsidRPr="00991562">
        <w:t xml:space="preserve"> and markedness. In </w:t>
      </w:r>
      <w:r w:rsidRPr="00991562">
        <w:rPr>
          <w:i/>
          <w:iCs/>
        </w:rPr>
        <w:t>The Handbook of Phonological Theory</w:t>
      </w:r>
      <w:r w:rsidRPr="00991562">
        <w:t xml:space="preserve">. </w:t>
      </w:r>
      <w:r w:rsidRPr="00991562">
        <w:rPr>
          <w:lang w:val="es-ES"/>
        </w:rPr>
        <w:t>Blackwell.</w:t>
      </w:r>
    </w:p>
    <w:p w14:paraId="3D3EFCA8" w14:textId="77777777" w:rsidR="00991562" w:rsidRPr="00991562" w:rsidRDefault="00991562" w:rsidP="00991562">
      <w:pPr>
        <w:rPr>
          <w:lang w:val="es-ES"/>
        </w:rPr>
      </w:pPr>
      <w:r w:rsidRPr="00991562">
        <w:rPr>
          <w:lang w:val="es-ES"/>
        </w:rPr>
        <w:t xml:space="preserve">Torero, A. (1983). La familia lingüística quechua. In </w:t>
      </w:r>
      <w:r w:rsidRPr="00991562">
        <w:rPr>
          <w:i/>
          <w:iCs/>
          <w:lang w:val="es-ES"/>
        </w:rPr>
        <w:t>América Latina en sus lenguas indígenas</w:t>
      </w:r>
      <w:r w:rsidRPr="00991562">
        <w:rPr>
          <w:lang w:val="es-ES"/>
        </w:rPr>
        <w:t xml:space="preserve"> (pp. 61–92). Monte Ávila Editores Caracas.</w:t>
      </w:r>
    </w:p>
    <w:sectPr w:rsidR="00991562" w:rsidRPr="0099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0"/>
    <w:rsid w:val="00016488"/>
    <w:rsid w:val="000406F6"/>
    <w:rsid w:val="00080D30"/>
    <w:rsid w:val="000F5D62"/>
    <w:rsid w:val="00285B18"/>
    <w:rsid w:val="002A04D0"/>
    <w:rsid w:val="00325008"/>
    <w:rsid w:val="003338AC"/>
    <w:rsid w:val="003D25F0"/>
    <w:rsid w:val="003D4927"/>
    <w:rsid w:val="004016C5"/>
    <w:rsid w:val="004E56CF"/>
    <w:rsid w:val="005144C9"/>
    <w:rsid w:val="00530CE6"/>
    <w:rsid w:val="005465A6"/>
    <w:rsid w:val="00583105"/>
    <w:rsid w:val="005C3BB5"/>
    <w:rsid w:val="00600AB9"/>
    <w:rsid w:val="006041DB"/>
    <w:rsid w:val="0060634A"/>
    <w:rsid w:val="006322F3"/>
    <w:rsid w:val="0069727C"/>
    <w:rsid w:val="006B4120"/>
    <w:rsid w:val="006B559E"/>
    <w:rsid w:val="006D5A68"/>
    <w:rsid w:val="006F5FF8"/>
    <w:rsid w:val="00727AFB"/>
    <w:rsid w:val="00781416"/>
    <w:rsid w:val="007C2AAE"/>
    <w:rsid w:val="007E1FFC"/>
    <w:rsid w:val="007E5BD0"/>
    <w:rsid w:val="00847CF2"/>
    <w:rsid w:val="00856BAC"/>
    <w:rsid w:val="00903809"/>
    <w:rsid w:val="00942C5A"/>
    <w:rsid w:val="00991562"/>
    <w:rsid w:val="009A5115"/>
    <w:rsid w:val="00A13D6D"/>
    <w:rsid w:val="00A827B2"/>
    <w:rsid w:val="00A925EF"/>
    <w:rsid w:val="00AD4C78"/>
    <w:rsid w:val="00B1716A"/>
    <w:rsid w:val="00BB0EC0"/>
    <w:rsid w:val="00C03B5D"/>
    <w:rsid w:val="00C06C8C"/>
    <w:rsid w:val="00CE7BD5"/>
    <w:rsid w:val="00D02E4C"/>
    <w:rsid w:val="00D62A2C"/>
    <w:rsid w:val="00D96225"/>
    <w:rsid w:val="00DE1CB8"/>
    <w:rsid w:val="00DF49D8"/>
    <w:rsid w:val="00E61339"/>
    <w:rsid w:val="00EB34B3"/>
    <w:rsid w:val="00ED7330"/>
    <w:rsid w:val="00F207AB"/>
    <w:rsid w:val="00F20AE0"/>
    <w:rsid w:val="00F34690"/>
    <w:rsid w:val="00F6429D"/>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D296"/>
  <w15:chartTrackingRefBased/>
  <w15:docId w15:val="{69C9372D-4EF5-4738-AC0C-5E62531F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D0"/>
  </w:style>
  <w:style w:type="paragraph" w:styleId="Heading1">
    <w:name w:val="heading 1"/>
    <w:basedOn w:val="Normal"/>
    <w:next w:val="Normal"/>
    <w:link w:val="Heading1Char"/>
    <w:uiPriority w:val="9"/>
    <w:qFormat/>
    <w:rsid w:val="007E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BD0"/>
    <w:rPr>
      <w:rFonts w:eastAsiaTheme="majorEastAsia" w:cstheme="majorBidi"/>
      <w:color w:val="272727" w:themeColor="text1" w:themeTint="D8"/>
    </w:rPr>
  </w:style>
  <w:style w:type="paragraph" w:styleId="Title">
    <w:name w:val="Title"/>
    <w:basedOn w:val="Normal"/>
    <w:next w:val="Normal"/>
    <w:link w:val="TitleChar"/>
    <w:uiPriority w:val="10"/>
    <w:qFormat/>
    <w:rsid w:val="007E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BD0"/>
    <w:pPr>
      <w:spacing w:before="160"/>
      <w:jc w:val="center"/>
    </w:pPr>
    <w:rPr>
      <w:i/>
      <w:iCs/>
      <w:color w:val="404040" w:themeColor="text1" w:themeTint="BF"/>
    </w:rPr>
  </w:style>
  <w:style w:type="character" w:customStyle="1" w:styleId="QuoteChar">
    <w:name w:val="Quote Char"/>
    <w:basedOn w:val="DefaultParagraphFont"/>
    <w:link w:val="Quote"/>
    <w:uiPriority w:val="29"/>
    <w:rsid w:val="007E5BD0"/>
    <w:rPr>
      <w:i/>
      <w:iCs/>
      <w:color w:val="404040" w:themeColor="text1" w:themeTint="BF"/>
    </w:rPr>
  </w:style>
  <w:style w:type="paragraph" w:styleId="ListParagraph">
    <w:name w:val="List Paragraph"/>
    <w:basedOn w:val="Normal"/>
    <w:uiPriority w:val="34"/>
    <w:qFormat/>
    <w:rsid w:val="007E5BD0"/>
    <w:pPr>
      <w:ind w:left="720"/>
      <w:contextualSpacing/>
    </w:pPr>
  </w:style>
  <w:style w:type="character" w:styleId="IntenseEmphasis">
    <w:name w:val="Intense Emphasis"/>
    <w:basedOn w:val="DefaultParagraphFont"/>
    <w:uiPriority w:val="21"/>
    <w:qFormat/>
    <w:rsid w:val="007E5BD0"/>
    <w:rPr>
      <w:i/>
      <w:iCs/>
      <w:color w:val="0F4761" w:themeColor="accent1" w:themeShade="BF"/>
    </w:rPr>
  </w:style>
  <w:style w:type="paragraph" w:styleId="IntenseQuote">
    <w:name w:val="Intense Quote"/>
    <w:basedOn w:val="Normal"/>
    <w:next w:val="Normal"/>
    <w:link w:val="IntenseQuoteChar"/>
    <w:uiPriority w:val="30"/>
    <w:qFormat/>
    <w:rsid w:val="007E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BD0"/>
    <w:rPr>
      <w:i/>
      <w:iCs/>
      <w:color w:val="0F4761" w:themeColor="accent1" w:themeShade="BF"/>
    </w:rPr>
  </w:style>
  <w:style w:type="character" w:styleId="IntenseReference">
    <w:name w:val="Intense Reference"/>
    <w:basedOn w:val="DefaultParagraphFont"/>
    <w:uiPriority w:val="32"/>
    <w:qFormat/>
    <w:rsid w:val="007E5BD0"/>
    <w:rPr>
      <w:b/>
      <w:bCs/>
      <w:smallCaps/>
      <w:color w:val="0F4761" w:themeColor="accent1" w:themeShade="BF"/>
      <w:spacing w:val="5"/>
    </w:rPr>
  </w:style>
  <w:style w:type="paragraph" w:styleId="Caption">
    <w:name w:val="caption"/>
    <w:basedOn w:val="Normal"/>
    <w:next w:val="Normal"/>
    <w:uiPriority w:val="35"/>
    <w:unhideWhenUsed/>
    <w:qFormat/>
    <w:rsid w:val="007E5BD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B1E30"/>
    <w:rPr>
      <w:color w:val="467886" w:themeColor="hyperlink"/>
      <w:u w:val="single"/>
    </w:rPr>
  </w:style>
  <w:style w:type="character" w:styleId="UnresolvedMention">
    <w:name w:val="Unresolved Mention"/>
    <w:basedOn w:val="DefaultParagraphFont"/>
    <w:uiPriority w:val="99"/>
    <w:semiHidden/>
    <w:unhideWhenUsed/>
    <w:rsid w:val="00FB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82155">
      <w:bodyDiv w:val="1"/>
      <w:marLeft w:val="0"/>
      <w:marRight w:val="0"/>
      <w:marTop w:val="0"/>
      <w:marBottom w:val="0"/>
      <w:divBdr>
        <w:top w:val="none" w:sz="0" w:space="0" w:color="auto"/>
        <w:left w:val="none" w:sz="0" w:space="0" w:color="auto"/>
        <w:bottom w:val="none" w:sz="0" w:space="0" w:color="auto"/>
        <w:right w:val="none" w:sz="0" w:space="0" w:color="auto"/>
      </w:divBdr>
    </w:div>
    <w:div w:id="392855395">
      <w:bodyDiv w:val="1"/>
      <w:marLeft w:val="0"/>
      <w:marRight w:val="0"/>
      <w:marTop w:val="0"/>
      <w:marBottom w:val="0"/>
      <w:divBdr>
        <w:top w:val="none" w:sz="0" w:space="0" w:color="auto"/>
        <w:left w:val="none" w:sz="0" w:space="0" w:color="auto"/>
        <w:bottom w:val="none" w:sz="0" w:space="0" w:color="auto"/>
        <w:right w:val="none" w:sz="0" w:space="0" w:color="auto"/>
      </w:divBdr>
    </w:div>
    <w:div w:id="896866064">
      <w:bodyDiv w:val="1"/>
      <w:marLeft w:val="0"/>
      <w:marRight w:val="0"/>
      <w:marTop w:val="0"/>
      <w:marBottom w:val="0"/>
      <w:divBdr>
        <w:top w:val="none" w:sz="0" w:space="0" w:color="auto"/>
        <w:left w:val="none" w:sz="0" w:space="0" w:color="auto"/>
        <w:bottom w:val="none" w:sz="0" w:space="0" w:color="auto"/>
        <w:right w:val="none" w:sz="0" w:space="0" w:color="auto"/>
      </w:divBdr>
    </w:div>
    <w:div w:id="1162888316">
      <w:bodyDiv w:val="1"/>
      <w:marLeft w:val="0"/>
      <w:marRight w:val="0"/>
      <w:marTop w:val="0"/>
      <w:marBottom w:val="0"/>
      <w:divBdr>
        <w:top w:val="none" w:sz="0" w:space="0" w:color="auto"/>
        <w:left w:val="none" w:sz="0" w:space="0" w:color="auto"/>
        <w:bottom w:val="none" w:sz="0" w:space="0" w:color="auto"/>
        <w:right w:val="none" w:sz="0" w:space="0" w:color="auto"/>
      </w:divBdr>
    </w:div>
    <w:div w:id="1238788220">
      <w:bodyDiv w:val="1"/>
      <w:marLeft w:val="0"/>
      <w:marRight w:val="0"/>
      <w:marTop w:val="0"/>
      <w:marBottom w:val="0"/>
      <w:divBdr>
        <w:top w:val="none" w:sz="0" w:space="0" w:color="auto"/>
        <w:left w:val="none" w:sz="0" w:space="0" w:color="auto"/>
        <w:bottom w:val="none" w:sz="0" w:space="0" w:color="auto"/>
        <w:right w:val="none" w:sz="0" w:space="0" w:color="auto"/>
      </w:divBdr>
    </w:div>
    <w:div w:id="1251041233">
      <w:bodyDiv w:val="1"/>
      <w:marLeft w:val="0"/>
      <w:marRight w:val="0"/>
      <w:marTop w:val="0"/>
      <w:marBottom w:val="0"/>
      <w:divBdr>
        <w:top w:val="none" w:sz="0" w:space="0" w:color="auto"/>
        <w:left w:val="none" w:sz="0" w:space="0" w:color="auto"/>
        <w:bottom w:val="none" w:sz="0" w:space="0" w:color="auto"/>
        <w:right w:val="none" w:sz="0" w:space="0" w:color="auto"/>
      </w:divBdr>
    </w:div>
    <w:div w:id="1301155235">
      <w:bodyDiv w:val="1"/>
      <w:marLeft w:val="0"/>
      <w:marRight w:val="0"/>
      <w:marTop w:val="0"/>
      <w:marBottom w:val="0"/>
      <w:divBdr>
        <w:top w:val="none" w:sz="0" w:space="0" w:color="auto"/>
        <w:left w:val="none" w:sz="0" w:space="0" w:color="auto"/>
        <w:bottom w:val="none" w:sz="0" w:space="0" w:color="auto"/>
        <w:right w:val="none" w:sz="0" w:space="0" w:color="auto"/>
      </w:divBdr>
    </w:div>
    <w:div w:id="1309091762">
      <w:bodyDiv w:val="1"/>
      <w:marLeft w:val="0"/>
      <w:marRight w:val="0"/>
      <w:marTop w:val="0"/>
      <w:marBottom w:val="0"/>
      <w:divBdr>
        <w:top w:val="none" w:sz="0" w:space="0" w:color="auto"/>
        <w:left w:val="none" w:sz="0" w:space="0" w:color="auto"/>
        <w:bottom w:val="none" w:sz="0" w:space="0" w:color="auto"/>
        <w:right w:val="none" w:sz="0" w:space="0" w:color="auto"/>
      </w:divBdr>
    </w:div>
    <w:div w:id="1599220316">
      <w:bodyDiv w:val="1"/>
      <w:marLeft w:val="0"/>
      <w:marRight w:val="0"/>
      <w:marTop w:val="0"/>
      <w:marBottom w:val="0"/>
      <w:divBdr>
        <w:top w:val="none" w:sz="0" w:space="0" w:color="auto"/>
        <w:left w:val="none" w:sz="0" w:space="0" w:color="auto"/>
        <w:bottom w:val="none" w:sz="0" w:space="0" w:color="auto"/>
        <w:right w:val="none" w:sz="0" w:space="0" w:color="auto"/>
      </w:divBdr>
    </w:div>
    <w:div w:id="18648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qJmjDzVrKYw&amp;ab_channel=CarlosMolina-Vit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D6A9-341F-46CE-AA04-F8072D07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7</cp:revision>
  <dcterms:created xsi:type="dcterms:W3CDTF">2024-10-21T02:26:00Z</dcterms:created>
  <dcterms:modified xsi:type="dcterms:W3CDTF">2024-10-31T01:13:00Z</dcterms:modified>
</cp:coreProperties>
</file>