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9.png" ContentType="image/png"/>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pPr>
        <w:pStyle w:val="Author"/>
      </w:pPr>
      <w:r>
        <w:t xml:space="preserve">Kendra</w:t>
      </w:r>
      <w:r>
        <w:t xml:space="preserve"> </w:t>
      </w:r>
      <w:r>
        <w:t xml:space="preserve">V.</w:t>
      </w:r>
      <w:r>
        <w:t xml:space="preserve"> </w:t>
      </w:r>
      <w:r>
        <w:t xml:space="preserve">Dickinson</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The Intonational Phonology of Requests in L2 Spanish</w:t>
      </w:r>
    </w:p>
    <w:bookmarkEnd w:id="22"/>
    <w:bookmarkStart w:id="23" w:name="introduction"/>
    <w:p>
      <w:pPr>
        <w:pStyle w:val="Heading1"/>
      </w:pPr>
      <w:r>
        <w:t xml:space="preserve">Introduction</w:t>
      </w:r>
    </w:p>
    <w:p>
      <w:pPr>
        <w:pStyle w:val="FirstParagraph"/>
      </w:pPr>
      <w:r>
        <w:t xml:space="preserve">Despite the fact that all languages modulate F0 to encode pragmatic meaning</w:t>
      </w:r>
      <w:r>
        <w:t xml:space="preserve"> </w:t>
      </w:r>
      <w:r>
        <w:t xml:space="preserve">(Arvaniti &amp; Fletcher, 2020)</w:t>
      </w:r>
      <w:r>
        <w:t xml:space="preserve">, the L2 classroom typically lacks explicit content on intonation. When encountering the L2 outside of the classroom, the lack of instruction on intonation could leave learners disadvantaged in perception</w:t>
      </w:r>
      <w:r>
        <w:t xml:space="preserve"> </w:t>
      </w:r>
      <w:r>
        <w:t xml:space="preserve">(Casillas et al., 2023)</w:t>
      </w:r>
      <w:r>
        <w:t xml:space="preserve"> </w:t>
      </w:r>
      <w:r>
        <w:t xml:space="preserve">and production</w:t>
      </w:r>
      <w:r>
        <w:t xml:space="preserve"> </w:t>
      </w:r>
      <w:r>
        <w:t xml:space="preserve">(Herrero &amp; Devı́s, 2020)</w:t>
      </w:r>
      <w:r>
        <w:t xml:space="preserve">. Intonation provides one avenue for modulating politeness</w:t>
      </w:r>
      <w:r>
        <w:t xml:space="preserve"> </w:t>
      </w:r>
      <w:r>
        <w:t xml:space="preserve">(Brown &amp; Levinson, 1987)</w:t>
      </w:r>
      <w:r>
        <w:t xml:space="preserve">, without which could lead to miscommunication when intonation-politeness mappings do not match between the L1 and L2</w:t>
      </w:r>
      <w:r>
        <w:t xml:space="preserve"> </w:t>
      </w:r>
      <w:r>
        <w:t xml:space="preserve">(Estebas-Vilaplana, 2014)</w:t>
      </w:r>
      <w:r>
        <w:t xml:space="preserve">.</w:t>
      </w:r>
    </w:p>
    <w:p>
      <w:pPr>
        <w:pStyle w:val="BodyText"/>
      </w:pPr>
      <w:r>
        <w:t xml:space="preserve">Outside of the L2 classroom, 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investigates monolingual speakers, but there do exist recent works that investigate the acquisition of L2 intonation</w:t>
      </w:r>
      <w:r>
        <w:t xml:space="preserve"> </w:t>
      </w:r>
      <w:r>
        <w:t xml:space="preserve">(Astruc &amp; Mar Vanrell, 2016; Nibert, 2005)</w:t>
      </w:r>
      <w:r>
        <w:t xml:space="preserve">, as well as attempt to model L2 intonation</w:t>
      </w:r>
      <w:r>
        <w:t xml:space="preserve"> </w:t>
      </w:r>
      <w:r>
        <w:t xml:space="preserve">(Mennen, 2015)</w:t>
      </w:r>
      <w:r>
        <w:t xml:space="preserve">. Other researchers attempt to find universals among the uses of pitch, such as finding a relationship between higher pitch and greater politeness</w:t>
      </w:r>
      <w:r>
        <w:t xml:space="preserve"> </w:t>
      </w:r>
      <w:r>
        <w:t xml:space="preserve">(Brown &amp; Levinson, 1974; Ohala, 1983)</w:t>
      </w:r>
      <w:r>
        <w:t xml:space="preserve">.</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pitch contours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End w:id="23"/>
    <w:bookmarkStart w:id="24" w:name="politeness"/>
    <w:p>
      <w:pPr>
        <w:pStyle w:val="Heading1"/>
      </w:pPr>
      <w:r>
        <w:t xml:space="preserve">Politeness</w:t>
      </w:r>
    </w:p>
    <w:p>
      <w:pPr>
        <w:pStyle w:val="FirstParagraph"/>
      </w:pPr>
      <w:r>
        <w:t xml:space="preserve">Brown &amp; Levinson (1974)</w:t>
      </w:r>
      <w:r>
        <w:t xml:space="preserve"> </w:t>
      </w:r>
      <w:r>
        <w:t xml:space="preserve">provide a landmark investigation in linguistic expressions of politeness. In their conception, politeness strategies are used to mitigate face threatening acts, which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The decision to opt for a specific politeness strategy depends on a cost-benefit analysis of three binary factors: power, social distance, and level of imposition of request. These three independent variables,</w:t>
      </w:r>
      <w:r>
        <w:t xml:space="preserve"> </w:t>
      </w:r>
      <w:r>
        <w:t xml:space="preserve">Brown &amp; Levinson (1974)</w:t>
      </w:r>
      <w:r>
        <w:t xml:space="preserve"> </w:t>
      </w:r>
      <w:r>
        <w:t xml:space="preserve">claim, are assigned different values cross-culturally, which account for the rich diversity in cultures globally.</w:t>
      </w:r>
    </w:p>
    <w:p>
      <w:pPr>
        <w:pStyle w:val="BodyText"/>
      </w:pPr>
      <w:r>
        <w:t xml:space="preserve">Power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a writing center.</w:t>
      </w:r>
    </w:p>
    <w:p>
      <w:pPr>
        <w:pStyle w:val="BodyText"/>
      </w:pPr>
      <w:r>
        <w:t xml:space="preserve">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 the level of imposition of request transparently refers to how imposing the request is.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The specific situations will be defined below.</w:t>
      </w:r>
    </w:p>
    <w:bookmarkEnd w:id="24"/>
    <w:bookmarkStart w:id="33" w:name="autosegmental-metrical-am-theory"/>
    <w:p>
      <w:pPr>
        <w:pStyle w:val="Heading1"/>
      </w:pPr>
      <w:r>
        <w:t xml:space="preserve">Autosegmental Metrical (AM)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(Grice et al., 2020; Mayo et al., 1997; 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tblPr>
      <w:tblGrid>
        <w:gridCol w:w="7920"/>
      </w:tblGrid>
      <w:tr>
        <w:tc>
          <w:tcPr/>
          <w:bookmarkStart w:id="28" w:name="fig-tobi-example"/>
          <w:p>
            <w:pPr>
              <w:pStyle w:val="Figure"/>
              <w:jc w:val="center"/>
            </w:pPr>
            <w:r>
              <w:drawing>
                <wp:inline>
                  <wp:extent cx="5504749" cy="5046020"/>
                  <wp:effectExtent b="0" l="0" r="0" t="0"/>
                  <wp:docPr descr="" title="" id="26" name="Picture"/>
                  <a:graphic>
                    <a:graphicData uri="http://schemas.openxmlformats.org/drawingml/2006/picture">
                      <pic:pic>
                        <pic:nvPicPr>
                          <pic:cNvPr descr="figs/tobi_example.png" id="27" name="Picture"/>
                          <pic:cNvPicPr>
                            <a:picLocks noChangeArrowheads="1" noChangeAspect="1"/>
                          </pic:cNvPicPr>
                        </pic:nvPicPr>
                        <pic:blipFill>
                          <a:blip r:embed="rId25"/>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Spectrogram and pitch track (blue) of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8"/>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stressed syllable is affiliated with the H tone; HL* is a fall where the stressed syllable is affiliated with the L tone. Crucially, each ToBI system will define how an underlying representation can be realized, such that</w:t>
      </w:r>
      <w:r>
        <w:t xml:space="preserve"> </w:t>
      </w:r>
      <w:r>
        <w:t xml:space="preserve">“</w:t>
      </w:r>
      <w:r>
        <w:t xml:space="preserve">H*L</w:t>
      </w:r>
      <w:r>
        <w:t xml:space="preserve">”</w:t>
      </w:r>
      <w:r>
        <w:t xml:space="preserve"> </w:t>
      </w:r>
      <w:r>
        <w:t xml:space="preserve">may be realized as the phonetically differently in two different languages or two different varieties of the same language.</w:t>
      </w:r>
    </w:p>
    <w:p>
      <w:pPr>
        <w:pStyle w:val="BodyText"/>
      </w:pPr>
      <w:r>
        <w:t xml:space="preserve">It is commonly found that there is a distinction between</w:t>
      </w:r>
      <w:r>
        <w:t xml:space="preserve"> </w:t>
      </w:r>
      <w:r>
        <w:t xml:space="preserve">“</w:t>
      </w:r>
      <w:r>
        <w:t xml:space="preserve">prenuclear</w:t>
      </w:r>
      <w:r>
        <w:t xml:space="preserve">”</w:t>
      </w:r>
      <w:r>
        <w:t xml:space="preserve"> </w:t>
      </w:r>
      <w:r>
        <w:t xml:space="preserve">and</w:t>
      </w:r>
      <w:r>
        <w:t xml:space="preserve"> </w:t>
      </w:r>
      <w:r>
        <w:t xml:space="preserve">“</w:t>
      </w:r>
      <w:r>
        <w:t xml:space="preserve">nuclear</w:t>
      </w:r>
      <w:r>
        <w:t xml:space="preserve">”</w:t>
      </w:r>
      <w:r>
        <w:t xml:space="preserve"> </w:t>
      </w:r>
      <w:r>
        <w:t xml:space="preserve">pitch accents, where the nuclear pitch accent is the rightmost pitch accent, and all those that come before it are prenuclear. Typically, studies documenting intonation in the AM framework find that there are restrictions as to which tones can occur in prenuclear vs nuclear position, but overall there is overlap. Documentary work involves determining which pitch accents can occur in which positions for which utterance types (</w:t>
      </w:r>
      <w:hyperlink w:anchor="fig-pitch-accent-example">
        <w:r>
          <w:rPr>
            <w:rStyle w:val="Hyperlink"/>
          </w:rPr>
          <w:t xml:space="preserve">Figure 2</w:t>
        </w:r>
      </w:hyperlink>
      <w:r>
        <w:t xml:space="preserve">).</w:t>
      </w:r>
    </w:p>
    <w:tbl>
      <w:tblPr>
        <w:tblStyle w:val="Table"/>
        <w:tblW w:type="pct" w:w="5000"/>
        <w:tblLook w:firstRow="0" w:lastRow="0" w:firstColumn="0" w:lastColumn="0" w:noHBand="0" w:noVBand="0" w:val="0000"/>
      </w:tblPr>
      <w:tblGrid>
        <w:gridCol w:w="7920"/>
      </w:tblGrid>
      <w:tr>
        <w:tc>
          <w:tcPr/>
          <w:bookmarkStart w:id="32" w:name="fig-pitch-accent-example"/>
          <w:p>
            <w:pPr>
              <w:pStyle w:val="Figure"/>
              <w:jc w:val="center"/>
            </w:pPr>
            <w:r>
              <w:drawing>
                <wp:inline>
                  <wp:extent cx="5861785" cy="1896176"/>
                  <wp:effectExtent b="0" l="0" r="0" t="0"/>
                  <wp:docPr descr="" title="" id="30" name="Picture"/>
                  <a:graphic>
                    <a:graphicData uri="http://schemas.openxmlformats.org/drawingml/2006/picture">
                      <pic:pic>
                        <pic:nvPicPr>
                          <pic:cNvPr descr="figs/pitch_accent_example.png" id="31" name="Picture"/>
                          <pic:cNvPicPr>
                            <a:picLocks noChangeArrowheads="1" noChangeAspect="1"/>
                          </pic:cNvPicPr>
                        </pic:nvPicPr>
                        <pic:blipFill>
                          <a:blip r:embed="rId29"/>
                          <a:stretch>
                            <a:fillRect/>
                          </a:stretch>
                        </pic:blipFill>
                        <pic:spPr bwMode="auto">
                          <a:xfrm>
                            <a:off x="0" y="0"/>
                            <a:ext cx="5861785" cy="1896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example of the pitch accent L+H* in Castilian Spanish with its phonetic realization (stressed syllable in grey) and distribution of use</w:t>
            </w:r>
            <w:r>
              <w:t xml:space="preserve"> </w:t>
            </w:r>
            <w:r>
              <w:t xml:space="preserve">(Aguilar et al., 2009)</w:t>
            </w:r>
            <w:r>
              <w:t xml:space="preserve">.</w:t>
            </w:r>
          </w:p>
          <w:bookmarkEnd w:id="32"/>
        </w:tc>
      </w:tr>
    </w:tbl>
    <w:p>
      <w:pPr>
        <w:pStyle w:val="BodyText"/>
      </w:pPr>
      <w:r>
        <w:t xml:space="preserve">Despite the previous claim that intonation is mapped to categorical tones, there is evidence that this is not entirely true.</w:t>
      </w:r>
      <w:r>
        <w:t xml:space="preserve"> </w:t>
      </w:r>
      <w:r>
        <w:t xml:space="preserve">Ladd &amp; Morton (1997)</w:t>
      </w:r>
      <w:r>
        <w:t xml:space="preserve">, for example, suggests that there is a distinction to be made between production and perception: whereas production is, in fact, categorically determined, perception is gradient.</w:t>
      </w:r>
      <w:r>
        <w:t xml:space="preserve"> </w:t>
      </w:r>
      <w:r>
        <w:t xml:space="preserve">Orrico &amp; D’imperio (2020)</w:t>
      </w:r>
      <w:r>
        <w:t xml:space="preserve"> </w:t>
      </w:r>
      <w:r>
        <w:t xml:space="preserve">supports the view that perception of intonation is gradient by investigating epistemic bias (i.e., expecting a positive or negative response) in the perception of yes-no questions in Solerno Italian. In their experiment, L1 Solerno Italian speakers listened to yes-no questions. The questions’ nuclear pitch accent peak and boundary tone peak were synthetically manipulated in various height steps. Participants were asked to choose a point on a scale from 0</w:t>
      </w:r>
      <w:r>
        <w:t xml:space="preserve"> </w:t>
      </w:r>
      <w:r>
        <w:t xml:space="preserve">“</w:t>
      </w:r>
      <w:r>
        <w:t xml:space="preserve">the speaker expects NO</w:t>
      </w:r>
      <w:r>
        <w:t xml:space="preserve">”</w:t>
      </w:r>
      <w:r>
        <w:t xml:space="preserve"> </w:t>
      </w:r>
      <w:r>
        <w:t xml:space="preserve">to 100</w:t>
      </w:r>
      <w:r>
        <w:t xml:space="preserve"> </w:t>
      </w:r>
      <w:r>
        <w:t xml:space="preserve">“</w:t>
      </w:r>
      <w:r>
        <w:t xml:space="preserve">the speaker expects YES</w:t>
      </w:r>
      <w:r>
        <w:t xml:space="preserve">”</w:t>
      </w:r>
      <w:r>
        <w:t xml:space="preserve">. They found that participants with higher empathy</w:t>
      </w:r>
      <w:r>
        <w:t xml:space="preserve"> </w:t>
      </w:r>
      <w:r>
        <w:rPr>
          <w:iCs/>
          <w:i/>
        </w:rPr>
        <w:t xml:space="preserve">and</w:t>
      </w:r>
      <w:r>
        <w:t xml:space="preserve"> </w:t>
      </w:r>
      <w:r>
        <w:t xml:space="preserve">experience with other Italian varieties had a more granular perception of the steps, whereas other participants had a more binary perception.</w:t>
      </w:r>
    </w:p>
    <w:p>
      <w:pPr>
        <w:pStyle w:val="BodyText"/>
      </w:pPr>
      <w:r>
        <w:t xml:space="preserve">Although there is clearly evidence for a gradient approach to perception of intonation, there is less research that investigates production. This study will help contribute to this body of literature by investigating the height of boundary tones in the production of L1 English L2 Spanish learners to indicate politeness. Under the frequency code</w:t>
      </w:r>
      <w:r>
        <w:t xml:space="preserve"> </w:t>
      </w:r>
      <w:r>
        <w:t xml:space="preserve">(Ohala, 1983)</w:t>
      </w:r>
      <w:r>
        <w:t xml:space="preserve">, which will be explained below,it’s predicted that higher levels of politeness would be associated with a higher boundary tone pitch. That is, in this study, where power, social distance, and level of imposition of the request are set to [+], we would expect the highest boundary tones, and for the boundary tone to become gradiently lower as the independent variables are step-wise set to [-].</w:t>
      </w:r>
    </w:p>
    <w:bookmarkEnd w:id="33"/>
    <w:bookmarkStart w:id="34" w:name="l2-intonation"/>
    <w:p>
      <w:pPr>
        <w:pStyle w:val="Heading1"/>
      </w:pPr>
      <w:r>
        <w:t xml:space="preserve">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English speakers have available to them L+H*</w:t>
      </w:r>
      <w:r>
        <w:t xml:space="preserve"> </w:t>
      </w:r>
      <w:r>
        <w:t xml:space="preserve">(Dilley &amp; Heffner, 2013)</w:t>
      </w:r>
      <w:r>
        <w:t xml:space="preserve">, the expected contour in Spanish (</w:t>
      </w:r>
      <w:r>
        <w:t xml:space="preserve">“</w:t>
      </w:r>
      <w:r>
        <w:t xml:space="preserve">systemtic</w:t>
      </w:r>
      <w:r>
        <w:t xml:space="preserve">”</w:t>
      </w:r>
      <w:r>
        <w:t xml:space="preserve"> </w:t>
      </w:r>
      <w:r>
        <w:t xml:space="preserve">dimension). It is realized phonetically similarly</w:t>
      </w:r>
      <w:r>
        <w:t xml:space="preserve"> </w:t>
      </w:r>
      <w:r>
        <w:t xml:space="preserve">(for English: Beckman &amp; Elam, 1997; for Spanish: Prieto &amp; Roseano, 2010)</w:t>
      </w:r>
      <w:r>
        <w:t xml:space="preserve"> </w:t>
      </w:r>
      <w:r>
        <w:t xml:space="preserve">(</w:t>
      </w:r>
      <w:r>
        <w:t xml:space="preserve">“</w:t>
      </w:r>
      <w:r>
        <w:t xml:space="preserve">realizational</w:t>
      </w:r>
      <w:r>
        <w:t xml:space="preserve">”</w:t>
      </w:r>
      <w:r>
        <w:t xml:space="preserve"> </w:t>
      </w:r>
      <w:r>
        <w:t xml:space="preserve">dimension”). The</w:t>
      </w:r>
      <w:r>
        <w:t xml:space="preserve"> </w:t>
      </w:r>
      <w:r>
        <w:t xml:space="preserve">“</w:t>
      </w:r>
      <w:r>
        <w:t xml:space="preserve">frequency</w:t>
      </w:r>
      <w:r>
        <w:t xml:space="preserve">”</w:t>
      </w:r>
      <w:r>
        <w:t xml:space="preserve"> </w:t>
      </w:r>
      <w:r>
        <w:t xml:space="preserve">dimension is defined at a more general level by</w:t>
      </w:r>
      <w:r>
        <w:t xml:space="preserve"> </w:t>
      </w:r>
      <w:r>
        <w:t xml:space="preserve">Mennen (2015)</w:t>
      </w:r>
      <w:r>
        <w:t xml:space="preserve"> </w:t>
      </w:r>
      <w:r>
        <w:t xml:space="preserve">and would require more space than attributed here to investigate the frequency differences of tone primitives in English and Spanish. However, crucially, there is a mismatch in the</w:t>
      </w:r>
      <w:r>
        <w:t xml:space="preserve"> </w:t>
      </w:r>
      <w:r>
        <w:rPr>
          <w:iCs/>
          <w:i/>
        </w:rPr>
        <w:t xml:space="preserve">semantic</w:t>
      </w:r>
      <w:r>
        <w:t xml:space="preserve"> </w:t>
      </w:r>
      <w:r>
        <w:t xml:space="preserve">dimension. Where English uses L+¡H* as an appropriate, polite response to a wh-question, Spanish does not pattern in this way; instead, it is mapped to an</w:t>
      </w:r>
      <w:r>
        <w:t xml:space="preserve"> </w:t>
      </w:r>
      <w:r>
        <w:t xml:space="preserve">“</w:t>
      </w:r>
      <w:r>
        <w:t xml:space="preserve">over-excited</w:t>
      </w:r>
      <w:r>
        <w:t xml:space="preserve">”</w:t>
      </w:r>
      <w:r>
        <w:t xml:space="preserve"> </w:t>
      </w:r>
      <w:r>
        <w:t xml:space="preserve">response, which could give rise to misinterpretation when learners interact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along the aforementioned dimensions, L1 English L2 Spanish learners will experience positive transfer; where there are mismatches along any of the dimensions, they will experience negative transfer. That is, we expect to see typical L1 English contours in their L2 Spanish.</w:t>
      </w:r>
    </w:p>
    <w:bookmarkEnd w:id="34"/>
    <w:bookmarkStart w:id="35" w:name="pitch-and-politeness"/>
    <w:p>
      <w:pPr>
        <w:pStyle w:val="Heading1"/>
      </w:pPr>
      <w:r>
        <w:t xml:space="preserve">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 in Spanish.</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 the frequency code</w:t>
      </w:r>
      <w:r>
        <w:t xml:space="preserve"> </w:t>
      </w:r>
      <w:r>
        <w:t xml:space="preserve">(Ohala, 1983)</w:t>
      </w:r>
      <w:r>
        <w:t xml:space="preserve">, gives motivation to examine pitch more broadly along two dimensions: the overall mean pitch of an utterance and the height of the final boundary tone of the utterance.</w:t>
      </w:r>
    </w:p>
    <w:bookmarkEnd w:id="35"/>
    <w:bookmarkStart w:id="36" w:name="the-present-study"/>
    <w:p>
      <w:pPr>
        <w:pStyle w:val="Heading1"/>
      </w:pPr>
      <w:r>
        <w:t xml:space="preserve">The Present Study</w:t>
      </w:r>
    </w:p>
    <w:p>
      <w:pPr>
        <w:pStyle w:val="FirstParagraph"/>
      </w:pPr>
      <w:r>
        <w:t xml:space="preserve">Few studies have worked to document the intonation of L2 Spanish</w:t>
      </w:r>
      <w:r>
        <w:t xml:space="preserve"> </w:t>
      </w:r>
      <w:r>
        <w:t xml:space="preserve">(Henriksen et al., 2010; Nibert, 2005)</w:t>
      </w:r>
      <w:r>
        <w:t xml:space="preserve">, and even fewer still have investigated the intersection of intonation and politeness</w:t>
      </w:r>
      <w:r>
        <w:t xml:space="preserve"> </w:t>
      </w:r>
      <w:r>
        <w:t xml:space="preserve">Astruc &amp; Mar Vanrell (2016)</w:t>
      </w:r>
      <w:r>
        <w:t xml:space="preserve">. The present study aims to document the most common nuclear pitch accents and boundary tones for requests produced by L1 English L2 Spanish speakers, which will then be examined through the lens of the LILt model</w:t>
      </w:r>
      <w:r>
        <w:t xml:space="preserve"> </w:t>
      </w:r>
      <w:r>
        <w:t xml:space="preserve">(Mennen, 2015)</w:t>
      </w:r>
      <w:r>
        <w:t xml:space="preserve">. Furthermore, this study aims to put the frequency code to the test</w:t>
      </w:r>
      <w:r>
        <w:t xml:space="preserve"> </w:t>
      </w:r>
      <w:r>
        <w:t xml:space="preserve">(Ohala, 1983)</w:t>
      </w:r>
      <w:r>
        <w:t xml:space="preserve"> </w:t>
      </w:r>
      <w:r>
        <w:t xml:space="preserve">by examining pitch height (at the utterance-level and at the final boundary tone) as a function of politeness.</w:t>
      </w:r>
    </w:p>
    <w:bookmarkEnd w:id="36"/>
    <w:bookmarkStart w:id="38" w:name="previous-research"/>
    <w:p>
      <w:pPr>
        <w:pStyle w:val="Heading1"/>
      </w:pPr>
      <w:r>
        <w:t xml:space="preserve">Previous Research</w:t>
      </w:r>
    </w:p>
    <w:p>
      <w:pPr>
        <w:pStyle w:val="FirstParagraph"/>
      </w:pPr>
      <w:r>
        <w:t xml:space="preserve">Spanish intonation is rarely explicitly taught in the L2 classroom. However, this seems a disservice to L2 learners, as evidenced by the possible miscommunications evinced by</w:t>
      </w:r>
      <w:r>
        <w:t xml:space="preserve"> </w:t>
      </w:r>
      <w:r>
        <w:t xml:space="preserve">Estebas-Vilaplana (2014)</w:t>
      </w:r>
      <w:r>
        <w:t xml:space="preserve"> </w:t>
      </w:r>
      <w:r>
        <w:t xml:space="preserve">(see above for analysis). The possible miscommunications due to intonation were further explored by</w:t>
      </w:r>
      <w:r>
        <w:t xml:space="preserve"> </w:t>
      </w:r>
      <w:r>
        <w:t xml:space="preserve">Herrero &amp; Devı́s (2020)</w:t>
      </w:r>
      <w:r>
        <w:t xml:space="preserve">. In their study, L1 Mandarin Chinese L2 Spanish speakers produced polite requests in Spanish that were then rated by L1 Spanish speakers on a 6-point Likert scale, where 0 was most impolite and 5 was most polite. It was found that even when other pragmatic strategies were used to mitigate impoliteness, such as lexical features (e.g.,</w:t>
      </w:r>
      <w:r>
        <w:t xml:space="preserve"> </w:t>
      </w:r>
      <w:r>
        <w:rPr>
          <w:iCs/>
          <w:i/>
        </w:rPr>
        <w:t xml:space="preserve">gracias</w:t>
      </w:r>
      <w:r>
        <w:t xml:space="preserve"> </w:t>
      </w:r>
      <w:r>
        <w:t xml:space="preserve">“</w:t>
      </w:r>
      <w:r>
        <w:t xml:space="preserve">thank you</w:t>
      </w:r>
      <w:r>
        <w:t xml:space="preserve">”</w:t>
      </w:r>
      <w:r>
        <w:t xml:space="preserve">), the speakers were still perceived overall as impolite.</w:t>
      </w:r>
      <w:r>
        <w:t xml:space="preserve"> </w:t>
      </w:r>
      <w:r>
        <w:t xml:space="preserve">Herrero &amp; Devı́s (2020)</w:t>
      </w:r>
      <w:r>
        <w:t xml:space="preserve"> </w:t>
      </w:r>
      <w:r>
        <w:t xml:space="preserve">claim that the perceived impoliteness was due to the use of zig zag patterns and falling contours, which are described as impolite melodic patterns in Spanish</w:t>
      </w:r>
      <w:r>
        <w:t xml:space="preserve"> </w:t>
      </w:r>
      <w:r>
        <w:t xml:space="preserve">(Devı́s, 2011)</w:t>
      </w:r>
      <w:r>
        <w:t xml:space="preserve">. The present study hopes to continue pushing for the inclusion of intonation in the L2 classroom by demonstrating the miscommunications that may occur if L2 learners do not acquire intonation.</w:t>
      </w:r>
    </w:p>
    <w:p>
      <w:pPr>
        <w:pStyle w:val="BodyText"/>
      </w:pPr>
      <w:r>
        <w:t xml:space="preserve">The only study that specifically investigates L1 English L2 Spanish politeness intonation production is</w:t>
      </w:r>
      <w:r>
        <w:t xml:space="preserve"> </w:t>
      </w:r>
      <w:r>
        <w:t xml:space="preserve">Astruc &amp; Mar Vanrell (2016)</w:t>
      </w:r>
      <w:r>
        <w:t xml:space="preserve">. In their study, they created two Spanish-language corpora: one comprised of L1 Mexican Spanish speakers and one comprised of L1 UK English L2 Mexican Spanish speakers. The L2 corpus was comprised of 28 utterances, 14 invitations and 14 requests, produced by 14 A2 learners. These were produced as a homework assignment for their class, where the assignment was to</w:t>
      </w:r>
      <w:r>
        <w:t xml:space="preserve"> </w:t>
      </w:r>
      <w:r>
        <w:t xml:space="preserve">“</w:t>
      </w:r>
      <w:r>
        <w:t xml:space="preserve">leave a telephone message for a friend telling him or her what they did last night, suggesting one thing that they could do together at the weekend, and requesting that this friend returned their call</w:t>
      </w:r>
      <w:r>
        <w:t xml:space="preserve">”</w:t>
      </w:r>
      <w:r>
        <w:t xml:space="preserve"> </w:t>
      </w:r>
      <w:r>
        <w:t xml:space="preserve">(p. 7). In this situation, power, social distance, and level of imposition of request were all set to [-], as they are speaking to a friend ([-power, -social distance]) and imposing a small imposition ([-imposition]).</w:t>
      </w:r>
    </w:p>
    <w:p>
      <w:pPr>
        <w:pStyle w:val="BodyText"/>
      </w:pPr>
      <w:r>
        <w:t xml:space="preserve">In their analysis of L2 corpus’s intonation,</w:t>
      </w:r>
      <w:r>
        <w:t xml:space="preserve"> </w:t>
      </w:r>
      <w:r>
        <w:t xml:space="preserve">Astruc &amp; Mar Vanrell (2016)</w:t>
      </w:r>
      <w:r>
        <w:t xml:space="preserve"> </w:t>
      </w:r>
      <w:r>
        <w:t xml:space="preserve">found that requests were most associated with the low rise, high rise, simple fall, and fall rise, the last of which was exclusively associated with requests. They found influence from English in the choice of intonation patterns, such as the overuse of falling intonation patterns (corresponding to the</w:t>
      </w:r>
      <w:r>
        <w:t xml:space="preserve"> </w:t>
      </w:r>
      <w:r>
        <w:t xml:space="preserve">“</w:t>
      </w:r>
      <w:r>
        <w:t xml:space="preserve">frequency</w:t>
      </w:r>
      <w:r>
        <w:t xml:space="preserve">”</w:t>
      </w:r>
      <w:r>
        <w:t xml:space="preserve"> </w:t>
      </w:r>
      <w:r>
        <w:t xml:space="preserve">dimension described by</w:t>
      </w:r>
      <w:r>
        <w:t xml:space="preserve"> </w:t>
      </w:r>
      <w:r>
        <w:t xml:space="preserve">Mennen (2015)</w:t>
      </w:r>
      <w:r>
        <w:t xml:space="preserve">). Most importantly, they found that the overall distribution and frequency of each tonal accent differed from the L1 corpus: high rises were much more frequent in the L2 corpus, as well as the number of falling patterns being much more diverse. They also produced utterances with a broader pitch range, which would possibly be interpreted as over-excited by L1 Spanish speakers</w:t>
      </w:r>
      <w:r>
        <w:t xml:space="preserve"> </w:t>
      </w:r>
      <w:r>
        <w:t xml:space="preserve">(Estebas-Vilaplana, 2014)</w:t>
      </w:r>
      <w:r>
        <w:t xml:space="preserve">.</w:t>
      </w:r>
    </w:p>
    <w:p>
      <w:pPr>
        <w:pStyle w:val="BodyText"/>
      </w:pPr>
      <w:r>
        <w:t xml:space="preserve">Although we do not expect to see the same intonation contours as</w:t>
      </w:r>
      <w:r>
        <w:t xml:space="preserve"> </w:t>
      </w:r>
      <w:r>
        <w:t xml:space="preserve">Astruc &amp; Mar Vanrell (2016)</w:t>
      </w:r>
      <w:r>
        <w:t xml:space="preserve"> </w:t>
      </w:r>
      <w:r>
        <w:t xml:space="preserve">due to dialect differences (they studied UK English speakers, the present study investigates Americans), we do expect to see L1-L2 transfer, as they did, as well as a broader pitch excursion as compared to monolingual L1 Spanish speakers.</w:t>
      </w:r>
    </w:p>
    <w:bookmarkStart w:id="37" w:name="research-questions"/>
    <w:p>
      <w:pPr>
        <w:pStyle w:val="Heading2"/>
      </w:pPr>
      <w:r>
        <w:t xml:space="preserve">Research Questions</w:t>
      </w:r>
    </w:p>
    <w:p>
      <w:pPr>
        <w:pStyle w:val="FirstParagraph"/>
      </w:pPr>
      <w:r>
        <w:t xml:space="preserve">Our first research question is exploratory in nature, whereas our third research question is experimental.</w:t>
      </w:r>
    </w:p>
    <w:p>
      <w:pPr>
        <w:numPr>
          <w:ilvl w:val="0"/>
          <w:numId w:val="1002"/>
        </w:numPr>
        <w:pStyle w:val="Compact"/>
      </w:pPr>
      <w:r>
        <w:t xml:space="preserve">What pitch accents do L1 General American English L2 Spanish learners use for requests in Spanish?</w:t>
      </w:r>
    </w:p>
    <w:p>
      <w:pPr>
        <w:pStyle w:val="FirstParagraph"/>
      </w:pPr>
      <w:r>
        <w:t xml:space="preserve">Based on</w:t>
      </w:r>
      <w:r>
        <w:t xml:space="preserve"> </w:t>
      </w:r>
      <w:r>
        <w:t xml:space="preserve">Astruc &amp; Mar Vanrell (2016)</w:t>
      </w:r>
      <w:r>
        <w:t xml:space="preserve">, we expect there to be L1-L2 transfer of pitch contours, such that L1 English pitch contours will be used in the L2 Spanish.</w:t>
      </w:r>
    </w:p>
    <w:p>
      <w:pPr>
        <w:numPr>
          <w:ilvl w:val="0"/>
          <w:numId w:val="1003"/>
        </w:numPr>
        <w:pStyle w:val="Compact"/>
      </w:pPr>
      <w:r>
        <w:t xml:space="preserve">Do pitch accents map categorically to the independent variables power, social distance, and level of imposition of request</w:t>
      </w:r>
      <w:r>
        <w:t xml:space="preserve"> </w:t>
      </w:r>
      <w:r>
        <w:t xml:space="preserve">(Brown &amp; Levinson, 1987)</w:t>
      </w:r>
      <w:r>
        <w:t xml:space="preserve">?</w:t>
      </w:r>
    </w:p>
    <w:p>
      <w:pPr>
        <w:pStyle w:val="FirstParagraph"/>
      </w:pPr>
      <w:r>
        <w:t xml:space="preserve">Due to insufficient previous data in this domain, we must rely on L1 research to inform our hypothesis.</w:t>
      </w:r>
      <w:r>
        <w:t xml:space="preserve"> </w:t>
      </w:r>
      <w:r>
        <w:t xml:space="preserve">Astruc &amp; Mar Vanrell (2016)</w:t>
      </w:r>
      <w:r>
        <w:t xml:space="preserve"> </w:t>
      </w:r>
      <w:r>
        <w:t xml:space="preserve">reported that in their L1 corpus, only the level of imposition of the request presented a categorical usage of pitch accent, and so we expect here similar results: power and social distance will not categorically map to pitch accents, but level of imposition of request will.</w:t>
      </w:r>
    </w:p>
    <w:p>
      <w:pPr>
        <w:numPr>
          <w:ilvl w:val="0"/>
          <w:numId w:val="1004"/>
        </w:numPr>
        <w:pStyle w:val="Compact"/>
      </w:pPr>
      <w:r>
        <w:t xml:space="preserve">Does higher pitch correlate with higher politeness</w:t>
      </w:r>
      <w:r>
        <w:t xml:space="preserve"> </w:t>
      </w:r>
      <w:r>
        <w:t xml:space="preserve">(Ohala, 1983)</w:t>
      </w:r>
      <w:r>
        <w:t xml:space="preserve">?</w:t>
      </w:r>
    </w:p>
    <w:p>
      <w:pPr>
        <w:pStyle w:val="FirstParagraph"/>
      </w:pPr>
      <w:r>
        <w:t xml:space="preserve">This question will be examined quantitatively in two ways. First, the overall mean pitch of the utterance will be examined, and then the height of the final boundary tone. These two measures have been chosen due to their salience in the speech stream.</w:t>
      </w:r>
    </w:p>
    <w:bookmarkEnd w:id="37"/>
    <w:bookmarkEnd w:id="38"/>
    <w:bookmarkStart w:id="39" w:name="scraps"/>
    <w:p>
      <w:pPr>
        <w:pStyle w:val="Heading1"/>
      </w:pPr>
      <w:r>
        <w:t xml:space="preserve">Scraps</w:t>
      </w:r>
    </w:p>
    <w:p>
      <w:pPr>
        <w:pStyle w:val="FirstParagraph"/>
      </w:pPr>
      <w:r>
        <w:t xml:space="preserve">Due to the limited data available to them,</w:t>
      </w:r>
      <w:r>
        <w:t xml:space="preserve"> </w:t>
      </w:r>
      <w:r>
        <w:t xml:space="preserve">Astruc &amp; Mar Vanrell (2016)</w:t>
      </w:r>
      <w:r>
        <w:t xml:space="preserve"> </w:t>
      </w:r>
      <w:r>
        <w:t xml:space="preserve">called for studies investigating a range of proficiency levels. This study hopes to fill that gap by documenting higher proficiency L1 English L2 Spanish learners. Notably, this study will investigate American English college-aged students, as opposed to the British English speakers, so the contours found in their study from the L2 speakers are not directly comparable to the ones found here.</w:t>
      </w:r>
    </w:p>
    <w:p>
      <w:pPr>
        <w:pStyle w:val="BodyText"/>
      </w:pPr>
      <w:r>
        <w:t xml:space="preserve">This study will investigate polite requests in L1 English L2 Spanish learners through a discourse completion task (DCT).</w:t>
      </w:r>
    </w:p>
    <w:p>
      <w:pPr>
        <w:pStyle w:val="BodyText"/>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pPr>
        <w:pStyle w:val="BodyText"/>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r>
        <w:br w:type="page"/>
      </w:r>
    </w:p>
    <w:bookmarkEnd w:id="39"/>
    <w:bookmarkStart w:id="68" w:name="references"/>
    <w:p>
      <w:pPr>
        <w:pStyle w:val="Heading1"/>
      </w:pPr>
      <w:r>
        <w:t xml:space="preserve">References</w:t>
      </w:r>
    </w:p>
    <w:bookmarkStart w:id="67" w:name="refs"/>
    <w:bookmarkStart w:id="41" w:name="ref-Aguilar2009"/>
    <w:p>
      <w:pPr>
        <w:pStyle w:val="Bibliography"/>
      </w:pPr>
      <w:r>
        <w:t xml:space="preserve">Aguilar, L., De-la-Mota, C., &amp; Prieto, P. (2009).</w:t>
      </w:r>
      <w:r>
        <w:t xml:space="preserve"> </w:t>
      </w:r>
      <w:r>
        <w:rPr>
          <w:iCs/>
          <w:i/>
        </w:rPr>
        <w:t xml:space="preserve">Sp_ToBI training materials</w:t>
      </w:r>
      <w:r>
        <w:t xml:space="preserve">.</w:t>
      </w:r>
      <w:r>
        <w:t xml:space="preserve"> </w:t>
      </w:r>
      <w:hyperlink r:id="rId40">
        <w:r>
          <w:rPr>
            <w:rStyle w:val="Hyperlink"/>
          </w:rPr>
          <w:t xml:space="preserve">http://prosodia.upf.edu/sp_tobi/</w:t>
        </w:r>
      </w:hyperlink>
      <w:r>
        <w:t xml:space="preserve">.</w:t>
      </w:r>
      <w:r>
        <w:t xml:space="preserve"> </w:t>
      </w:r>
      <w:hyperlink r:id="rId40">
        <w:r>
          <w:rPr>
            <w:rStyle w:val="Hyperlink"/>
          </w:rPr>
          <w:t xml:space="preserve">http://prosodia.upf.edu/sp_tobi/</w:t>
        </w:r>
      </w:hyperlink>
    </w:p>
    <w:bookmarkEnd w:id="41"/>
    <w:bookmarkStart w:id="42"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42"/>
    <w:bookmarkStart w:id="43"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43"/>
    <w:bookmarkStart w:id="44"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44"/>
    <w:bookmarkStart w:id="45" w:name="ref-beckman1997guidelines"/>
    <w:p>
      <w:pPr>
        <w:pStyle w:val="Bibliography"/>
      </w:pPr>
      <w:r>
        <w:t xml:space="preserve">Beckman, M. E., &amp; Elam, G. A. (1997). Guidelines for ToBI labelling, version 3.</w:t>
      </w:r>
      <w:r>
        <w:t xml:space="preserve"> </w:t>
      </w:r>
      <w:r>
        <w:rPr>
          <w:iCs/>
          <w:i/>
        </w:rPr>
        <w:t xml:space="preserve">Ohio State University</w:t>
      </w:r>
      <w:r>
        <w:t xml:space="preserve">.</w:t>
      </w:r>
    </w:p>
    <w:bookmarkEnd w:id="45"/>
    <w:bookmarkStart w:id="46"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46"/>
    <w:bookmarkStart w:id="47"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47"/>
    <w:bookmarkStart w:id="48" w:name="ref-casillas2023using"/>
    <w:p>
      <w:pPr>
        <w:pStyle w:val="Bibliography"/>
      </w:pPr>
      <w:r>
        <w:t xml:space="preserve">Casillas, J. V., Garrido-Pozú, J. J., Parrish, K., Arroyo, L. F., Rodrı́guez, N., Esposito, R., Chang, I., Gómez, K., Constantin-Dureci, G., Shao, J., et al. (2023). Using intonation to disambiguate meaning: The role of empathy and proficiency in L2 perceptual development.</w:t>
      </w:r>
      <w:r>
        <w:t xml:space="preserve"> </w:t>
      </w:r>
      <w:r>
        <w:rPr>
          <w:iCs/>
          <w:i/>
        </w:rPr>
        <w:t xml:space="preserve">Applied Psycholinguistics</w:t>
      </w:r>
      <w:r>
        <w:t xml:space="preserve">,</w:t>
      </w:r>
      <w:r>
        <w:t xml:space="preserve"> </w:t>
      </w:r>
      <w:r>
        <w:rPr>
          <w:iCs/>
          <w:i/>
        </w:rPr>
        <w:t xml:space="preserve">44</w:t>
      </w:r>
      <w:r>
        <w:t xml:space="preserve">(5), 913–940.</w:t>
      </w:r>
    </w:p>
    <w:bookmarkEnd w:id="48"/>
    <w:bookmarkStart w:id="49" w:name="ref-devis2011entonacion"/>
    <w:p>
      <w:pPr>
        <w:pStyle w:val="Bibliography"/>
      </w:pPr>
      <w:r>
        <w:t xml:space="preserve">Devı́s, E. (2011). La entonaci</w:t>
      </w:r>
      <w:r>
        <w:t xml:space="preserve">ó</w:t>
      </w:r>
      <w:r>
        <w:t xml:space="preserve">n de (des) cortes</w:t>
      </w:r>
      <w:r>
        <w:t xml:space="preserve">ı́</w:t>
      </w:r>
      <w:r>
        <w:t xml:space="preserve">a en el espa</w:t>
      </w:r>
      <w:r>
        <w:t xml:space="preserve">ñ</w:t>
      </w:r>
      <w:r>
        <w:t xml:space="preserve">ol coloquial.</w:t>
      </w:r>
      <w:r>
        <w:t xml:space="preserve"> </w:t>
      </w:r>
      <w:r>
        <w:rPr>
          <w:iCs/>
          <w:i/>
        </w:rPr>
        <w:t xml:space="preserve">Phonica, 2011, Num. 7, p. 36-79</w:t>
      </w:r>
      <w:r>
        <w:t xml:space="preserve">.</w:t>
      </w:r>
    </w:p>
    <w:bookmarkEnd w:id="49"/>
    <w:bookmarkStart w:id="50" w:name="ref-dilley2013role"/>
    <w:p>
      <w:pPr>
        <w:pStyle w:val="Bibliography"/>
      </w:pPr>
      <w:r>
        <w:t xml:space="preserve">Dilley, L. C., &amp; Heffner, C. C. (2013). The role of F0 alignment in distinguishing intonation categories: Evidence from american english.</w:t>
      </w:r>
      <w:r>
        <w:t xml:space="preserve"> </w:t>
      </w:r>
      <w:r>
        <w:rPr>
          <w:iCs/>
          <w:i/>
        </w:rPr>
        <w:t xml:space="preserve">Journal of Speech Sciences</w:t>
      </w:r>
      <w:r>
        <w:t xml:space="preserve">,</w:t>
      </w:r>
      <w:r>
        <w:t xml:space="preserve"> </w:t>
      </w:r>
      <w:r>
        <w:rPr>
          <w:iCs/>
          <w:i/>
        </w:rPr>
        <w:t xml:space="preserve">3</w:t>
      </w:r>
      <w:r>
        <w:t xml:space="preserve">(1), 3–67.</w:t>
      </w:r>
    </w:p>
    <w:bookmarkEnd w:id="50"/>
    <w:bookmarkStart w:id="51"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51"/>
    <w:bookmarkStart w:id="52" w:name="ref-grice2020intonation"/>
    <w:p>
      <w:pPr>
        <w:pStyle w:val="Bibliography"/>
      </w:pPr>
      <w:r>
        <w:t xml:space="preserve">Grice, M., German, J. S., &amp; Warren, P. (2020). Intonation systems across varieties of english.</w:t>
      </w:r>
      <w:r>
        <w:t xml:space="preserve"> </w:t>
      </w:r>
      <w:r>
        <w:rPr>
          <w:iCs/>
          <w:i/>
        </w:rPr>
        <w:t xml:space="preserve">The Oxford Handbook of Language Prosody</w:t>
      </w:r>
      <w:r>
        <w:t xml:space="preserve">.</w:t>
      </w:r>
    </w:p>
    <w:bookmarkEnd w:id="52"/>
    <w:bookmarkStart w:id="53"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53"/>
    <w:bookmarkStart w:id="54" w:name="ref-henriksen2010development"/>
    <w:p>
      <w:pPr>
        <w:pStyle w:val="Bibliography"/>
      </w:pPr>
      <w:r>
        <w:t xml:space="preserve">Henriksen, N. C., Geeslin, K. L., &amp; Willis, E. W. (2010). The development of L2 spanish intonation during a study abroad immersion program in le</w:t>
      </w:r>
      <w:r>
        <w:t xml:space="preserve">ó</w:t>
      </w:r>
      <w:r>
        <w:t xml:space="preserve">n, spain: Global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w:t>
      </w:r>
    </w:p>
    <w:bookmarkEnd w:id="54"/>
    <w:bookmarkStart w:id="55" w:name="ref-herrero2020unintentional"/>
    <w:p>
      <w:pPr>
        <w:pStyle w:val="Bibliography"/>
      </w:pPr>
      <w:r>
        <w:t xml:space="preserve">Herrero, C., &amp; Devı́s, E. (2020). Unintentional impolite intonation in L2 spanish requests produced by chinese workers living in madrid.</w:t>
      </w:r>
      <w:r>
        <w:t xml:space="preserve"> </w:t>
      </w:r>
      <w:r>
        <w:rPr>
          <w:iCs/>
          <w:i/>
        </w:rPr>
        <w:t xml:space="preserve">Proceedings of the 10th International Conference on Speech Prosody</w:t>
      </w:r>
      <w:r>
        <w:t xml:space="preserve">, 2020–2173.</w:t>
      </w:r>
    </w:p>
    <w:bookmarkEnd w:id="55"/>
    <w:bookmarkStart w:id="56"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56"/>
    <w:bookmarkStart w:id="57" w:name="ref-ladd2022trouble"/>
    <w:p>
      <w:pPr>
        <w:pStyle w:val="Bibliography"/>
      </w:pPr>
      <w:r>
        <w:t xml:space="preserve">Ladd, D. R. (2022).</w:t>
      </w:r>
      <w:r>
        <w:t xml:space="preserve"> </w:t>
      </w:r>
      <w:r>
        <w:rPr>
          <w:iCs/>
          <w:i/>
        </w:rPr>
        <w:t xml:space="preserve">The trouble with ToBI</w:t>
      </w:r>
      <w:r>
        <w:t xml:space="preserve">.</w:t>
      </w:r>
    </w:p>
    <w:bookmarkEnd w:id="57"/>
    <w:bookmarkStart w:id="58" w:name="ref-ladd1997perception"/>
    <w:p>
      <w:pPr>
        <w:pStyle w:val="Bibliography"/>
      </w:pPr>
      <w:r>
        <w:t xml:space="preserve">Ladd, D. R., &amp; Morton, R. (1997). The perception of intonational emphasis: Continuous or categorical?</w:t>
      </w:r>
      <w:r>
        <w:t xml:space="preserve"> </w:t>
      </w:r>
      <w:r>
        <w:rPr>
          <w:iCs/>
          <w:i/>
        </w:rPr>
        <w:t xml:space="preserve">Journal of Phonetics</w:t>
      </w:r>
      <w:r>
        <w:t xml:space="preserve">,</w:t>
      </w:r>
      <w:r>
        <w:t xml:space="preserve"> </w:t>
      </w:r>
      <w:r>
        <w:rPr>
          <w:iCs/>
          <w:i/>
        </w:rPr>
        <w:t xml:space="preserve">25</w:t>
      </w:r>
      <w:r>
        <w:t xml:space="preserve">(3), 313–342.</w:t>
      </w:r>
    </w:p>
    <w:bookmarkEnd w:id="58"/>
    <w:bookmarkStart w:id="59"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59"/>
    <w:bookmarkStart w:id="60"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60"/>
    <w:bookmarkStart w:id="61" w:name="ref-nibert2005acquisition"/>
    <w:p>
      <w:pPr>
        <w:pStyle w:val="Bibliography"/>
      </w:pPr>
      <w:r>
        <w:t xml:space="preserve">Nibert, H. J. (2005). The acquisition of the phrase accent by intermediate and advanced adult learners of spanish as a second language.</w:t>
      </w:r>
      <w:r>
        <w:t xml:space="preserve"> </w:t>
      </w:r>
      <w:r>
        <w:rPr>
          <w:iCs/>
          <w:i/>
        </w:rPr>
        <w:t xml:space="preserve">Selected Proceedings of the 6th Conference on the Acquisition of Spanish and Portuguese as First and Second Languages</w:t>
      </w:r>
      <w:r>
        <w:t xml:space="preserve">, 108–122.</w:t>
      </w:r>
    </w:p>
    <w:bookmarkEnd w:id="61"/>
    <w:bookmarkStart w:id="62"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62"/>
    <w:bookmarkStart w:id="63" w:name="ref-orrico2020individual"/>
    <w:p>
      <w:pPr>
        <w:pStyle w:val="Bibliography"/>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 1–39.</w:t>
      </w:r>
    </w:p>
    <w:bookmarkEnd w:id="63"/>
    <w:bookmarkStart w:id="64" w:name="ref-pike1945intonation"/>
    <w:p>
      <w:pPr>
        <w:pStyle w:val="Bibliography"/>
      </w:pPr>
      <w:r>
        <w:t xml:space="preserve">Pike, K. L. (1945).</w:t>
      </w:r>
      <w:r>
        <w:t xml:space="preserve"> </w:t>
      </w:r>
      <w:r>
        <w:rPr>
          <w:iCs/>
          <w:i/>
        </w:rPr>
        <w:t xml:space="preserve">The intonation of american english.</w:t>
      </w:r>
    </w:p>
    <w:bookmarkEnd w:id="64"/>
    <w:bookmarkStart w:id="65"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65"/>
    <w:bookmarkStart w:id="66"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66"/>
    <w:bookmarkEnd w:id="67"/>
    <w:bookmarkEnd w:id="68"/>
    <w:sectPr w:rsidR="000A1916" w:rsidSect="003E14EB">
      <w:headerReference r:id="rId9" w:type="even"/>
      <w:head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143F4219" w:rsidR="00290DEA" w:rsidRDefault="003E14EB" w:rsidP="00290DEA">
    <w:pPr>
      <w:pStyle w:val="Header"/>
      <w:ind w:right="360"/>
    </w:pPr>
    <w:r>
      <w:t>Robert Esposito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6284729F" w:rsidR="004C1A18" w:rsidRPr="00023D74" w:rsidRDefault="003E14EB" w:rsidP="00052434">
    <w:pPr>
      <w:pStyle w:val="Header"/>
      <w:rPr>
        <w:rFonts w:ascii="Times New Roman" w:hAnsi="Times New Roman" w:cs="Times New Roman"/>
      </w:rPr>
    </w:pPr>
    <w:r w:rsidRPr="003E14EB">
      <w:rPr>
        <w:rFonts w:ascii="Times New Roman" w:hAnsi="Times New Roman" w:cs="Times New Roman"/>
      </w:rPr>
      <w:t>INTONATIONAL PHONOLOGY OF L2 SPANISH</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evenAndOddHeaders/>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hyperlink" Id="rId40" Target="http://prosodia.upf.edu/sp_tobi/" TargetMode="External" /></Relationships>
</file>

<file path=word/_rels/footnotes.xml.rels><?xml version="1.0" encoding="UTF-8"?><Relationships xmlns="http://schemas.openxmlformats.org/package/2006/relationships"><Relationship Type="http://schemas.openxmlformats.org/officeDocument/2006/relationships/hyperlink" Id="rId40" Target="http://prosodia.upf.edu/sp_to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 Kendra V. Dickinson</dc:creator>
  <cp:category>article</cp:category>
  <dc:description>L2 Intonational Phonology</dc:description>
  <dc:subject>linguistics</dc:subject>
  <cp:keywords/>
  <dcterms:created xsi:type="dcterms:W3CDTF">2024-10-29T15:38:37Z</dcterms:created>
  <dcterms:modified xsi:type="dcterms:W3CDTF">2024-10-29T15:38:37Z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