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1. The Intonational Phonology of Requests in L2 Spanish</w:t>
      </w:r>
    </w:p>
    <w:bookmarkEnd w:id="22"/>
    <w:bookmarkStart w:id="32" w:name="introduction"/>
    <w:p>
      <w:pPr>
        <w:pStyle w:val="Heading1"/>
      </w:pPr>
      <w:r>
        <w:t xml:space="preserve">2. Introduction</w:t>
      </w:r>
    </w:p>
    <w:p>
      <w:pPr>
        <w:pStyle w:val="FirstParagraph"/>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pPr>
        <w:pStyle w:val="BodyText"/>
      </w:pPr>
      <w:r>
        <w:t xml:space="preserve">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 monolingual speakers, but there do exist recent works that investigate L2 intonation strategies</w:t>
      </w:r>
      <w:r>
        <w:t xml:space="preserve"> </w:t>
      </w:r>
      <w:r>
        <w:t xml:space="preserve">(Astruc &amp; Mar Vanrell, 2016)</w:t>
      </w:r>
      <w:r>
        <w:t xml:space="preserve">, as well as attempt to model L2 intonation</w:t>
      </w:r>
      <w:r>
        <w:t xml:space="preserve"> </w:t>
      </w:r>
      <w:r>
        <w:t xml:space="preserve">(Mennen, 2015)</w:t>
      </w:r>
      <w:r>
        <w:t xml:space="preserve">.</w:t>
      </w:r>
    </w:p>
    <w:p>
      <w:pPr>
        <w:pStyle w:val="BodyText"/>
      </w:pPr>
      <w:r>
        <w:t xml:space="preserve">Some researchers propose that there is a universal correlation between higher pitch and politeness</w:t>
      </w:r>
      <w:r>
        <w:t xml:space="preserve"> </w:t>
      </w:r>
      <w:r>
        <w:t xml:space="preserve">Brown &amp; Levinson (1987)</w:t>
      </w:r>
      <w:r>
        <w:t xml:space="preserve">. Unde this belief, it would be expected that L1 and L2 speakers alike would pattern similarly in their use of higher pitch to demarcate politeness.</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nuclear configurations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Start w:id="23" w:name="politeness"/>
    <w:p>
      <w:pPr>
        <w:pStyle w:val="Heading2"/>
      </w:pPr>
      <w:r>
        <w:t xml:space="preserve">2.1 Politeness</w:t>
      </w:r>
    </w:p>
    <w:p>
      <w:pPr>
        <w:pStyle w:val="FirstParagraph"/>
      </w:pPr>
      <w:r>
        <w:t xml:space="preserve">Brown &amp; Levinson (1974)</w:t>
      </w:r>
      <w:r>
        <w:t xml:space="preserve"> </w:t>
      </w:r>
      <w:r>
        <w:t xml:space="preserve">provide a landmark investigation in linguistic expressions of politeness. In their conception, politeness strategies are used to mitigate face threatening acts, which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The decision to opt for a specific politeness strategy depends on a cost-benefit analysis of three binary factors: power, social distance, and level of imposition of request. These three independent variables,</w:t>
      </w:r>
      <w:r>
        <w:t xml:space="preserve"> </w:t>
      </w:r>
      <w:r>
        <w:t xml:space="preserve">Brown &amp; Levinson (1974)</w:t>
      </w:r>
      <w:r>
        <w:t xml:space="preserve"> </w:t>
      </w:r>
      <w:r>
        <w:t xml:space="preserve">claim, are assigned different values cross-culturally, which account for the rich diversity in cultures globally.</w:t>
      </w:r>
    </w:p>
    <w:p>
      <w:pPr>
        <w:pStyle w:val="BodyText"/>
      </w:pPr>
      <w:r>
        <w:t xml:space="preserve">Power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a writing center.</w:t>
      </w:r>
    </w:p>
    <w:p>
      <w:pPr>
        <w:pStyle w:val="BodyText"/>
      </w:pPr>
      <w:r>
        <w:t xml:space="preserve">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 the level of imposition of request transparently refers to how imposing the request is.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The specific situations will be defined below.</w:t>
      </w:r>
    </w:p>
    <w:bookmarkEnd w:id="23"/>
    <w:bookmarkStart w:id="28" w:name="autosegmental-metrical-theory"/>
    <w:p>
      <w:pPr>
        <w:pStyle w:val="Heading2"/>
      </w:pPr>
      <w:r>
        <w:t xml:space="preserve">2.2 Autosegmental Metrical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tblPr>
      <w:tblGrid>
        <w:gridCol w:w="7920"/>
      </w:tblGrid>
      <w:tr>
        <w:tc>
          <w:tcPr/>
          <w:bookmarkStart w:id="27" w:name="fig-tobi-example"/>
          <w:p>
            <w:pPr>
              <w:pStyle w:val="Figure"/>
              <w:jc w:val="center"/>
            </w:pPr>
            <w:r>
              <w:drawing>
                <wp:inline>
                  <wp:extent cx="5504749" cy="5046020"/>
                  <wp:effectExtent b="0" l="0" r="0" t="0"/>
                  <wp:docPr descr="" title="" id="25" name="Picture"/>
                  <a:graphic>
                    <a:graphicData uri="http://schemas.openxmlformats.org/drawingml/2006/picture">
                      <pic:pic>
                        <pic:nvPicPr>
                          <pic:cNvPr descr="figs/tobi_example.png" id="26" name="Picture"/>
                          <pic:cNvPicPr>
                            <a:picLocks noChangeArrowheads="1" noChangeAspect="1"/>
                          </pic:cNvPicPr>
                        </pic:nvPicPr>
                        <pic:blipFill>
                          <a:blip r:embed="rId24"/>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7"/>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peak is within the stressed syllable; HL* represents a fall where the peak occurs either before or at the very start of the stressed syllable. Crucially, each ToBI system will define how an underlying representation can be realized, such that</w:t>
      </w:r>
      <w:r>
        <w:t xml:space="preserve"> </w:t>
      </w:r>
      <w:r>
        <w:t xml:space="preserve">“</w:t>
      </w:r>
      <w:r>
        <w:t xml:space="preserve">H*L</w:t>
      </w:r>
      <w:r>
        <w:t xml:space="preserve">”</w:t>
      </w:r>
      <w:r>
        <w:t xml:space="preserve"> </w:t>
      </w:r>
      <w:r>
        <w:t xml:space="preserve">may not be phonetically realized as the same in two different languages or two different varieties of the same language.</w:t>
      </w:r>
    </w:p>
    <w:bookmarkEnd w:id="28"/>
    <w:bookmarkStart w:id="29" w:name="l2-intonation"/>
    <w:p>
      <w:pPr>
        <w:pStyle w:val="Heading2"/>
      </w:pPr>
      <w:r>
        <w:t xml:space="preserve">2.3 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Although English speakers have available to them L+H*, the expected contour in Spanish, and it is realized phonetically similarly, there is a mismatch in the</w:t>
      </w:r>
      <w:r>
        <w:t xml:space="preserve"> </w:t>
      </w:r>
      <w:r>
        <w:rPr>
          <w:iCs/>
          <w:i/>
        </w:rPr>
        <w:t xml:space="preserve">semantic</w:t>
      </w:r>
      <w:r>
        <w:t xml:space="preserve"> </w:t>
      </w:r>
      <w:r>
        <w:t xml:space="preserve">dimension. That is, L+H* in this scenario maps to an</w:t>
      </w:r>
      <w:r>
        <w:t xml:space="preserve"> </w:t>
      </w:r>
      <w:r>
        <w:t xml:space="preserve">“</w:t>
      </w:r>
      <w:r>
        <w:t xml:space="preserve">over-excited</w:t>
      </w:r>
      <w:r>
        <w:t xml:space="preserve">”</w:t>
      </w:r>
      <w:r>
        <w:t xml:space="preserve"> </w:t>
      </w:r>
      <w:r>
        <w:t xml:space="preserve">response in Spanish, giving rise to miscommunication and misinterpretation when interacting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L1 English L2 Spanish learners will experience positive transfer; where there are mismatches along any of the dimensions, they will experience negative transfer. That is, we expect to see typical English contours in their Spanish.</w:t>
      </w:r>
    </w:p>
    <w:bookmarkEnd w:id="29"/>
    <w:bookmarkStart w:id="30" w:name="pitch-and-politeness"/>
    <w:p>
      <w:pPr>
        <w:pStyle w:val="Heading2"/>
      </w:pPr>
      <w:r>
        <w:t xml:space="preserve">2.4 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w:t>
      </w:r>
      <w:r>
        <w:t xml:space="preserve"> </w:t>
      </w:r>
      <w:r>
        <w:t xml:space="preserve">Ohala (1983)</w:t>
      </w:r>
      <w:r>
        <w:t xml:space="preserve">’s frequency code, gives motivation to examine pitch more broadly along two dimensions: the overall mean pitch of an utterance and the height of the final boundary tone of the utterance.</w:t>
      </w:r>
    </w:p>
    <w:bookmarkEnd w:id="30"/>
    <w:bookmarkStart w:id="31" w:name="previous-research"/>
    <w:p>
      <w:pPr>
        <w:pStyle w:val="Heading2"/>
      </w:pPr>
      <w:r>
        <w:t xml:space="preserve">2.5 Previous Research</w:t>
      </w:r>
    </w:p>
    <w:bookmarkEnd w:id="31"/>
    <w:bookmarkEnd w:id="32"/>
    <w:bookmarkStart w:id="33" w:name="scraps"/>
    <w:p>
      <w:pPr>
        <w:pStyle w:val="Heading1"/>
      </w:pPr>
      <w:r>
        <w:t xml:space="preserve">3. Scraps</w:t>
      </w:r>
    </w:p>
    <w:p>
      <w:pPr>
        <w:pStyle w:val="FirstParagraph"/>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r>
        <w:br w:type="page"/>
      </w:r>
    </w:p>
    <w:bookmarkEnd w:id="33"/>
    <w:bookmarkStart w:id="50" w:name="references"/>
    <w:p>
      <w:pPr>
        <w:pStyle w:val="Heading1"/>
      </w:pPr>
      <w:r>
        <w:t xml:space="preserve">References</w:t>
      </w:r>
    </w:p>
    <w:bookmarkStart w:id="49" w:name="refs"/>
    <w:bookmarkStart w:id="34"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34"/>
    <w:bookmarkStart w:id="35"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35"/>
    <w:bookmarkStart w:id="36"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36"/>
    <w:bookmarkStart w:id="37"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37"/>
    <w:bookmarkStart w:id="38"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38"/>
    <w:bookmarkStart w:id="39"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39"/>
    <w:bookmarkStart w:id="40"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40"/>
    <w:bookmarkStart w:id="41"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41"/>
    <w:bookmarkStart w:id="42" w:name="ref-ladd2022trouble"/>
    <w:p>
      <w:pPr>
        <w:pStyle w:val="Bibliography"/>
      </w:pPr>
      <w:r>
        <w:t xml:space="preserve">Ladd, D. R. (2022).</w:t>
      </w:r>
      <w:r>
        <w:t xml:space="preserve"> </w:t>
      </w:r>
      <w:r>
        <w:rPr>
          <w:iCs/>
          <w:i/>
        </w:rPr>
        <w:t xml:space="preserve">The trouble with ToBI</w:t>
      </w:r>
      <w:r>
        <w:t xml:space="preserve">.</w:t>
      </w:r>
    </w:p>
    <w:bookmarkEnd w:id="42"/>
    <w:bookmarkStart w:id="43"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43"/>
    <w:bookmarkStart w:id="44"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44"/>
    <w:bookmarkStart w:id="45"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45"/>
    <w:bookmarkStart w:id="46" w:name="ref-pike1945intonation"/>
    <w:p>
      <w:pPr>
        <w:pStyle w:val="Bibliography"/>
      </w:pPr>
      <w:r>
        <w:t xml:space="preserve">Pike, K. L. (1945).</w:t>
      </w:r>
      <w:r>
        <w:t xml:space="preserve"> </w:t>
      </w:r>
      <w:r>
        <w:rPr>
          <w:iCs/>
          <w:i/>
        </w:rPr>
        <w:t xml:space="preserve">The intonation of american english.</w:t>
      </w:r>
    </w:p>
    <w:bookmarkEnd w:id="46"/>
    <w:bookmarkStart w:id="47"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47"/>
    <w:bookmarkStart w:id="48"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48"/>
    <w:bookmarkEnd w:id="49"/>
    <w:bookmarkEnd w:id="50"/>
    <w:sectPr w:rsidR="000A1916">
      <w:headerReference r:id="rId9" w:type="even"/>
      <w:head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4D2582DA" w:rsidR="004C1A18" w:rsidRPr="00023D74" w:rsidRDefault="003145FC" w:rsidP="00290DEA">
    <w:pPr>
      <w:pStyle w:val="Header"/>
      <w:rPr>
        <w:rFonts w:ascii="Times New Roman" w:hAnsi="Times New Roman" w:cs="Times New Roman"/>
      </w:rPr>
    </w:pPr>
    <w:proofErr w:type="spellStart"/>
    <w:r>
      <w:rPr>
        <w:rFonts w:ascii="Times New Roman" w:hAnsi="Times New Roman" w:cs="Times New Roman"/>
      </w:rPr>
      <w:t>shorttitle</w:t>
    </w:r>
    <w:proofErr w:type="spellEnd"/>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dc:creator>
  <cp:category>article</cp:category>
  <dc:description>L2 Intonational Phonology</dc:description>
  <dc:subject>linguistics</dc:subject>
  <cp:keywords/>
  <dcterms:created xsi:type="dcterms:W3CDTF">2024-10-27T21:57:57Z</dcterms:created>
  <dcterms:modified xsi:type="dcterms:W3CDTF">2024-10-27T21:57:57Z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